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BSE4104, Emerging Trends in Software Engineering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8-Week AI-Native and Agentic Engineering Capstone</w:t>
      </w:r>
    </w:p>
    <w:p>
      <w:pPr>
        <w:jc w:val="center"/>
      </w:pPr>
      <w:r>
        <w:rPr>
          <w:rFonts w:ascii="Times New Roman" w:hAnsi="Times New Roman"/>
          <w:b/>
          <w:sz w:val="26"/>
        </w:rPr>
        <w:t>Group A Day - Week 2 Model Selection Note</w:t>
      </w:r>
    </w:p>
    <w:p>
      <w:pPr>
        <w:jc w:val="center"/>
      </w:pPr>
      <w:r>
        <w:rPr>
          <w:rFonts w:ascii="Times New Roman" w:hAnsi="Times New Roman"/>
          <w:b/>
          <w:sz w:val="22"/>
        </w:rPr>
        <w:t>Use Case: University Student-Support Case Agent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9E2F3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4680"/>
            <w:shd w:val="clear" w:fill="D9E2F3"/>
          </w:tcPr>
          <w:p>
            <w:r>
              <w:rPr>
                <w:b/>
                <w:sz w:val="18"/>
              </w:rPr>
              <w:t>Student Number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Namatovu Christine Maria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2300701098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Opiyo Oscar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2300701330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Isio Lily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2300700445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Babirye Sandra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2300707270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Ogwal Richard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2300716574</w:t>
            </w:r>
          </w:p>
        </w:tc>
      </w:tr>
    </w:tbl>
    <w:p/>
    <w:p>
      <w:pPr>
        <w:pStyle w:val="Heading1"/>
      </w:pPr>
      <w:r>
        <w:t>Selected Model: Gemini 2.0 Flash</w:t>
      </w:r>
    </w:p>
    <w:p>
      <w:r>
        <w:t>Model ID pinned: gemini-2.0-flash (fallback gemini-2.0-flash-lite). Access via google-generativeai SDK; key in .env as GEMINI_API_KEY. No key committed. 1M context leaves headroom for Week 3 RAG; JSON mode and function-calling ready for Week 4.</w:t>
      </w:r>
    </w:p>
    <w:p>
      <w:pPr>
        <w:pStyle w:val="Heading1"/>
      </w:pPr>
      <w:r>
        <w:t>Capability, Cost, Latency, Privacy and Access</w:t>
      </w:r>
    </w:p>
    <w:p>
      <w:pPr>
        <w:pStyle w:val="ListParagraph"/>
      </w:pPr>
      <w:r>
        <w:t>Capability: strong instruction-following, case-category classification (US-4), summarisation and boundary refusal (US-5).</w:t>
      </w:r>
    </w:p>
    <w:p>
      <w:pPr>
        <w:pStyle w:val="ListParagraph"/>
      </w:pPr>
      <w:r>
        <w:t>Cost: 0.10 USD per 1M input, 0.40 per 1M output (2026); free tier sufficient. Week 2 usage under 50 requests is effectively 0 USD.</w:t>
      </w:r>
    </w:p>
    <w:p>
      <w:pPr>
        <w:pStyle w:val="ListParagraph"/>
      </w:pPr>
      <w:r>
        <w:t>Latency: 0.3-0.8s first token; end-to-end 1-3s for under 500-token outputs, logged per trace.</w:t>
      </w:r>
    </w:p>
    <w:p>
      <w:pPr>
        <w:pStyle w:val="ListParagraph"/>
      </w:pPr>
      <w:r>
        <w:t>Privacy and access: only synthetic IDs and public-style excerpts sent to Google; corpus stays local. Team uses existing Google accounts.</w:t>
      </w:r>
    </w:p>
    <w:p>
      <w:pPr>
        <w:pStyle w:val="ListParagraph"/>
      </w:pPr>
      <w:r>
        <w:t>Rejected: GPT-4o-mini (no free-tier advantage) and Llama 3.1 via Groq (extra ops) - kept as Week 7 fallback.</w:t>
      </w:r>
    </w:p>
    <w:p>
      <w:pPr>
        <w:pStyle w:val="Heading1"/>
      </w:pPr>
      <w:r>
        <w:t>Known Limits</w:t>
      </w:r>
    </w:p>
    <w:p>
      <w:pPr>
        <w:pStyle w:val="ListParagraph"/>
      </w:pPr>
      <w:r>
        <w:t>Hallucinates policy without grounding - v2.0 forces honest abstention; root fix Week 3 RAG.</w:t>
      </w:r>
    </w:p>
    <w:p>
      <w:pPr>
        <w:pStyle w:val="ListParagraph"/>
      </w:pPr>
      <w:r>
        <w:t>No Makerere knowledge - baseline labelled UNGROUNDED.</w:t>
      </w:r>
    </w:p>
    <w:p>
      <w:pPr>
        <w:pStyle w:val="ListParagraph"/>
      </w:pPr>
      <w:r>
        <w:t>Prompt injection - deterministic guard blocks status change beyond Pending in code.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