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  <w:jc w:val="center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WEEK 7 PROGRESS REPORT</w:t>
      </w:r>
    </w:p>
    <w:p>
      <w:pPr>
        <w:spacing w:after="80"/>
        <w:jc w:val="center"/>
      </w:pPr>
      <w:r>
        <w:rPr>
          <w:rFonts w:ascii="Calibri" w:cs="Calibri" w:eastAsia="Calibri" w:hAnsi="Calibri"/>
          <w:b/>
          <w:bCs/>
          <w:color w:val="2F5496"/>
          <w:sz w:val="28"/>
          <w:szCs w:val="28"/>
        </w:rPr>
        <w:t xml:space="preserve">Evaluation, Observability and Guardrails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7940"/>
      </w:tblGrid>
      <w:tr>
        <w:trPr>
          <w:cantSplit/>
          <w:tblHeader/>
        </w:trPr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9E6F5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Field</w:t>
            </w:r>
          </w:p>
        </w:tc>
        <w:tc>
          <w:tcPr>
            <w:tcW w:type="dxa" w:w="794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9E6F5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Detail</w:t>
            </w:r>
          </w:p>
        </w:tc>
      </w:tr>
      <w:tr>
        <w:trPr>
          <w:cantSplit/>
          <w:tblHeader w:val="false"/>
        </w:trPr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Group / Project Name</w:t>
            </w:r>
          </w:p>
        </w:tc>
        <w:tc>
          <w:tcPr>
            <w:tcW w:type="dxa" w:w="794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Group A Day (BSSE Day), University Student-Support Case Agent</w:t>
            </w:r>
          </w:p>
        </w:tc>
      </w:tr>
      <w:tr>
        <w:trPr>
          <w:cantSplit/>
          <w:tblHeader w:val="false"/>
        </w:trPr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Week Ending</w:t>
            </w:r>
          </w:p>
        </w:tc>
        <w:tc>
          <w:tcPr>
            <w:tcW w:type="dxa" w:w="794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16th October 2026</w:t>
            </w:r>
          </w:p>
        </w:tc>
      </w:tr>
      <w:tr>
        <w:trPr>
          <w:cantSplit/>
          <w:tblHeader w:val="false"/>
        </w:trPr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Group Leader</w:t>
            </w:r>
          </w:p>
        </w:tc>
        <w:tc>
          <w:tcPr>
            <w:tcW w:type="dxa" w:w="794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Namatovu Christine Maria (2300701098)</w:t>
            </w:r>
          </w:p>
        </w:tc>
      </w:tr>
      <w:tr>
        <w:trPr>
          <w:cantSplit/>
          <w:tblHeader w:val="false"/>
        </w:trPr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Evaluation Result</w:t>
            </w:r>
          </w:p>
        </w:tc>
        <w:tc>
          <w:tcPr>
            <w:tcW w:type="dxa" w:w="794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29/49 scenarios before fixes; 49/49 after; safety violations 3 to 0</w:t>
            </w:r>
          </w:p>
        </w:tc>
      </w:tr>
    </w:tbl>
    <w:p>
      <w:pPr>
        <w:spacing w:after="20" w:before="7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Focus:</w:t>
      </w:r>
      <w:r>
        <w:rPr>
          <w:rFonts w:ascii="Calibri" w:cs="Calibri" w:eastAsia="Calibri" w:hAnsi="Calibri"/>
          <w:sz w:val="18"/>
          <w:szCs w:val="18"/>
        </w:rPr>
        <w:t xml:space="preserve"> Produce evidence that the system is reliable, grounded, inspectable and safe for its bounded use case.</w:t>
      </w:r>
    </w:p>
    <w:p>
      <w:pPr>
        <w:pStyle w:val="Heading2"/>
        <w:keepNext/>
        <w:spacing w:after="50" w:before="120"/>
      </w:pPr>
      <w:r>
        <w:rPr>
          <w:rFonts w:ascii="Calibri" w:cs="Calibri" w:eastAsia="Calibri" w:hAnsi="Calibri"/>
          <w:b/>
          <w:bCs/>
          <w:color w:val="2F5496"/>
          <w:sz w:val="22"/>
          <w:szCs w:val="22"/>
        </w:rPr>
        <w:t xml:space="preserve">1. Work Completed Against Weekly Objectives</w:t>
      </w:r>
    </w:p>
    <w:p>
      <w:pPr>
        <w:pStyle w:val="ListParagraph"/>
        <w:numPr>
          <w:ilvl w:val="0"/>
          <w:numId w:val="2"/>
        </w:numPr>
        <w:spacing w:after="30" w:line="247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Evaluation set:</w:t>
      </w:r>
      <w:r>
        <w:rPr>
          <w:rFonts w:ascii="Calibri" w:cs="Calibri" w:eastAsia="Calibri" w:hAnsi="Calibri"/>
          <w:sz w:val="18"/>
          <w:szCs w:val="18"/>
        </w:rPr>
        <w:t xml:space="preserve"> 49 scenarios across normal, edge, incorrect-information, adversarial, tool-failure and unauthorized cases, with expected behaviour written from the contract and policy documents. Seven measurable criteria: task completion, groundedness, tool selection, instruction following, safety violations, latency and traceability.</w:t>
      </w:r>
    </w:p>
    <w:p>
      <w:pPr>
        <w:pStyle w:val="ListParagraph"/>
        <w:numPr>
          <w:ilvl w:val="0"/>
          <w:numId w:val="2"/>
        </w:numPr>
        <w:spacing w:after="30" w:line="247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Results:</w:t>
      </w:r>
      <w:r>
        <w:rPr>
          <w:rFonts w:ascii="Calibri" w:cs="Calibri" w:eastAsia="Calibri" w:hAnsi="Calibri"/>
          <w:sz w:val="18"/>
          <w:szCs w:val="18"/>
        </w:rPr>
        <w:t xml:space="preserve"> baseline on the Week 6 code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29/49</w:t>
      </w:r>
      <w:r>
        <w:rPr>
          <w:rFonts w:ascii="Calibri" w:cs="Calibri" w:eastAsia="Calibri" w:hAnsi="Calibri"/>
          <w:sz w:val="18"/>
          <w:szCs w:val="18"/>
        </w:rPr>
        <w:t xml:space="preserve"> with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3 safety violations</w:t>
      </w:r>
      <w:r>
        <w:rPr>
          <w:rFonts w:ascii="Calibri" w:cs="Calibri" w:eastAsia="Calibri" w:hAnsi="Calibri"/>
          <w:sz w:val="18"/>
          <w:szCs w:val="18"/>
        </w:rPr>
        <w:t xml:space="preserve">; after fixes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49/49</w:t>
      </w:r>
      <w:r>
        <w:rPr>
          <w:rFonts w:ascii="Calibri" w:cs="Calibri" w:eastAsia="Calibri" w:hAnsi="Calibri"/>
          <w:sz w:val="18"/>
          <w:szCs w:val="18"/>
        </w:rPr>
        <w:t xml:space="preserve"> with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0</w:t>
      </w:r>
      <w:r>
        <w:rPr>
          <w:rFonts w:ascii="Calibri" w:cs="Calibri" w:eastAsia="Calibri" w:hAnsi="Calibri"/>
          <w:sz w:val="18"/>
          <w:szCs w:val="18"/>
        </w:rPr>
        <w:t xml:space="preserve">. Local latency p95 1.1 ms per turn (limit 2,000 ms, scripted planner only).</w:t>
      </w:r>
    </w:p>
    <w:p>
      <w:pPr>
        <w:pStyle w:val="ListParagraph"/>
        <w:numPr>
          <w:ilvl w:val="0"/>
          <w:numId w:val="2"/>
        </w:numPr>
        <w:spacing w:after="30" w:line="247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Observability:</w:t>
      </w:r>
      <w:r>
        <w:rPr>
          <w:rFonts w:ascii="Calibri" w:cs="Calibri" w:eastAsia="Calibri" w:hAnsi="Calibri"/>
          <w:sz w:val="18"/>
          <w:szCs w:val="18"/>
        </w:rPr>
        <w:t xml:space="preserve"> every run now records trace ID, planner, model and prompt version, per-step latency, retrieval evidence (query, threshold, scores, hits), validation verdicts, tool results and the stop reason, also written as JSONL.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39/39</w:t>
      </w:r>
      <w:r>
        <w:rPr>
          <w:rFonts w:ascii="Calibri" w:cs="Calibri" w:eastAsia="Calibri" w:hAnsi="Calibri"/>
          <w:sz w:val="18"/>
          <w:szCs w:val="18"/>
        </w:rPr>
        <w:t xml:space="preserve"> traces pass the completeness check (0 before).</w:t>
      </w:r>
    </w:p>
    <w:p>
      <w:pPr>
        <w:pStyle w:val="ListParagraph"/>
        <w:numPr>
          <w:ilvl w:val="0"/>
          <w:numId w:val="2"/>
        </w:numPr>
        <w:spacing w:after="30" w:line="247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Guardrails implemented and tested:</w:t>
      </w:r>
      <w:r>
        <w:rPr>
          <w:rFonts w:ascii="Calibri" w:cs="Calibri" w:eastAsia="Calibri" w:hAnsi="Calibri"/>
          <w:sz w:val="18"/>
          <w:szCs w:val="18"/>
        </w:rPr>
        <w:t xml:space="preserve"> input validation, output validation, tool allow-list, authorization, iteration limits, approval controls and prompt-injection awareness, each mapped to code and to scenarios.</w:t>
      </w:r>
    </w:p>
    <w:p>
      <w:pPr>
        <w:pStyle w:val="ListParagraph"/>
        <w:numPr>
          <w:ilvl w:val="0"/>
          <w:numId w:val="2"/>
        </w:numPr>
        <w:spacing w:after="30" w:line="247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Failure Catalogue:</w:t>
      </w:r>
      <w:r>
        <w:rPr>
          <w:rFonts w:ascii="Calibri" w:cs="Calibri" w:eastAsia="Calibri" w:hAnsi="Calibri"/>
          <w:sz w:val="18"/>
          <w:szCs w:val="18"/>
        </w:rPr>
        <w:t xml:space="preserve"> 14 genuine failures with root cause, fix and re-test;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all 14 re-tests pass</w:t>
      </w:r>
      <w:r>
        <w:rPr>
          <w:rFonts w:ascii="Calibri" w:cs="Calibri" w:eastAsia="Calibri" w:hAnsi="Calibri"/>
          <w:sz w:val="18"/>
          <w:szCs w:val="18"/>
        </w:rPr>
        <w:t xml:space="preserve">. The Week 4, 5 and 6 suites still pass (10/10, 13/13, 8/8).</w:t>
      </w:r>
    </w:p>
    <w:p>
      <w:pPr>
        <w:pStyle w:val="Heading2"/>
        <w:keepNext/>
        <w:spacing w:after="50" w:before="120"/>
      </w:pPr>
      <w:r>
        <w:rPr>
          <w:rFonts w:ascii="Calibri" w:cs="Calibri" w:eastAsia="Calibri" w:hAnsi="Calibri"/>
          <w:b/>
          <w:bCs/>
          <w:color w:val="2F5496"/>
          <w:sz w:val="22"/>
          <w:szCs w:val="22"/>
        </w:rPr>
        <w:t xml:space="preserve">2. Key Engineering Decisions and Why They Were Made</w:t>
      </w:r>
    </w:p>
    <w:p>
      <w:pPr>
        <w:pStyle w:val="ListParagraph"/>
        <w:numPr>
          <w:ilvl w:val="0"/>
          <w:numId w:val="2"/>
        </w:numPr>
        <w:spacing w:after="30" w:line="247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Baseline first, then fix.</w:t>
      </w:r>
      <w:r>
        <w:rPr>
          <w:rFonts w:ascii="Calibri" w:cs="Calibri" w:eastAsia="Calibri" w:hAnsi="Calibri"/>
          <w:sz w:val="18"/>
          <w:szCs w:val="18"/>
        </w:rPr>
        <w:t xml:space="preserve"> The set was run on unchanged code before any change, so the failures are real and the before and after numbers are comparable.</w:t>
      </w:r>
    </w:p>
    <w:p>
      <w:pPr>
        <w:pStyle w:val="ListParagraph"/>
        <w:numPr>
          <w:ilvl w:val="0"/>
          <w:numId w:val="2"/>
        </w:numPr>
        <w:spacing w:after="30" w:line="247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Structural controls over detection.</w:t>
      </w:r>
      <w:r>
        <w:rPr>
          <w:rFonts w:ascii="Calibri" w:cs="Calibri" w:eastAsia="Calibri" w:hAnsi="Calibri"/>
          <w:sz w:val="18"/>
          <w:szCs w:val="18"/>
        </w:rPr>
        <w:t xml:space="preserve"> Authorization, approval and limits do not depend on recognising an attack, so they held in every scenario; pattern-based checks (injection, boundary) are the weaker layer and are treated as such.</w:t>
      </w:r>
    </w:p>
    <w:p>
      <w:pPr>
        <w:pStyle w:val="ListParagraph"/>
        <w:numPr>
          <w:ilvl w:val="0"/>
          <w:numId w:val="2"/>
        </w:numPr>
        <w:spacing w:after="30" w:line="247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Defence in depth for identity.</w:t>
      </w:r>
      <w:r>
        <w:rPr>
          <w:rFonts w:ascii="Calibri" w:cs="Calibri" w:eastAsia="Calibri" w:hAnsi="Calibri"/>
          <w:sz w:val="18"/>
          <w:szCs w:val="18"/>
        </w:rPr>
        <w:t xml:space="preserve"> An unregistered ID is stopped at run start, again inside the create tool, and gets no service on the single-step path.</w:t>
      </w:r>
    </w:p>
    <w:p>
      <w:pPr>
        <w:pStyle w:val="ListParagraph"/>
        <w:numPr>
          <w:ilvl w:val="0"/>
          <w:numId w:val="2"/>
        </w:numPr>
        <w:spacing w:after="30" w:line="247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Evaluation honesty.</w:t>
      </w:r>
      <w:r>
        <w:rPr>
          <w:rFonts w:ascii="Calibri" w:cs="Calibri" w:eastAsia="Calibri" w:hAnsi="Calibri"/>
          <w:sz w:val="18"/>
          <w:szCs w:val="18"/>
        </w:rPr>
        <w:t xml:space="preserve"> Six flaws in our own evaluator and scenarios were corrected and disclosed instead of being counted as system failures.</w:t>
      </w:r>
    </w:p>
    <w:p>
      <w:pPr>
        <w:pStyle w:val="Heading2"/>
        <w:keepNext/>
        <w:spacing w:after="50" w:before="120"/>
      </w:pPr>
      <w:r>
        <w:rPr>
          <w:rFonts w:ascii="Calibri" w:cs="Calibri" w:eastAsia="Calibri" w:hAnsi="Calibri"/>
          <w:b/>
          <w:bCs/>
          <w:color w:val="2F5496"/>
          <w:sz w:val="22"/>
          <w:szCs w:val="22"/>
        </w:rPr>
        <w:t xml:space="preserve">3. Failures / Challenges and Current Response</w:t>
      </w:r>
    </w:p>
    <w:p>
      <w:pPr>
        <w:pStyle w:val="ListParagraph"/>
        <w:numPr>
          <w:ilvl w:val="0"/>
          <w:numId w:val="2"/>
        </w:numPr>
        <w:spacing w:after="30" w:line="247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Most serious found:</w:t>
      </w:r>
      <w:r>
        <w:rPr>
          <w:rFonts w:ascii="Calibri" w:cs="Calibri" w:eastAsia="Calibri" w:hAnsi="Calibri"/>
          <w:sz w:val="18"/>
          <w:szCs w:val="18"/>
        </w:rPr>
        <w:t xml:space="preserve"> an unregistered student ID could complete the whole flow and create a case (FC-01), and non-case replies exposed the raw internal RAG trace (FC-02). Both fixed and re-tested.</w:t>
      </w:r>
    </w:p>
    <w:p>
      <w:pPr>
        <w:pStyle w:val="ListParagraph"/>
        <w:numPr>
          <w:ilvl w:val="0"/>
          <w:numId w:val="2"/>
        </w:numPr>
        <w:spacing w:after="30" w:line="247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Wrong data, not just bad manners:</w:t>
      </w:r>
      <w:r>
        <w:rPr>
          <w:rFonts w:ascii="Calibri" w:cs="Calibri" w:eastAsia="Calibri" w:hAnsi="Calibri"/>
          <w:sz w:val="18"/>
          <w:szCs w:val="18"/>
        </w:rPr>
        <w:t xml:space="preserve"> a stated year of 2025 was silently written as 2026 (FC-04), and a different-semester case was blocked as a duplicate (FC-06).</w:t>
      </w:r>
    </w:p>
    <w:p>
      <w:pPr>
        <w:pStyle w:val="ListParagraph"/>
        <w:numPr>
          <w:ilvl w:val="0"/>
          <w:numId w:val="2"/>
        </w:numPr>
        <w:spacing w:after="30" w:line="247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Limits of this evidence:</w:t>
      </w:r>
      <w:r>
        <w:rPr>
          <w:rFonts w:ascii="Calibri" w:cs="Calibri" w:eastAsia="Calibri" w:hAnsi="Calibri"/>
          <w:sz w:val="18"/>
          <w:szCs w:val="18"/>
        </w:rPr>
        <w:t xml:space="preserve"> the set found its own failures, so 100% is a regression result, not independent proof; latency is local and scripted; the live Gemini planner has still not been run end to end, so model-written text is only length-checked.</w:t>
      </w:r>
    </w:p>
    <w:p>
      <w:pPr>
        <w:pStyle w:val="Heading2"/>
        <w:keepNext/>
        <w:spacing w:after="50" w:before="120"/>
      </w:pPr>
      <w:r>
        <w:rPr>
          <w:rFonts w:ascii="Calibri" w:cs="Calibri" w:eastAsia="Calibri" w:hAnsi="Calibri"/>
          <w:b/>
          <w:bCs/>
          <w:color w:val="2F5496"/>
          <w:sz w:val="22"/>
          <w:szCs w:val="22"/>
        </w:rPr>
        <w:t xml:space="preserve">4. GitHub and ClickUp Evidence</w:t>
      </w:r>
    </w:p>
    <w:p>
      <w:pPr>
        <w:spacing w:after="60" w:line="252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Repository:</w:t>
      </w:r>
      <w:r>
        <w:rPr>
          <w:rFonts w:ascii="Calibri" w:cs="Calibri" w:eastAsia="Calibri" w:hAnsi="Calibri"/>
          <w:sz w:val="18"/>
          <w:szCs w:val="18"/>
        </w:rPr>
        <w:t xml:space="preserve"> github.com/OpiyoOscar01/group_A_ai_agentic_capstone_assignment.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Key Week 7 files:</w:t>
      </w:r>
      <w:r>
        <w:rPr>
          <w:rFonts w:ascii="Calibri" w:cs="Calibri" w:eastAsia="Calibri" w:hAnsi="Calibri"/>
          <w:sz w:val="18"/>
          <w:szCs w:val="18"/>
        </w:rPr>
        <w:t xml:space="preserve"> evaluation/week7_eval_set.json, evaluation/run_week7_eval.py, evaluation/retest_failures.py, src/agent.py, src/tools.py, tests/run_week4_tool_tests.py (fixed), evidence/week7_eval/, evidence/week7_failures/, docs/design/ Week 7 documents.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Commit:</w:t>
      </w:r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sz w:val="18"/>
          <w:szCs w:val="18"/>
          <w:highlight w:val="yellow"/>
          <w:highlightCs w:val="yellow"/>
        </w:rPr>
        <w:t xml:space="preserve">[add commit hash after push]</w:t>
      </w:r>
    </w:p>
    <w:p>
      <w:pPr>
        <w:spacing w:after="60" w:line="252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ClickUp board:</w:t>
      </w:r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sz w:val="18"/>
          <w:szCs w:val="18"/>
          <w:highlight w:val="yellow"/>
          <w:highlightCs w:val="yellow"/>
        </w:rPr>
        <w:t xml:space="preserve">[add Week 7 board link and screenshot]</w:t>
      </w:r>
    </w:p>
    <w:p>
      <w:pPr>
        <w:pStyle w:val="Heading2"/>
        <w:keepNext/>
        <w:spacing w:after="50" w:before="120"/>
      </w:pPr>
      <w:r>
        <w:rPr>
          <w:rFonts w:ascii="Calibri" w:cs="Calibri" w:eastAsia="Calibri" w:hAnsi="Calibri"/>
          <w:b/>
          <w:bCs/>
          <w:color w:val="2F5496"/>
          <w:sz w:val="22"/>
          <w:szCs w:val="22"/>
        </w:rPr>
        <w:t xml:space="preserve">5. Individual Contribution Summary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3100"/>
        <w:gridCol w:w="5140"/>
      </w:tblGrid>
      <w:tr>
        <w:trPr>
          <w:cantSplit/>
          <w:tblHeader/>
        </w:trPr>
        <w:tc>
          <w:tcPr>
            <w:tcW w:type="dxa" w:w="2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9E6F5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Member</w:t>
            </w:r>
          </w:p>
        </w:tc>
        <w:tc>
          <w:tcPr>
            <w:tcW w:type="dxa" w:w="31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9E6F5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Task Owned This Week</w:t>
            </w:r>
          </w:p>
        </w:tc>
        <w:tc>
          <w:tcPr>
            <w:tcW w:type="dxa" w:w="514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9E6F5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Evidence</w:t>
            </w:r>
          </w:p>
        </w:tc>
      </w:tr>
      <w:tr>
        <w:trPr>
          <w:cantSplit/>
          <w:tblHeader w:val="false"/>
        </w:trPr>
        <w:tc>
          <w:tcPr>
            <w:tcW w:type="dxa" w:w="2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Namatovu Christine Maria</w:t>
            </w:r>
          </w:p>
        </w:tc>
        <w:tc>
          <w:tcPr>
            <w:tcW w:type="dxa" w:w="31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Evaluation criteria and scenario design</w:t>
            </w:r>
          </w:p>
        </w:tc>
        <w:tc>
          <w:tcPr>
            <w:tcW w:type="dxa" w:w="514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week7_eval_set.json; Evaluation document</w:t>
            </w:r>
          </w:p>
        </w:tc>
      </w:tr>
      <w:tr>
        <w:trPr>
          <w:cantSplit/>
          <w:tblHeader w:val="false"/>
        </w:trPr>
        <w:tc>
          <w:tcPr>
            <w:tcW w:type="dxa" w:w="2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Opiyo Oscar</w:t>
            </w:r>
          </w:p>
        </w:tc>
        <w:tc>
          <w:tcPr>
            <w:tcW w:type="dxa" w:w="31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Implement guardrail and validation fixes</w:t>
            </w:r>
          </w:p>
        </w:tc>
        <w:tc>
          <w:tcPr>
            <w:tcW w:type="dxa" w:w="514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src/agent.py, src/tools.py changes</w:t>
            </w:r>
          </w:p>
        </w:tc>
      </w:tr>
      <w:tr>
        <w:trPr>
          <w:cantSplit/>
          <w:tblHeader w:val="false"/>
        </w:trPr>
        <w:tc>
          <w:tcPr>
            <w:tcW w:type="dxa" w:w="2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Isio Lily</w:t>
            </w:r>
          </w:p>
        </w:tc>
        <w:tc>
          <w:tcPr>
            <w:tcW w:type="dxa" w:w="31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Run evaluation, Failure Catalogue and re-tests</w:t>
            </w:r>
          </w:p>
        </w:tc>
        <w:tc>
          <w:tcPr>
            <w:tcW w:type="dxa" w:w="514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run_week7_eval.py; retest_failures.py; Failure Catalogue</w:t>
            </w:r>
          </w:p>
        </w:tc>
      </w:tr>
      <w:tr>
        <w:trPr>
          <w:cantSplit/>
          <w:tblHeader w:val="false"/>
        </w:trPr>
        <w:tc>
          <w:tcPr>
            <w:tcW w:type="dxa" w:w="2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Ogwal Richard</w:t>
            </w:r>
          </w:p>
        </w:tc>
        <w:tc>
          <w:tcPr>
            <w:tcW w:type="dxa" w:w="31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Observability and tracing</w:t>
            </w:r>
          </w:p>
        </w:tc>
        <w:tc>
          <w:tcPr>
            <w:tcW w:type="dxa" w:w="514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Trace fields and JSONL; Observability document</w:t>
            </w:r>
          </w:p>
        </w:tc>
      </w:tr>
      <w:tr>
        <w:trPr>
          <w:cantSplit/>
          <w:tblHeader w:val="false"/>
        </w:trPr>
        <w:tc>
          <w:tcPr>
            <w:tcW w:type="dxa" w:w="2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Babirye Sandra</w:t>
            </w:r>
          </w:p>
        </w:tc>
        <w:tc>
          <w:tcPr>
            <w:tcW w:type="dxa" w:w="31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Guardrail evidence; review; compile progress report</w:t>
            </w:r>
          </w:p>
        </w:tc>
        <w:tc>
          <w:tcPr>
            <w:tcW w:type="dxa" w:w="514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Guardrail document; this report</w:t>
            </w:r>
          </w:p>
        </w:tc>
      </w:tr>
    </w:tbl>
    <w:p>
      <w:pPr>
        <w:pStyle w:val="Heading2"/>
        <w:keepNext/>
        <w:spacing w:after="50" w:before="120"/>
      </w:pPr>
      <w:r>
        <w:rPr>
          <w:rFonts w:ascii="Calibri" w:cs="Calibri" w:eastAsia="Calibri" w:hAnsi="Calibri"/>
          <w:b/>
          <w:bCs/>
          <w:color w:val="2F5496"/>
          <w:sz w:val="22"/>
          <w:szCs w:val="22"/>
        </w:rPr>
        <w:t xml:space="preserve">6. Plan for Next Week (Week 8, Final Integration and Presentation)</w:t>
      </w:r>
    </w:p>
    <w:p>
      <w:pPr>
        <w:pStyle w:val="ListParagraph"/>
        <w:numPr>
          <w:ilvl w:val="0"/>
          <w:numId w:val="2"/>
        </w:numPr>
        <w:spacing w:after="30" w:line="247"/>
      </w:pPr>
      <w:r>
        <w:rPr>
          <w:rFonts w:ascii="Calibri" w:cs="Calibri" w:eastAsia="Calibri" w:hAnsi="Calibri"/>
          <w:sz w:val="18"/>
          <w:szCs w:val="18"/>
        </w:rPr>
        <w:t xml:space="preserve">Run the live Gemini planner and add a live trace and evaluation run; check model-written question text against the output validator.</w:t>
      </w:r>
    </w:p>
    <w:p>
      <w:pPr>
        <w:pStyle w:val="ListParagraph"/>
        <w:numPr>
          <w:ilvl w:val="0"/>
          <w:numId w:val="2"/>
        </w:numPr>
        <w:spacing w:after="30" w:line="247"/>
      </w:pPr>
      <w:r>
        <w:rPr>
          <w:rFonts w:ascii="Calibri" w:cs="Calibri" w:eastAsia="Calibri" w:hAnsi="Calibri"/>
          <w:sz w:val="18"/>
          <w:szCs w:val="18"/>
        </w:rPr>
        <w:t xml:space="preserve">Re-run the Week 3 retrieval baseline after the DOC-12 change; write a held-out set of scenarios not seen during fixing.</w:t>
      </w:r>
    </w:p>
    <w:p>
      <w:pPr>
        <w:pStyle w:val="ListParagraph"/>
        <w:numPr>
          <w:ilvl w:val="0"/>
          <w:numId w:val="2"/>
        </w:numPr>
        <w:spacing w:after="30" w:line="247"/>
      </w:pPr>
      <w:r>
        <w:rPr>
          <w:rFonts w:ascii="Calibri" w:cs="Calibri" w:eastAsia="Calibri" w:hAnsi="Calibri"/>
          <w:sz w:val="18"/>
          <w:szCs w:val="18"/>
        </w:rPr>
        <w:t xml:space="preserve">Prepare the final report, demonstration script and presentation (27th, 29th, 30th October), including results, limitations and human responsibility.</w:t>
      </w:r>
    </w:p>
    <w:p>
      <w:pPr>
        <w:spacing w:after="0" w:before="7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AI use declared:</w:t>
      </w:r>
      <w:r>
        <w:rPr>
          <w:rFonts w:ascii="Calibri" w:cs="Calibri" w:eastAsia="Calibri" w:hAnsi="Calibri"/>
          <w:sz w:val="18"/>
          <w:szCs w:val="18"/>
        </w:rPr>
        <w:t xml:space="preserve"> Claude (Anthropic) assisted with code, evaluation design and documents, recorded in the AI Engineering Log.</w:t>
      </w:r>
    </w:p>
    <w:sectPr>
      <w:pgSz w:w="12240" w:h="15840" w:orient="portrait"/>
      <w:pgMar w:top="850" w:right="1000" w:bottom="8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2026-10-16T12:49:07.441Z</dcterms:created>
  <dcterms:modified xsi:type="dcterms:W3CDTF">2026-10-16T12:49:07.442Z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