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Calibri" w:cs="Calibri" w:eastAsia="Calibri" w:hAnsi="Calibri"/>
          <w:b/>
          <w:bCs/>
          <w:sz w:val="24"/>
          <w:szCs w:val="24"/>
        </w:rPr>
        <w:t xml:space="preserve">WEEK 6 MEMORY DESIGN AND DATA HANDLING NOTE</w:t>
      </w:r>
    </w:p>
    <w:p>
      <w:pPr>
        <w:spacing w:after="80"/>
        <w:jc w:val="center"/>
      </w:pPr>
      <w:r>
        <w:rPr>
          <w:rFonts w:ascii="Calibri" w:cs="Calibri" w:eastAsia="Calibri" w:hAnsi="Calibri"/>
          <w:b/>
          <w:bCs/>
          <w:color w:val="2F5496"/>
          <w:sz w:val="28"/>
          <w:szCs w:val="28"/>
        </w:rPr>
        <w:t xml:space="preserve">Persistent Memory: the Active Case ID (Group A)</w:t>
      </w:r>
    </w:p>
    <w:p>
      <w:pPr>
        <w:spacing w:after="60" w:line="252"/>
      </w:pPr>
      <w:r>
        <w:rPr>
          <w:rFonts w:ascii="Calibri" w:cs="Calibri" w:eastAsia="Calibri" w:hAnsi="Calibri"/>
          <w:b/>
          <w:bCs/>
          <w:sz w:val="18"/>
          <w:szCs w:val="18"/>
        </w:rPr>
        <w:t xml:space="preserve">Summary.</w:t>
      </w:r>
      <w:r>
        <w:rPr>
          <w:rFonts w:ascii="Calibri" w:cs="Calibri" w:eastAsia="Calibri" w:hAnsi="Calibri"/>
          <w:sz w:val="18"/>
          <w:szCs w:val="18"/>
        </w:rPr>
        <w:t xml:space="preserve"> The agent retains exactly one item between sessions: the signed-in student's </w:t>
      </w:r>
      <w:r>
        <w:rPr>
          <w:rFonts w:ascii="Calibri" w:cs="Calibri" w:eastAsia="Calibri" w:hAnsi="Calibri"/>
          <w:b/>
          <w:bCs/>
          <w:sz w:val="18"/>
          <w:szCs w:val="18"/>
        </w:rPr>
        <w:t xml:space="preserve">active case ID</w:t>
      </w:r>
      <w:r>
        <w:rPr>
          <w:rFonts w:ascii="Calibri" w:cs="Calibri" w:eastAsia="Calibri" w:hAnsi="Calibri"/>
          <w:sz w:val="18"/>
          <w:szCs w:val="18"/>
        </w:rPr>
        <w:t xml:space="preserve">. It exists so a student who returns later can ask "what is the status of my case?" without retyping the ID. It is written only by the controller, read only for that read-only follow-up, re-checked against the case store before use, and never shown to the planner or used in any approval, duplicate or creation decision.</w:t>
      </w:r>
    </w:p>
    <w:p>
      <w:pPr>
        <w:pStyle w:val="Heading2"/>
        <w:keepNext/>
        <w:spacing w:after="50" w:before="120"/>
      </w:pPr>
      <w:r>
        <w:rPr>
          <w:rFonts w:ascii="Calibri" w:cs="Calibri" w:eastAsia="Calibri" w:hAnsi="Calibri"/>
          <w:b/>
          <w:bCs/>
          <w:color w:val="2F5496"/>
          <w:sz w:val="22"/>
          <w:szCs w:val="22"/>
        </w:rPr>
        <w:t xml:space="preserve">1. Why this memory, and why not the others</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2300"/>
        <w:gridCol w:w="4300"/>
        <w:gridCol w:w="3640"/>
      </w:tblGrid>
      <w:tr>
        <w:trPr>
          <w:cantSplit/>
          <w:tblHeader/>
        </w:trPr>
        <w:tc>
          <w:tcPr>
            <w:tcW w:type="dxa" w:w="2300"/>
            <w:tcBorders>
              <w:top w:val="single" w:color="7F7F7F" w:sz="4"/>
              <w:left w:val="single" w:color="7F7F7F" w:sz="4"/>
              <w:bottom w:val="single" w:color="7F7F7F" w:sz="4"/>
              <w:right w:val="single" w:color="7F7F7F" w:sz="4"/>
            </w:tcBorders>
            <w:shd w:fill="D9E6F5" w:color="auto" w:val="clear"/>
            <w:tcMar>
              <w:top w:type="dxa" w:w="35"/>
              <w:left w:type="dxa" w:w="80"/>
              <w:bottom w:type="dxa" w:w="35"/>
              <w:right w:type="dxa" w:w="80"/>
            </w:tcMar>
          </w:tcPr>
          <w:p>
            <w:pPr>
              <w:spacing w:after="0"/>
            </w:pPr>
            <w:r>
              <w:rPr>
                <w:rFonts w:ascii="Calibri" w:cs="Calibri" w:eastAsia="Calibri" w:hAnsi="Calibri"/>
                <w:b/>
                <w:bCs/>
                <w:sz w:val="18"/>
                <w:szCs w:val="18"/>
              </w:rPr>
              <w:t xml:space="preserve">Candidate</w:t>
            </w:r>
          </w:p>
        </w:tc>
        <w:tc>
          <w:tcPr>
            <w:tcW w:type="dxa" w:w="4300"/>
            <w:tcBorders>
              <w:top w:val="single" w:color="7F7F7F" w:sz="4"/>
              <w:left w:val="single" w:color="7F7F7F" w:sz="4"/>
              <w:bottom w:val="single" w:color="7F7F7F" w:sz="4"/>
              <w:right w:val="single" w:color="7F7F7F" w:sz="4"/>
            </w:tcBorders>
            <w:shd w:fill="D9E6F5" w:color="auto" w:val="clear"/>
            <w:tcMar>
              <w:top w:type="dxa" w:w="35"/>
              <w:left w:type="dxa" w:w="80"/>
              <w:bottom w:type="dxa" w:w="35"/>
              <w:right w:type="dxa" w:w="80"/>
            </w:tcMar>
          </w:tcPr>
          <w:p>
            <w:pPr>
              <w:spacing w:after="0"/>
            </w:pPr>
            <w:r>
              <w:rPr>
                <w:rFonts w:ascii="Calibri" w:cs="Calibri" w:eastAsia="Calibri" w:hAnsi="Calibri"/>
                <w:b/>
                <w:bCs/>
                <w:sz w:val="18"/>
                <w:szCs w:val="18"/>
              </w:rPr>
              <w:t xml:space="preserve">Assessment</w:t>
            </w:r>
          </w:p>
        </w:tc>
        <w:tc>
          <w:tcPr>
            <w:tcW w:type="dxa" w:w="3640"/>
            <w:tcBorders>
              <w:top w:val="single" w:color="7F7F7F" w:sz="4"/>
              <w:left w:val="single" w:color="7F7F7F" w:sz="4"/>
              <w:bottom w:val="single" w:color="7F7F7F" w:sz="4"/>
              <w:right w:val="single" w:color="7F7F7F" w:sz="4"/>
            </w:tcBorders>
            <w:shd w:fill="D9E6F5" w:color="auto" w:val="clear"/>
            <w:tcMar>
              <w:top w:type="dxa" w:w="35"/>
              <w:left w:type="dxa" w:w="80"/>
              <w:bottom w:type="dxa" w:w="35"/>
              <w:right w:type="dxa" w:w="80"/>
            </w:tcMar>
          </w:tcPr>
          <w:p>
            <w:pPr>
              <w:spacing w:after="0"/>
            </w:pPr>
            <w:r>
              <w:rPr>
                <w:rFonts w:ascii="Calibri" w:cs="Calibri" w:eastAsia="Calibri" w:hAnsi="Calibri"/>
                <w:b/>
                <w:bCs/>
                <w:sz w:val="18"/>
                <w:szCs w:val="18"/>
              </w:rPr>
              <w:t xml:space="preserve">Decision</w:t>
            </w:r>
          </w:p>
        </w:tc>
      </w:tr>
      <w:tr>
        <w:trPr>
          <w:cantSplit/>
          <w:tblHeader w:val="false"/>
        </w:trPr>
        <w:tc>
          <w:tcPr>
            <w:tcW w:type="dxa" w:w="2300"/>
            <w:tcBorders>
              <w:top w:val="single" w:color="7F7F7F" w:sz="4"/>
              <w:left w:val="single" w:color="7F7F7F" w:sz="4"/>
              <w:bottom w:val="single" w:color="7F7F7F" w:sz="4"/>
              <w:right w:val="single" w:color="7F7F7F" w:sz="4"/>
            </w:tcBorders>
            <w:tcMar>
              <w:top w:type="dxa" w:w="35"/>
              <w:left w:type="dxa" w:w="80"/>
              <w:bottom w:type="dxa" w:w="35"/>
              <w:right w:type="dxa" w:w="80"/>
            </w:tcMar>
          </w:tcPr>
          <w:p>
            <w:pPr>
              <w:spacing w:after="0"/>
            </w:pPr>
            <w:r>
              <w:rPr>
                <w:rFonts w:ascii="Calibri" w:cs="Calibri" w:eastAsia="Calibri" w:hAnsi="Calibri"/>
                <w:sz w:val="18"/>
                <w:szCs w:val="18"/>
              </w:rPr>
              <w:t xml:space="preserve">Active case ID</w:t>
            </w:r>
          </w:p>
        </w:tc>
        <w:tc>
          <w:tcPr>
            <w:tcW w:type="dxa" w:w="4300"/>
            <w:tcBorders>
              <w:top w:val="single" w:color="7F7F7F" w:sz="4"/>
              <w:left w:val="single" w:color="7F7F7F" w:sz="4"/>
              <w:bottom w:val="single" w:color="7F7F7F" w:sz="4"/>
              <w:right w:val="single" w:color="7F7F7F" w:sz="4"/>
            </w:tcBorders>
            <w:tcMar>
              <w:top w:type="dxa" w:w="35"/>
              <w:left w:type="dxa" w:w="80"/>
              <w:bottom w:type="dxa" w:w="35"/>
              <w:right w:type="dxa" w:w="80"/>
            </w:tcMar>
          </w:tcPr>
          <w:p>
            <w:pPr>
              <w:spacing w:after="0"/>
            </w:pPr>
            <w:r>
              <w:rPr>
                <w:rFonts w:ascii="Calibri" w:cs="Calibri" w:eastAsia="Calibri" w:hAnsi="Calibri"/>
                <w:sz w:val="18"/>
                <w:szCs w:val="18"/>
              </w:rPr>
              <w:t xml:space="preserve">Small, useful for a real task, easy to validate against the live case store, easy to delete.</w:t>
            </w:r>
          </w:p>
        </w:tc>
        <w:tc>
          <w:tcPr>
            <w:tcW w:type="dxa" w:w="3640"/>
            <w:tcBorders>
              <w:top w:val="single" w:color="7F7F7F" w:sz="4"/>
              <w:left w:val="single" w:color="7F7F7F" w:sz="4"/>
              <w:bottom w:val="single" w:color="7F7F7F" w:sz="4"/>
              <w:right w:val="single" w:color="7F7F7F" w:sz="4"/>
            </w:tcBorders>
            <w:tcMar>
              <w:top w:type="dxa" w:w="35"/>
              <w:left w:type="dxa" w:w="80"/>
              <w:bottom w:type="dxa" w:w="35"/>
              <w:right w:type="dxa" w:w="80"/>
            </w:tcMar>
          </w:tcPr>
          <w:p>
            <w:pPr>
              <w:spacing w:after="0"/>
            </w:pPr>
            <w:r>
              <w:rPr>
                <w:rFonts w:ascii="Calibri" w:cs="Calibri" w:eastAsia="Calibri" w:hAnsi="Calibri"/>
                <w:b/>
                <w:bCs/>
                <w:sz w:val="18"/>
                <w:szCs w:val="18"/>
              </w:rPr>
              <w:t xml:space="preserve">Chosen</w:t>
            </w:r>
          </w:p>
        </w:tc>
      </w:tr>
      <w:tr>
        <w:trPr>
          <w:cantSplit/>
          <w:tblHeader w:val="false"/>
        </w:trPr>
        <w:tc>
          <w:tcPr>
            <w:tcW w:type="dxa" w:w="2300"/>
            <w:tcBorders>
              <w:top w:val="single" w:color="7F7F7F" w:sz="4"/>
              <w:left w:val="single" w:color="7F7F7F" w:sz="4"/>
              <w:bottom w:val="single" w:color="7F7F7F" w:sz="4"/>
              <w:right w:val="single" w:color="7F7F7F" w:sz="4"/>
            </w:tcBorders>
            <w:tcMar>
              <w:top w:type="dxa" w:w="35"/>
              <w:left w:type="dxa" w:w="80"/>
              <w:bottom w:type="dxa" w:w="35"/>
              <w:right w:type="dxa" w:w="80"/>
            </w:tcMar>
          </w:tcPr>
          <w:p>
            <w:pPr>
              <w:spacing w:after="0"/>
            </w:pPr>
            <w:r>
              <w:rPr>
                <w:rFonts w:ascii="Calibri" w:cs="Calibri" w:eastAsia="Calibri" w:hAnsi="Calibri"/>
                <w:sz w:val="18"/>
                <w:szCs w:val="18"/>
              </w:rPr>
              <w:t xml:space="preserve">Case history</w:t>
            </w:r>
          </w:p>
        </w:tc>
        <w:tc>
          <w:tcPr>
            <w:tcW w:type="dxa" w:w="4300"/>
            <w:tcBorders>
              <w:top w:val="single" w:color="7F7F7F" w:sz="4"/>
              <w:left w:val="single" w:color="7F7F7F" w:sz="4"/>
              <w:bottom w:val="single" w:color="7F7F7F" w:sz="4"/>
              <w:right w:val="single" w:color="7F7F7F" w:sz="4"/>
            </w:tcBorders>
            <w:tcMar>
              <w:top w:type="dxa" w:w="35"/>
              <w:left w:type="dxa" w:w="80"/>
              <w:bottom w:type="dxa" w:w="35"/>
              <w:right w:type="dxa" w:w="80"/>
            </w:tcMar>
          </w:tcPr>
          <w:p>
            <w:pPr>
              <w:spacing w:after="0"/>
            </w:pPr>
            <w:r>
              <w:rPr>
                <w:rFonts w:ascii="Calibri" w:cs="Calibri" w:eastAsia="Calibri" w:hAnsi="Calibri"/>
                <w:sz w:val="18"/>
                <w:szCs w:val="18"/>
              </w:rPr>
              <w:t xml:space="preserve">Staff already hold the history. A copy in agent memory goes stale and widens the privacy surface. The agent reads current cases live with the my_cases lookup.</w:t>
            </w:r>
          </w:p>
        </w:tc>
        <w:tc>
          <w:tcPr>
            <w:tcW w:type="dxa" w:w="3640"/>
            <w:tcBorders>
              <w:top w:val="single" w:color="7F7F7F" w:sz="4"/>
              <w:left w:val="single" w:color="7F7F7F" w:sz="4"/>
              <w:bottom w:val="single" w:color="7F7F7F" w:sz="4"/>
              <w:right w:val="single" w:color="7F7F7F" w:sz="4"/>
            </w:tcBorders>
            <w:tcMar>
              <w:top w:type="dxa" w:w="35"/>
              <w:left w:type="dxa" w:w="80"/>
              <w:bottom w:type="dxa" w:w="35"/>
              <w:right w:type="dxa" w:w="80"/>
            </w:tcMar>
          </w:tcPr>
          <w:p>
            <w:pPr>
              <w:spacing w:after="0"/>
            </w:pPr>
            <w:r>
              <w:rPr>
                <w:rFonts w:ascii="Calibri" w:cs="Calibri" w:eastAsia="Calibri" w:hAnsi="Calibri"/>
                <w:sz w:val="18"/>
                <w:szCs w:val="18"/>
              </w:rPr>
              <w:t xml:space="preserve">Rejected</w:t>
            </w:r>
          </w:p>
        </w:tc>
      </w:tr>
      <w:tr>
        <w:trPr>
          <w:cantSplit/>
          <w:tblHeader w:val="false"/>
        </w:trPr>
        <w:tc>
          <w:tcPr>
            <w:tcW w:type="dxa" w:w="2300"/>
            <w:tcBorders>
              <w:top w:val="single" w:color="7F7F7F" w:sz="4"/>
              <w:left w:val="single" w:color="7F7F7F" w:sz="4"/>
              <w:bottom w:val="single" w:color="7F7F7F" w:sz="4"/>
              <w:right w:val="single" w:color="7F7F7F" w:sz="4"/>
            </w:tcBorders>
            <w:tcMar>
              <w:top w:type="dxa" w:w="35"/>
              <w:left w:type="dxa" w:w="80"/>
              <w:bottom w:type="dxa" w:w="35"/>
              <w:right w:type="dxa" w:w="80"/>
            </w:tcMar>
          </w:tcPr>
          <w:p>
            <w:pPr>
              <w:spacing w:after="0"/>
            </w:pPr>
            <w:r>
              <w:rPr>
                <w:rFonts w:ascii="Calibri" w:cs="Calibri" w:eastAsia="Calibri" w:hAnsi="Calibri"/>
                <w:sz w:val="18"/>
                <w:szCs w:val="18"/>
              </w:rPr>
              <w:t xml:space="preserve">Approved preferences</w:t>
            </w:r>
          </w:p>
        </w:tc>
        <w:tc>
          <w:tcPr>
            <w:tcW w:type="dxa" w:w="4300"/>
            <w:tcBorders>
              <w:top w:val="single" w:color="7F7F7F" w:sz="4"/>
              <w:left w:val="single" w:color="7F7F7F" w:sz="4"/>
              <w:bottom w:val="single" w:color="7F7F7F" w:sz="4"/>
              <w:right w:val="single" w:color="7F7F7F" w:sz="4"/>
            </w:tcBorders>
            <w:tcMar>
              <w:top w:type="dxa" w:w="35"/>
              <w:left w:type="dxa" w:w="80"/>
              <w:bottom w:type="dxa" w:w="35"/>
              <w:right w:type="dxa" w:w="80"/>
            </w:tcMar>
          </w:tcPr>
          <w:p>
            <w:pPr>
              <w:spacing w:after="0"/>
            </w:pPr>
            <w:r>
              <w:rPr>
                <w:rFonts w:ascii="Calibri" w:cs="Calibri" w:eastAsia="Calibri" w:hAnsi="Calibri"/>
                <w:sz w:val="18"/>
                <w:szCs w:val="18"/>
              </w:rPr>
              <w:t xml:space="preserve">No preference in this workflow is worth storing; it would add data without a task benefit.</w:t>
            </w:r>
          </w:p>
        </w:tc>
        <w:tc>
          <w:tcPr>
            <w:tcW w:type="dxa" w:w="3640"/>
            <w:tcBorders>
              <w:top w:val="single" w:color="7F7F7F" w:sz="4"/>
              <w:left w:val="single" w:color="7F7F7F" w:sz="4"/>
              <w:bottom w:val="single" w:color="7F7F7F" w:sz="4"/>
              <w:right w:val="single" w:color="7F7F7F" w:sz="4"/>
            </w:tcBorders>
            <w:tcMar>
              <w:top w:type="dxa" w:w="35"/>
              <w:left w:type="dxa" w:w="80"/>
              <w:bottom w:type="dxa" w:w="35"/>
              <w:right w:type="dxa" w:w="80"/>
            </w:tcMar>
          </w:tcPr>
          <w:p>
            <w:pPr>
              <w:spacing w:after="0"/>
            </w:pPr>
            <w:r>
              <w:rPr>
                <w:rFonts w:ascii="Calibri" w:cs="Calibri" w:eastAsia="Calibri" w:hAnsi="Calibri"/>
                <w:sz w:val="18"/>
                <w:szCs w:val="18"/>
              </w:rPr>
              <w:t xml:space="preserve">Rejected</w:t>
            </w:r>
          </w:p>
        </w:tc>
      </w:tr>
      <w:tr>
        <w:trPr>
          <w:cantSplit/>
          <w:tblHeader w:val="false"/>
        </w:trPr>
        <w:tc>
          <w:tcPr>
            <w:tcW w:type="dxa" w:w="2300"/>
            <w:tcBorders>
              <w:top w:val="single" w:color="7F7F7F" w:sz="4"/>
              <w:left w:val="single" w:color="7F7F7F" w:sz="4"/>
              <w:bottom w:val="single" w:color="7F7F7F" w:sz="4"/>
              <w:right w:val="single" w:color="7F7F7F" w:sz="4"/>
            </w:tcBorders>
            <w:tcMar>
              <w:top w:type="dxa" w:w="35"/>
              <w:left w:type="dxa" w:w="80"/>
              <w:bottom w:type="dxa" w:w="35"/>
              <w:right w:type="dxa" w:w="80"/>
            </w:tcMar>
          </w:tcPr>
          <w:p>
            <w:pPr>
              <w:spacing w:after="0"/>
            </w:pPr>
            <w:r>
              <w:rPr>
                <w:rFonts w:ascii="Calibri" w:cs="Calibri" w:eastAsia="Calibri" w:hAnsi="Calibri"/>
                <w:sz w:val="18"/>
                <w:szCs w:val="18"/>
              </w:rPr>
              <w:t xml:space="preserve">Prior task result (a draft or a stop reason)</w:t>
            </w:r>
          </w:p>
        </w:tc>
        <w:tc>
          <w:tcPr>
            <w:tcW w:type="dxa" w:w="4300"/>
            <w:tcBorders>
              <w:top w:val="single" w:color="7F7F7F" w:sz="4"/>
              <w:left w:val="single" w:color="7F7F7F" w:sz="4"/>
              <w:bottom w:val="single" w:color="7F7F7F" w:sz="4"/>
              <w:right w:val="single" w:color="7F7F7F" w:sz="4"/>
            </w:tcBorders>
            <w:tcMar>
              <w:top w:type="dxa" w:w="35"/>
              <w:left w:type="dxa" w:w="80"/>
              <w:bottom w:type="dxa" w:w="35"/>
              <w:right w:type="dxa" w:w="80"/>
            </w:tcMar>
          </w:tcPr>
          <w:p>
            <w:pPr>
              <w:spacing w:after="0"/>
            </w:pPr>
            <w:r>
              <w:rPr>
                <w:rFonts w:ascii="Calibri" w:cs="Calibri" w:eastAsia="Calibri" w:hAnsi="Calibri"/>
                <w:sz w:val="18"/>
                <w:szCs w:val="18"/>
              </w:rPr>
              <w:t xml:space="preserve">Stored outputs could silently steer later decisions and become stale.</w:t>
            </w:r>
          </w:p>
        </w:tc>
        <w:tc>
          <w:tcPr>
            <w:tcW w:type="dxa" w:w="3640"/>
            <w:tcBorders>
              <w:top w:val="single" w:color="7F7F7F" w:sz="4"/>
              <w:left w:val="single" w:color="7F7F7F" w:sz="4"/>
              <w:bottom w:val="single" w:color="7F7F7F" w:sz="4"/>
              <w:right w:val="single" w:color="7F7F7F" w:sz="4"/>
            </w:tcBorders>
            <w:tcMar>
              <w:top w:type="dxa" w:w="35"/>
              <w:left w:type="dxa" w:w="80"/>
              <w:bottom w:type="dxa" w:w="35"/>
              <w:right w:type="dxa" w:w="80"/>
            </w:tcMar>
          </w:tcPr>
          <w:p>
            <w:pPr>
              <w:spacing w:after="0"/>
            </w:pPr>
            <w:r>
              <w:rPr>
                <w:rFonts w:ascii="Calibri" w:cs="Calibri" w:eastAsia="Calibri" w:hAnsi="Calibri"/>
                <w:sz w:val="18"/>
                <w:szCs w:val="18"/>
              </w:rPr>
              <w:t xml:space="preserve">Rejected</w:t>
            </w:r>
          </w:p>
        </w:tc>
      </w:tr>
    </w:tbl>
    <w:p>
      <w:pPr>
        <w:spacing w:after="40" w:before="60"/>
      </w:pPr>
      <w:r>
        <w:rPr>
          <w:rFonts w:ascii="Calibri" w:cs="Calibri" w:eastAsia="Calibri" w:hAnsi="Calibri"/>
          <w:b/>
          <w:bCs/>
          <w:sz w:val="18"/>
          <w:szCs w:val="18"/>
        </w:rPr>
        <w:t xml:space="preserve">Measured benefit.</w:t>
      </w:r>
      <w:r>
        <w:rPr>
          <w:rFonts w:ascii="Calibri" w:cs="Calibri" w:eastAsia="Calibri" w:hAnsi="Calibri"/>
          <w:sz w:val="18"/>
          <w:szCs w:val="18"/>
        </w:rPr>
        <w:t xml:space="preserve"> In scenario M1 the follow-up takes </w:t>
      </w:r>
      <w:r>
        <w:rPr>
          <w:rFonts w:ascii="Calibri" w:cs="Calibri" w:eastAsia="Calibri" w:hAnsi="Calibri"/>
          <w:b/>
          <w:bCs/>
          <w:sz w:val="18"/>
          <w:szCs w:val="18"/>
        </w:rPr>
        <w:t xml:space="preserve">1 turn with memory and 2 turns without</w:t>
      </w:r>
      <w:r>
        <w:rPr>
          <w:rFonts w:ascii="Calibri" w:cs="Calibri" w:eastAsia="Calibri" w:hAnsi="Calibri"/>
          <w:sz w:val="18"/>
          <w:szCs w:val="18"/>
        </w:rPr>
        <w:t xml:space="preserve"> (the agent must otherwise ask for the ID). The benefit is modest by design: it is the smallest memory that improves a legitimate task.</w:t>
      </w:r>
    </w:p>
    <w:p>
      <w:pPr>
        <w:pStyle w:val="Heading2"/>
        <w:keepNext/>
        <w:spacing w:after="50" w:before="120"/>
      </w:pPr>
      <w:r>
        <w:rPr>
          <w:rFonts w:ascii="Calibri" w:cs="Calibri" w:eastAsia="Calibri" w:hAnsi="Calibri"/>
          <w:b/>
          <w:bCs/>
          <w:color w:val="2F5496"/>
          <w:sz w:val="22"/>
          <w:szCs w:val="22"/>
        </w:rPr>
        <w:t xml:space="preserve">2. What is stored, and what is not</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900"/>
        <w:gridCol w:w="2700"/>
        <w:gridCol w:w="5640"/>
      </w:tblGrid>
      <w:tr>
        <w:trPr>
          <w:cantSplit/>
          <w:tblHeader/>
        </w:trPr>
        <w:tc>
          <w:tcPr>
            <w:tcW w:type="dxa" w:w="1900"/>
            <w:tcBorders>
              <w:top w:val="single" w:color="7F7F7F" w:sz="4"/>
              <w:left w:val="single" w:color="7F7F7F" w:sz="4"/>
              <w:bottom w:val="single" w:color="7F7F7F" w:sz="4"/>
              <w:right w:val="single" w:color="7F7F7F" w:sz="4"/>
            </w:tcBorders>
            <w:shd w:fill="D9E6F5" w:color="auto" w:val="clear"/>
            <w:tcMar>
              <w:top w:type="dxa" w:w="35"/>
              <w:left w:type="dxa" w:w="80"/>
              <w:bottom w:type="dxa" w:w="35"/>
              <w:right w:type="dxa" w:w="80"/>
            </w:tcMar>
          </w:tcPr>
          <w:p>
            <w:pPr>
              <w:spacing w:after="0"/>
            </w:pPr>
            <w:r>
              <w:rPr>
                <w:rFonts w:ascii="Calibri" w:cs="Calibri" w:eastAsia="Calibri" w:hAnsi="Calibri"/>
                <w:b/>
                <w:bCs/>
                <w:sz w:val="18"/>
                <w:szCs w:val="18"/>
              </w:rPr>
              <w:t xml:space="preserve">Field</w:t>
            </w:r>
          </w:p>
        </w:tc>
        <w:tc>
          <w:tcPr>
            <w:tcW w:type="dxa" w:w="2700"/>
            <w:tcBorders>
              <w:top w:val="single" w:color="7F7F7F" w:sz="4"/>
              <w:left w:val="single" w:color="7F7F7F" w:sz="4"/>
              <w:bottom w:val="single" w:color="7F7F7F" w:sz="4"/>
              <w:right w:val="single" w:color="7F7F7F" w:sz="4"/>
            </w:tcBorders>
            <w:shd w:fill="D9E6F5" w:color="auto" w:val="clear"/>
            <w:tcMar>
              <w:top w:type="dxa" w:w="35"/>
              <w:left w:type="dxa" w:w="80"/>
              <w:bottom w:type="dxa" w:w="35"/>
              <w:right w:type="dxa" w:w="80"/>
            </w:tcMar>
          </w:tcPr>
          <w:p>
            <w:pPr>
              <w:spacing w:after="0"/>
            </w:pPr>
            <w:r>
              <w:rPr>
                <w:rFonts w:ascii="Calibri" w:cs="Calibri" w:eastAsia="Calibri" w:hAnsi="Calibri"/>
                <w:b/>
                <w:bCs/>
                <w:sz w:val="18"/>
                <w:szCs w:val="18"/>
              </w:rPr>
              <w:t xml:space="preserve">Example</w:t>
            </w:r>
          </w:p>
        </w:tc>
        <w:tc>
          <w:tcPr>
            <w:tcW w:type="dxa" w:w="5640"/>
            <w:tcBorders>
              <w:top w:val="single" w:color="7F7F7F" w:sz="4"/>
              <w:left w:val="single" w:color="7F7F7F" w:sz="4"/>
              <w:bottom w:val="single" w:color="7F7F7F" w:sz="4"/>
              <w:right w:val="single" w:color="7F7F7F" w:sz="4"/>
            </w:tcBorders>
            <w:shd w:fill="D9E6F5" w:color="auto" w:val="clear"/>
            <w:tcMar>
              <w:top w:type="dxa" w:w="35"/>
              <w:left w:type="dxa" w:w="80"/>
              <w:bottom w:type="dxa" w:w="35"/>
              <w:right w:type="dxa" w:w="80"/>
            </w:tcMar>
          </w:tcPr>
          <w:p>
            <w:pPr>
              <w:spacing w:after="0"/>
            </w:pPr>
            <w:r>
              <w:rPr>
                <w:rFonts w:ascii="Calibri" w:cs="Calibri" w:eastAsia="Calibri" w:hAnsi="Calibri"/>
                <w:b/>
                <w:bCs/>
                <w:sz w:val="18"/>
                <w:szCs w:val="18"/>
              </w:rPr>
              <w:t xml:space="preserve">Purpose</w:t>
            </w:r>
          </w:p>
        </w:tc>
      </w:tr>
      <w:tr>
        <w:trPr>
          <w:cantSplit/>
          <w:tblHeader w:val="false"/>
        </w:trPr>
        <w:tc>
          <w:tcPr>
            <w:tcW w:type="dxa" w:w="1900"/>
            <w:tcBorders>
              <w:top w:val="single" w:color="7F7F7F" w:sz="4"/>
              <w:left w:val="single" w:color="7F7F7F" w:sz="4"/>
              <w:bottom w:val="single" w:color="7F7F7F" w:sz="4"/>
              <w:right w:val="single" w:color="7F7F7F" w:sz="4"/>
            </w:tcBorders>
            <w:tcMar>
              <w:top w:type="dxa" w:w="35"/>
              <w:left w:type="dxa" w:w="80"/>
              <w:bottom w:type="dxa" w:w="35"/>
              <w:right w:type="dxa" w:w="80"/>
            </w:tcMar>
          </w:tcPr>
          <w:p>
            <w:pPr>
              <w:spacing w:after="0"/>
            </w:pPr>
            <w:r>
              <w:rPr>
                <w:rFonts w:ascii="Calibri" w:cs="Calibri" w:eastAsia="Calibri" w:hAnsi="Calibri"/>
                <w:sz w:val="18"/>
                <w:szCs w:val="18"/>
              </w:rPr>
              <w:t xml:space="preserve">student_id (record key)</w:t>
            </w:r>
          </w:p>
        </w:tc>
        <w:tc>
          <w:tcPr>
            <w:tcW w:type="dxa" w:w="2700"/>
            <w:tcBorders>
              <w:top w:val="single" w:color="7F7F7F" w:sz="4"/>
              <w:left w:val="single" w:color="7F7F7F" w:sz="4"/>
              <w:bottom w:val="single" w:color="7F7F7F" w:sz="4"/>
              <w:right w:val="single" w:color="7F7F7F" w:sz="4"/>
            </w:tcBorders>
            <w:tcMar>
              <w:top w:type="dxa" w:w="35"/>
              <w:left w:type="dxa" w:w="80"/>
              <w:bottom w:type="dxa" w:w="35"/>
              <w:right w:type="dxa" w:w="80"/>
            </w:tcMar>
          </w:tcPr>
          <w:p>
            <w:pPr>
              <w:spacing w:after="0"/>
            </w:pPr>
            <w:r>
              <w:rPr>
                <w:rFonts w:ascii="Calibri" w:cs="Calibri" w:eastAsia="Calibri" w:hAnsi="Calibri"/>
                <w:sz w:val="18"/>
                <w:szCs w:val="18"/>
              </w:rPr>
              <w:t xml:space="preserve">2300701098</w:t>
            </w:r>
          </w:p>
        </w:tc>
        <w:tc>
          <w:tcPr>
            <w:tcW w:type="dxa" w:w="5640"/>
            <w:tcBorders>
              <w:top w:val="single" w:color="7F7F7F" w:sz="4"/>
              <w:left w:val="single" w:color="7F7F7F" w:sz="4"/>
              <w:bottom w:val="single" w:color="7F7F7F" w:sz="4"/>
              <w:right w:val="single" w:color="7F7F7F" w:sz="4"/>
            </w:tcBorders>
            <w:tcMar>
              <w:top w:type="dxa" w:w="35"/>
              <w:left w:type="dxa" w:w="80"/>
              <w:bottom w:type="dxa" w:w="35"/>
              <w:right w:type="dxa" w:w="80"/>
            </w:tcMar>
          </w:tcPr>
          <w:p>
            <w:pPr>
              <w:spacing w:after="0"/>
            </w:pPr>
            <w:r>
              <w:rPr>
                <w:rFonts w:ascii="Calibri" w:cs="Calibri" w:eastAsia="Calibri" w:hAnsi="Calibri"/>
                <w:sz w:val="18"/>
                <w:szCs w:val="18"/>
              </w:rPr>
              <w:t xml:space="preserve">Ensures a record is only read for the same signed-in student</w:t>
            </w:r>
          </w:p>
        </w:tc>
      </w:tr>
      <w:tr>
        <w:trPr>
          <w:cantSplit/>
          <w:tblHeader w:val="false"/>
        </w:trPr>
        <w:tc>
          <w:tcPr>
            <w:tcW w:type="dxa" w:w="1900"/>
            <w:tcBorders>
              <w:top w:val="single" w:color="7F7F7F" w:sz="4"/>
              <w:left w:val="single" w:color="7F7F7F" w:sz="4"/>
              <w:bottom w:val="single" w:color="7F7F7F" w:sz="4"/>
              <w:right w:val="single" w:color="7F7F7F" w:sz="4"/>
            </w:tcBorders>
            <w:tcMar>
              <w:top w:type="dxa" w:w="35"/>
              <w:left w:type="dxa" w:w="80"/>
              <w:bottom w:type="dxa" w:w="35"/>
              <w:right w:type="dxa" w:w="80"/>
            </w:tcMar>
          </w:tcPr>
          <w:p>
            <w:pPr>
              <w:spacing w:after="0"/>
            </w:pPr>
            <w:r>
              <w:rPr>
                <w:rFonts w:ascii="Calibri" w:cs="Calibri" w:eastAsia="Calibri" w:hAnsi="Calibri"/>
                <w:sz w:val="18"/>
                <w:szCs w:val="18"/>
              </w:rPr>
              <w:t xml:space="preserve">active_case_id</w:t>
            </w:r>
          </w:p>
        </w:tc>
        <w:tc>
          <w:tcPr>
            <w:tcW w:type="dxa" w:w="2700"/>
            <w:tcBorders>
              <w:top w:val="single" w:color="7F7F7F" w:sz="4"/>
              <w:left w:val="single" w:color="7F7F7F" w:sz="4"/>
              <w:bottom w:val="single" w:color="7F7F7F" w:sz="4"/>
              <w:right w:val="single" w:color="7F7F7F" w:sz="4"/>
            </w:tcBorders>
            <w:tcMar>
              <w:top w:type="dxa" w:w="35"/>
              <w:left w:type="dxa" w:w="80"/>
              <w:bottom w:type="dxa" w:w="35"/>
              <w:right w:type="dxa" w:w="80"/>
            </w:tcMar>
          </w:tcPr>
          <w:p>
            <w:pPr>
              <w:spacing w:after="0"/>
            </w:pPr>
            <w:r>
              <w:rPr>
                <w:rFonts w:ascii="Calibri" w:cs="Calibri" w:eastAsia="Calibri" w:hAnsi="Calibri"/>
                <w:sz w:val="18"/>
                <w:szCs w:val="18"/>
              </w:rPr>
              <w:t xml:space="preserve">CASE-0005</w:t>
            </w:r>
          </w:p>
        </w:tc>
        <w:tc>
          <w:tcPr>
            <w:tcW w:type="dxa" w:w="5640"/>
            <w:tcBorders>
              <w:top w:val="single" w:color="7F7F7F" w:sz="4"/>
              <w:left w:val="single" w:color="7F7F7F" w:sz="4"/>
              <w:bottom w:val="single" w:color="7F7F7F" w:sz="4"/>
              <w:right w:val="single" w:color="7F7F7F" w:sz="4"/>
            </w:tcBorders>
            <w:tcMar>
              <w:top w:type="dxa" w:w="35"/>
              <w:left w:type="dxa" w:w="80"/>
              <w:bottom w:type="dxa" w:w="35"/>
              <w:right w:type="dxa" w:w="80"/>
            </w:tcMar>
          </w:tcPr>
          <w:p>
            <w:pPr>
              <w:spacing w:after="0"/>
            </w:pPr>
            <w:r>
              <w:rPr>
                <w:rFonts w:ascii="Calibri" w:cs="Calibri" w:eastAsia="Calibri" w:hAnsi="Calibri"/>
                <w:sz w:val="18"/>
                <w:szCs w:val="18"/>
              </w:rPr>
              <w:t xml:space="preserve">The case the student most recently created or cited as their own</w:t>
            </w:r>
          </w:p>
        </w:tc>
      </w:tr>
      <w:tr>
        <w:trPr>
          <w:cantSplit/>
          <w:tblHeader w:val="false"/>
        </w:trPr>
        <w:tc>
          <w:tcPr>
            <w:tcW w:type="dxa" w:w="1900"/>
            <w:tcBorders>
              <w:top w:val="single" w:color="7F7F7F" w:sz="4"/>
              <w:left w:val="single" w:color="7F7F7F" w:sz="4"/>
              <w:bottom w:val="single" w:color="7F7F7F" w:sz="4"/>
              <w:right w:val="single" w:color="7F7F7F" w:sz="4"/>
            </w:tcBorders>
            <w:tcMar>
              <w:top w:type="dxa" w:w="35"/>
              <w:left w:type="dxa" w:w="80"/>
              <w:bottom w:type="dxa" w:w="35"/>
              <w:right w:type="dxa" w:w="80"/>
            </w:tcMar>
          </w:tcPr>
          <w:p>
            <w:pPr>
              <w:spacing w:after="0"/>
            </w:pPr>
            <w:r>
              <w:rPr>
                <w:rFonts w:ascii="Calibri" w:cs="Calibri" w:eastAsia="Calibri" w:hAnsi="Calibri"/>
                <w:sz w:val="18"/>
                <w:szCs w:val="18"/>
              </w:rPr>
              <w:t xml:space="preserve">source</w:t>
            </w:r>
          </w:p>
        </w:tc>
        <w:tc>
          <w:tcPr>
            <w:tcW w:type="dxa" w:w="2700"/>
            <w:tcBorders>
              <w:top w:val="single" w:color="7F7F7F" w:sz="4"/>
              <w:left w:val="single" w:color="7F7F7F" w:sz="4"/>
              <w:bottom w:val="single" w:color="7F7F7F" w:sz="4"/>
              <w:right w:val="single" w:color="7F7F7F" w:sz="4"/>
            </w:tcBorders>
            <w:tcMar>
              <w:top w:type="dxa" w:w="35"/>
              <w:left w:type="dxa" w:w="80"/>
              <w:bottom w:type="dxa" w:w="35"/>
              <w:right w:type="dxa" w:w="80"/>
            </w:tcMar>
          </w:tcPr>
          <w:p>
            <w:pPr>
              <w:spacing w:after="0"/>
            </w:pPr>
            <w:r>
              <w:rPr>
                <w:rFonts w:ascii="Calibri" w:cs="Calibri" w:eastAsia="Calibri" w:hAnsi="Calibri"/>
                <w:sz w:val="18"/>
                <w:szCs w:val="18"/>
              </w:rPr>
              <w:t xml:space="preserve">created | cited</w:t>
            </w:r>
          </w:p>
        </w:tc>
        <w:tc>
          <w:tcPr>
            <w:tcW w:type="dxa" w:w="5640"/>
            <w:tcBorders>
              <w:top w:val="single" w:color="7F7F7F" w:sz="4"/>
              <w:left w:val="single" w:color="7F7F7F" w:sz="4"/>
              <w:bottom w:val="single" w:color="7F7F7F" w:sz="4"/>
              <w:right w:val="single" w:color="7F7F7F" w:sz="4"/>
            </w:tcBorders>
            <w:tcMar>
              <w:top w:type="dxa" w:w="35"/>
              <w:left w:type="dxa" w:w="80"/>
              <w:bottom w:type="dxa" w:w="35"/>
              <w:right w:type="dxa" w:w="80"/>
            </w:tcMar>
          </w:tcPr>
          <w:p>
            <w:pPr>
              <w:spacing w:after="0"/>
            </w:pPr>
            <w:r>
              <w:rPr>
                <w:rFonts w:ascii="Calibri" w:cs="Calibri" w:eastAsia="Calibri" w:hAnsi="Calibri"/>
                <w:sz w:val="18"/>
                <w:szCs w:val="18"/>
              </w:rPr>
              <w:t xml:space="preserve">Records how the ID was learned</w:t>
            </w:r>
          </w:p>
        </w:tc>
      </w:tr>
      <w:tr>
        <w:trPr>
          <w:cantSplit/>
          <w:tblHeader w:val="false"/>
        </w:trPr>
        <w:tc>
          <w:tcPr>
            <w:tcW w:type="dxa" w:w="1900"/>
            <w:tcBorders>
              <w:top w:val="single" w:color="7F7F7F" w:sz="4"/>
              <w:left w:val="single" w:color="7F7F7F" w:sz="4"/>
              <w:bottom w:val="single" w:color="7F7F7F" w:sz="4"/>
              <w:right w:val="single" w:color="7F7F7F" w:sz="4"/>
            </w:tcBorders>
            <w:tcMar>
              <w:top w:type="dxa" w:w="35"/>
              <w:left w:type="dxa" w:w="80"/>
              <w:bottom w:type="dxa" w:w="35"/>
              <w:right w:type="dxa" w:w="80"/>
            </w:tcMar>
          </w:tcPr>
          <w:p>
            <w:pPr>
              <w:spacing w:after="0"/>
            </w:pPr>
            <w:r>
              <w:rPr>
                <w:rFonts w:ascii="Calibri" w:cs="Calibri" w:eastAsia="Calibri" w:hAnsi="Calibri"/>
                <w:sz w:val="18"/>
                <w:szCs w:val="18"/>
              </w:rPr>
              <w:t xml:space="preserve">set_at, expires_at</w:t>
            </w:r>
          </w:p>
        </w:tc>
        <w:tc>
          <w:tcPr>
            <w:tcW w:type="dxa" w:w="2700"/>
            <w:tcBorders>
              <w:top w:val="single" w:color="7F7F7F" w:sz="4"/>
              <w:left w:val="single" w:color="7F7F7F" w:sz="4"/>
              <w:bottom w:val="single" w:color="7F7F7F" w:sz="4"/>
              <w:right w:val="single" w:color="7F7F7F" w:sz="4"/>
            </w:tcBorders>
            <w:tcMar>
              <w:top w:type="dxa" w:w="35"/>
              <w:left w:type="dxa" w:w="80"/>
              <w:bottom w:type="dxa" w:w="35"/>
              <w:right w:type="dxa" w:w="80"/>
            </w:tcMar>
          </w:tcPr>
          <w:p>
            <w:pPr>
              <w:spacing w:after="0"/>
            </w:pPr>
            <w:r>
              <w:rPr>
                <w:rFonts w:ascii="Calibri" w:cs="Calibri" w:eastAsia="Calibri" w:hAnsi="Calibri"/>
                <w:sz w:val="18"/>
                <w:szCs w:val="18"/>
              </w:rPr>
              <w:t xml:space="preserve">ISO timestamps, 30 days apart</w:t>
            </w:r>
          </w:p>
        </w:tc>
        <w:tc>
          <w:tcPr>
            <w:tcW w:type="dxa" w:w="5640"/>
            <w:tcBorders>
              <w:top w:val="single" w:color="7F7F7F" w:sz="4"/>
              <w:left w:val="single" w:color="7F7F7F" w:sz="4"/>
              <w:bottom w:val="single" w:color="7F7F7F" w:sz="4"/>
              <w:right w:val="single" w:color="7F7F7F" w:sz="4"/>
            </w:tcBorders>
            <w:tcMar>
              <w:top w:type="dxa" w:w="35"/>
              <w:left w:type="dxa" w:w="80"/>
              <w:bottom w:type="dxa" w:w="35"/>
              <w:right w:type="dxa" w:w="80"/>
            </w:tcMar>
          </w:tcPr>
          <w:p>
            <w:pPr>
              <w:spacing w:after="0"/>
            </w:pPr>
            <w:r>
              <w:rPr>
                <w:rFonts w:ascii="Calibri" w:cs="Calibri" w:eastAsia="Calibri" w:hAnsi="Calibri"/>
                <w:sz w:val="18"/>
                <w:szCs w:val="18"/>
              </w:rPr>
              <w:t xml:space="preserve">Enforces retention</w:t>
            </w:r>
          </w:p>
        </w:tc>
      </w:tr>
    </w:tbl>
    <w:p>
      <w:pPr>
        <w:spacing w:after="40" w:before="60"/>
      </w:pPr>
      <w:r>
        <w:rPr>
          <w:rFonts w:ascii="Calibri" w:cs="Calibri" w:eastAsia="Calibri" w:hAnsi="Calibri"/>
          <w:b/>
          <w:bCs/>
          <w:sz w:val="18"/>
          <w:szCs w:val="18"/>
        </w:rPr>
        <w:t xml:space="preserve">Never stored in memory:</w:t>
      </w:r>
      <w:r>
        <w:rPr>
          <w:rFonts w:ascii="Calibri" w:cs="Calibri" w:eastAsia="Calibri" w:hAnsi="Calibri"/>
          <w:sz w:val="18"/>
          <w:szCs w:val="18"/>
        </w:rPr>
        <w:t xml:space="preserve"> message text, name, case description, course details, draft, approval state, model output, status or any other case content. Status is always fetched live. Scenario M7 checks the stored record and the audit log for free text.</w:t>
      </w:r>
    </w:p>
    <w:p>
      <w:pPr>
        <w:pStyle w:val="Heading2"/>
        <w:keepNext/>
        <w:spacing w:after="50" w:before="120"/>
      </w:pPr>
      <w:r>
        <w:rPr>
          <w:rFonts w:ascii="Calibri" w:cs="Calibri" w:eastAsia="Calibri" w:hAnsi="Calibri"/>
          <w:b/>
          <w:bCs/>
          <w:color w:val="2F5496"/>
          <w:sz w:val="22"/>
          <w:szCs w:val="22"/>
        </w:rPr>
        <w:t xml:space="preserve">3. Who can access it</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2200"/>
        <w:gridCol w:w="2900"/>
        <w:gridCol w:w="5140"/>
      </w:tblGrid>
      <w:tr>
        <w:trPr>
          <w:cantSplit/>
          <w:tblHeader/>
        </w:trPr>
        <w:tc>
          <w:tcPr>
            <w:tcW w:type="dxa" w:w="2200"/>
            <w:tcBorders>
              <w:top w:val="single" w:color="7F7F7F" w:sz="4"/>
              <w:left w:val="single" w:color="7F7F7F" w:sz="4"/>
              <w:bottom w:val="single" w:color="7F7F7F" w:sz="4"/>
              <w:right w:val="single" w:color="7F7F7F" w:sz="4"/>
            </w:tcBorders>
            <w:shd w:fill="D9E6F5" w:color="auto" w:val="clear"/>
            <w:tcMar>
              <w:top w:type="dxa" w:w="35"/>
              <w:left w:type="dxa" w:w="80"/>
              <w:bottom w:type="dxa" w:w="35"/>
              <w:right w:type="dxa" w:w="80"/>
            </w:tcMar>
          </w:tcPr>
          <w:p>
            <w:pPr>
              <w:spacing w:after="0"/>
            </w:pPr>
            <w:r>
              <w:rPr>
                <w:rFonts w:ascii="Calibri" w:cs="Calibri" w:eastAsia="Calibri" w:hAnsi="Calibri"/>
                <w:b/>
                <w:bCs/>
                <w:sz w:val="18"/>
                <w:szCs w:val="18"/>
              </w:rPr>
              <w:t xml:space="preserve">Actor</w:t>
            </w:r>
          </w:p>
        </w:tc>
        <w:tc>
          <w:tcPr>
            <w:tcW w:type="dxa" w:w="2900"/>
            <w:tcBorders>
              <w:top w:val="single" w:color="7F7F7F" w:sz="4"/>
              <w:left w:val="single" w:color="7F7F7F" w:sz="4"/>
              <w:bottom w:val="single" w:color="7F7F7F" w:sz="4"/>
              <w:right w:val="single" w:color="7F7F7F" w:sz="4"/>
            </w:tcBorders>
            <w:shd w:fill="D9E6F5" w:color="auto" w:val="clear"/>
            <w:tcMar>
              <w:top w:type="dxa" w:w="35"/>
              <w:left w:type="dxa" w:w="80"/>
              <w:bottom w:type="dxa" w:w="35"/>
              <w:right w:type="dxa" w:w="80"/>
            </w:tcMar>
          </w:tcPr>
          <w:p>
            <w:pPr>
              <w:spacing w:after="0"/>
            </w:pPr>
            <w:r>
              <w:rPr>
                <w:rFonts w:ascii="Calibri" w:cs="Calibri" w:eastAsia="Calibri" w:hAnsi="Calibri"/>
                <w:b/>
                <w:bCs/>
                <w:sz w:val="18"/>
                <w:szCs w:val="18"/>
              </w:rPr>
              <w:t xml:space="preserve">Access</w:t>
            </w:r>
          </w:p>
        </w:tc>
        <w:tc>
          <w:tcPr>
            <w:tcW w:type="dxa" w:w="5140"/>
            <w:tcBorders>
              <w:top w:val="single" w:color="7F7F7F" w:sz="4"/>
              <w:left w:val="single" w:color="7F7F7F" w:sz="4"/>
              <w:bottom w:val="single" w:color="7F7F7F" w:sz="4"/>
              <w:right w:val="single" w:color="7F7F7F" w:sz="4"/>
            </w:tcBorders>
            <w:shd w:fill="D9E6F5" w:color="auto" w:val="clear"/>
            <w:tcMar>
              <w:top w:type="dxa" w:w="35"/>
              <w:left w:type="dxa" w:w="80"/>
              <w:bottom w:type="dxa" w:w="35"/>
              <w:right w:type="dxa" w:w="80"/>
            </w:tcMar>
          </w:tcPr>
          <w:p>
            <w:pPr>
              <w:spacing w:after="0"/>
            </w:pPr>
            <w:r>
              <w:rPr>
                <w:rFonts w:ascii="Calibri" w:cs="Calibri" w:eastAsia="Calibri" w:hAnsi="Calibri"/>
                <w:b/>
                <w:bCs/>
                <w:sz w:val="18"/>
                <w:szCs w:val="18"/>
              </w:rPr>
              <w:t xml:space="preserve">Notes</w:t>
            </w:r>
          </w:p>
        </w:tc>
      </w:tr>
      <w:tr>
        <w:trPr>
          <w:cantSplit/>
          <w:tblHeader w:val="false"/>
        </w:trPr>
        <w:tc>
          <w:tcPr>
            <w:tcW w:type="dxa" w:w="2200"/>
            <w:tcBorders>
              <w:top w:val="single" w:color="7F7F7F" w:sz="4"/>
              <w:left w:val="single" w:color="7F7F7F" w:sz="4"/>
              <w:bottom w:val="single" w:color="7F7F7F" w:sz="4"/>
              <w:right w:val="single" w:color="7F7F7F" w:sz="4"/>
            </w:tcBorders>
            <w:tcMar>
              <w:top w:type="dxa" w:w="35"/>
              <w:left w:type="dxa" w:w="80"/>
              <w:bottom w:type="dxa" w:w="35"/>
              <w:right w:type="dxa" w:w="80"/>
            </w:tcMar>
          </w:tcPr>
          <w:p>
            <w:pPr>
              <w:spacing w:after="0"/>
            </w:pPr>
            <w:r>
              <w:rPr>
                <w:rFonts w:ascii="Calibri" w:cs="Calibri" w:eastAsia="Calibri" w:hAnsi="Calibri"/>
                <w:sz w:val="18"/>
                <w:szCs w:val="18"/>
              </w:rPr>
              <w:t xml:space="preserve">Student</w:t>
            </w:r>
          </w:p>
        </w:tc>
        <w:tc>
          <w:tcPr>
            <w:tcW w:type="dxa" w:w="2900"/>
            <w:tcBorders>
              <w:top w:val="single" w:color="7F7F7F" w:sz="4"/>
              <w:left w:val="single" w:color="7F7F7F" w:sz="4"/>
              <w:bottom w:val="single" w:color="7F7F7F" w:sz="4"/>
              <w:right w:val="single" w:color="7F7F7F" w:sz="4"/>
            </w:tcBorders>
            <w:tcMar>
              <w:top w:type="dxa" w:w="35"/>
              <w:left w:type="dxa" w:w="80"/>
              <w:bottom w:type="dxa" w:w="35"/>
              <w:right w:type="dxa" w:w="80"/>
            </w:tcMar>
          </w:tcPr>
          <w:p>
            <w:pPr>
              <w:spacing w:after="0"/>
            </w:pPr>
            <w:r>
              <w:rPr>
                <w:rFonts w:ascii="Calibri" w:cs="Calibri" w:eastAsia="Calibri" w:hAnsi="Calibri"/>
                <w:sz w:val="18"/>
                <w:szCs w:val="18"/>
              </w:rPr>
              <w:t xml:space="preserve">Indirect read through the status follow-up; delete by saying "forget my session"</w:t>
            </w:r>
          </w:p>
        </w:tc>
        <w:tc>
          <w:tcPr>
            <w:tcW w:type="dxa" w:w="5140"/>
            <w:tcBorders>
              <w:top w:val="single" w:color="7F7F7F" w:sz="4"/>
              <w:left w:val="single" w:color="7F7F7F" w:sz="4"/>
              <w:bottom w:val="single" w:color="7F7F7F" w:sz="4"/>
              <w:right w:val="single" w:color="7F7F7F" w:sz="4"/>
            </w:tcBorders>
            <w:tcMar>
              <w:top w:type="dxa" w:w="35"/>
              <w:left w:type="dxa" w:w="80"/>
              <w:bottom w:type="dxa" w:w="35"/>
              <w:right w:type="dxa" w:w="80"/>
            </w:tcMar>
          </w:tcPr>
          <w:p>
            <w:pPr>
              <w:spacing w:after="0"/>
            </w:pPr>
            <w:r>
              <w:rPr>
                <w:rFonts w:ascii="Calibri" w:cs="Calibri" w:eastAsia="Calibri" w:hAnsi="Calibri"/>
                <w:sz w:val="18"/>
                <w:szCs w:val="18"/>
              </w:rPr>
              <w:t xml:space="preserve">Cannot write directly</w:t>
            </w:r>
          </w:p>
        </w:tc>
      </w:tr>
      <w:tr>
        <w:trPr>
          <w:cantSplit/>
          <w:tblHeader w:val="false"/>
        </w:trPr>
        <w:tc>
          <w:tcPr>
            <w:tcW w:type="dxa" w:w="2200"/>
            <w:tcBorders>
              <w:top w:val="single" w:color="7F7F7F" w:sz="4"/>
              <w:left w:val="single" w:color="7F7F7F" w:sz="4"/>
              <w:bottom w:val="single" w:color="7F7F7F" w:sz="4"/>
              <w:right w:val="single" w:color="7F7F7F" w:sz="4"/>
            </w:tcBorders>
            <w:tcMar>
              <w:top w:type="dxa" w:w="35"/>
              <w:left w:type="dxa" w:w="80"/>
              <w:bottom w:type="dxa" w:w="35"/>
              <w:right w:type="dxa" w:w="80"/>
            </w:tcMar>
          </w:tcPr>
          <w:p>
            <w:pPr>
              <w:spacing w:after="0"/>
            </w:pPr>
            <w:r>
              <w:rPr>
                <w:rFonts w:ascii="Calibri" w:cs="Calibri" w:eastAsia="Calibri" w:hAnsi="Calibri"/>
                <w:sz w:val="18"/>
                <w:szCs w:val="18"/>
              </w:rPr>
              <w:t xml:space="preserve">Controller code (</w:t>
            </w:r>
            <w:r>
              <w:rPr>
                <w:rFonts w:ascii="Consolas" w:cs="Consolas" w:eastAsia="Consolas" w:hAnsi="Consolas"/>
                <w:sz w:val="17"/>
                <w:szCs w:val="17"/>
              </w:rPr>
              <w:t xml:space="preserve">src/agent.py</w:t>
            </w:r>
            <w:r>
              <w:rPr>
                <w:rFonts w:ascii="Calibri" w:cs="Calibri" w:eastAsia="Calibri" w:hAnsi="Calibri"/>
                <w:sz w:val="18"/>
                <w:szCs w:val="18"/>
              </w:rPr>
              <w:t xml:space="preserve">)</w:t>
            </w:r>
          </w:p>
        </w:tc>
        <w:tc>
          <w:tcPr>
            <w:tcW w:type="dxa" w:w="2900"/>
            <w:tcBorders>
              <w:top w:val="single" w:color="7F7F7F" w:sz="4"/>
              <w:left w:val="single" w:color="7F7F7F" w:sz="4"/>
              <w:bottom w:val="single" w:color="7F7F7F" w:sz="4"/>
              <w:right w:val="single" w:color="7F7F7F" w:sz="4"/>
            </w:tcBorders>
            <w:tcMar>
              <w:top w:type="dxa" w:w="35"/>
              <w:left w:type="dxa" w:w="80"/>
              <w:bottom w:type="dxa" w:w="35"/>
              <w:right w:type="dxa" w:w="80"/>
            </w:tcMar>
          </w:tcPr>
          <w:p>
            <w:pPr>
              <w:spacing w:after="0"/>
            </w:pPr>
            <w:r>
              <w:rPr>
                <w:rFonts w:ascii="Calibri" w:cs="Calibri" w:eastAsia="Calibri" w:hAnsi="Calibri"/>
                <w:sz w:val="18"/>
                <w:szCs w:val="18"/>
              </w:rPr>
              <w:t xml:space="preserve">Read, write, delete via </w:t>
            </w:r>
            <w:r>
              <w:rPr>
                <w:rFonts w:ascii="Consolas" w:cs="Consolas" w:eastAsia="Consolas" w:hAnsi="Consolas"/>
                <w:sz w:val="17"/>
                <w:szCs w:val="17"/>
              </w:rPr>
              <w:t xml:space="preserve">src/memory.py</w:t>
            </w:r>
          </w:p>
        </w:tc>
        <w:tc>
          <w:tcPr>
            <w:tcW w:type="dxa" w:w="5140"/>
            <w:tcBorders>
              <w:top w:val="single" w:color="7F7F7F" w:sz="4"/>
              <w:left w:val="single" w:color="7F7F7F" w:sz="4"/>
              <w:bottom w:val="single" w:color="7F7F7F" w:sz="4"/>
              <w:right w:val="single" w:color="7F7F7F" w:sz="4"/>
            </w:tcBorders>
            <w:tcMar>
              <w:top w:type="dxa" w:w="35"/>
              <w:left w:type="dxa" w:w="80"/>
              <w:bottom w:type="dxa" w:w="35"/>
              <w:right w:type="dxa" w:w="80"/>
            </w:tcMar>
          </w:tcPr>
          <w:p>
            <w:pPr>
              <w:spacing w:after="0"/>
            </w:pPr>
            <w:r>
              <w:rPr>
                <w:rFonts w:ascii="Calibri" w:cs="Calibri" w:eastAsia="Calibri" w:hAnsi="Calibri"/>
                <w:sz w:val="18"/>
                <w:szCs w:val="18"/>
              </w:rPr>
              <w:t xml:space="preserve">The only write path is one helper, </w:t>
            </w:r>
            <w:r>
              <w:rPr>
                <w:rFonts w:ascii="Consolas" w:cs="Consolas" w:eastAsia="Consolas" w:hAnsi="Consolas"/>
                <w:sz w:val="17"/>
                <w:szCs w:val="17"/>
              </w:rPr>
              <w:t xml:space="preserve">_remember</w:t>
            </w:r>
            <w:r>
              <w:rPr>
                <w:rFonts w:ascii="Calibri" w:cs="Calibri" w:eastAsia="Calibri" w:hAnsi="Calibri"/>
                <w:sz w:val="18"/>
                <w:szCs w:val="18"/>
              </w:rPr>
              <w:t xml:space="preserve">, called after create or after a cited case passes the ownership lookup</w:t>
            </w:r>
          </w:p>
        </w:tc>
      </w:tr>
      <w:tr>
        <w:trPr>
          <w:cantSplit/>
          <w:tblHeader w:val="false"/>
        </w:trPr>
        <w:tc>
          <w:tcPr>
            <w:tcW w:type="dxa" w:w="2200"/>
            <w:tcBorders>
              <w:top w:val="single" w:color="7F7F7F" w:sz="4"/>
              <w:left w:val="single" w:color="7F7F7F" w:sz="4"/>
              <w:bottom w:val="single" w:color="7F7F7F" w:sz="4"/>
              <w:right w:val="single" w:color="7F7F7F" w:sz="4"/>
            </w:tcBorders>
            <w:tcMar>
              <w:top w:type="dxa" w:w="35"/>
              <w:left w:type="dxa" w:w="80"/>
              <w:bottom w:type="dxa" w:w="35"/>
              <w:right w:type="dxa" w:w="80"/>
            </w:tcMar>
          </w:tcPr>
          <w:p>
            <w:pPr>
              <w:spacing w:after="0"/>
            </w:pPr>
            <w:r>
              <w:rPr>
                <w:rFonts w:ascii="Calibri" w:cs="Calibri" w:eastAsia="Calibri" w:hAnsi="Calibri"/>
                <w:sz w:val="18"/>
                <w:szCs w:val="18"/>
              </w:rPr>
              <w:t xml:space="preserve">Planner model</w:t>
            </w:r>
          </w:p>
        </w:tc>
        <w:tc>
          <w:tcPr>
            <w:tcW w:type="dxa" w:w="2900"/>
            <w:tcBorders>
              <w:top w:val="single" w:color="7F7F7F" w:sz="4"/>
              <w:left w:val="single" w:color="7F7F7F" w:sz="4"/>
              <w:bottom w:val="single" w:color="7F7F7F" w:sz="4"/>
              <w:right w:val="single" w:color="7F7F7F" w:sz="4"/>
            </w:tcBorders>
            <w:tcMar>
              <w:top w:type="dxa" w:w="35"/>
              <w:left w:type="dxa" w:w="80"/>
              <w:bottom w:type="dxa" w:w="35"/>
              <w:right w:type="dxa" w:w="80"/>
            </w:tcMar>
          </w:tcPr>
          <w:p>
            <w:pPr>
              <w:spacing w:after="0"/>
            </w:pPr>
            <w:r>
              <w:rPr>
                <w:rFonts w:ascii="Calibri" w:cs="Calibri" w:eastAsia="Calibri" w:hAnsi="Calibri"/>
                <w:sz w:val="18"/>
                <w:szCs w:val="18"/>
              </w:rPr>
              <w:t xml:space="preserve">None</w:t>
            </w:r>
          </w:p>
        </w:tc>
        <w:tc>
          <w:tcPr>
            <w:tcW w:type="dxa" w:w="5140"/>
            <w:tcBorders>
              <w:top w:val="single" w:color="7F7F7F" w:sz="4"/>
              <w:left w:val="single" w:color="7F7F7F" w:sz="4"/>
              <w:bottom w:val="single" w:color="7F7F7F" w:sz="4"/>
              <w:right w:val="single" w:color="7F7F7F" w:sz="4"/>
            </w:tcBorders>
            <w:tcMar>
              <w:top w:type="dxa" w:w="35"/>
              <w:left w:type="dxa" w:w="80"/>
              <w:bottom w:type="dxa" w:w="35"/>
              <w:right w:type="dxa" w:w="80"/>
            </w:tcMar>
          </w:tcPr>
          <w:p>
            <w:pPr>
              <w:spacing w:after="0"/>
            </w:pPr>
            <w:r>
              <w:rPr>
                <w:rFonts w:ascii="Calibri" w:cs="Calibri" w:eastAsia="Calibri" w:hAnsi="Calibri"/>
                <w:sz w:val="18"/>
                <w:szCs w:val="18"/>
              </w:rPr>
              <w:t xml:space="preserve">No allowed action touches memory and the planner's state summary contains no memory</w:t>
            </w:r>
          </w:p>
        </w:tc>
      </w:tr>
      <w:tr>
        <w:trPr>
          <w:cantSplit/>
          <w:tblHeader w:val="false"/>
        </w:trPr>
        <w:tc>
          <w:tcPr>
            <w:tcW w:type="dxa" w:w="2200"/>
            <w:tcBorders>
              <w:top w:val="single" w:color="7F7F7F" w:sz="4"/>
              <w:left w:val="single" w:color="7F7F7F" w:sz="4"/>
              <w:bottom w:val="single" w:color="7F7F7F" w:sz="4"/>
              <w:right w:val="single" w:color="7F7F7F" w:sz="4"/>
            </w:tcBorders>
            <w:tcMar>
              <w:top w:type="dxa" w:w="35"/>
              <w:left w:type="dxa" w:w="80"/>
              <w:bottom w:type="dxa" w:w="35"/>
              <w:right w:type="dxa" w:w="80"/>
            </w:tcMar>
          </w:tcPr>
          <w:p>
            <w:pPr>
              <w:spacing w:after="0"/>
            </w:pPr>
            <w:r>
              <w:rPr>
                <w:rFonts w:ascii="Calibri" w:cs="Calibri" w:eastAsia="Calibri" w:hAnsi="Calibri"/>
                <w:sz w:val="18"/>
                <w:szCs w:val="18"/>
              </w:rPr>
              <w:t xml:space="preserve">Staff</w:t>
            </w:r>
          </w:p>
        </w:tc>
        <w:tc>
          <w:tcPr>
            <w:tcW w:type="dxa" w:w="2900"/>
            <w:tcBorders>
              <w:top w:val="single" w:color="7F7F7F" w:sz="4"/>
              <w:left w:val="single" w:color="7F7F7F" w:sz="4"/>
              <w:bottom w:val="single" w:color="7F7F7F" w:sz="4"/>
              <w:right w:val="single" w:color="7F7F7F" w:sz="4"/>
            </w:tcBorders>
            <w:tcMar>
              <w:top w:type="dxa" w:w="35"/>
              <w:left w:type="dxa" w:w="80"/>
              <w:bottom w:type="dxa" w:w="35"/>
              <w:right w:type="dxa" w:w="80"/>
            </w:tcMar>
          </w:tcPr>
          <w:p>
            <w:pPr>
              <w:spacing w:after="0"/>
            </w:pPr>
            <w:r>
              <w:rPr>
                <w:rFonts w:ascii="Calibri" w:cs="Calibri" w:eastAsia="Calibri" w:hAnsi="Calibri"/>
                <w:sz w:val="18"/>
                <w:szCs w:val="18"/>
              </w:rPr>
              <w:t xml:space="preserve">None</w:t>
            </w:r>
          </w:p>
        </w:tc>
        <w:tc>
          <w:tcPr>
            <w:tcW w:type="dxa" w:w="5140"/>
            <w:tcBorders>
              <w:top w:val="single" w:color="7F7F7F" w:sz="4"/>
              <w:left w:val="single" w:color="7F7F7F" w:sz="4"/>
              <w:bottom w:val="single" w:color="7F7F7F" w:sz="4"/>
              <w:right w:val="single" w:color="7F7F7F" w:sz="4"/>
            </w:tcBorders>
            <w:tcMar>
              <w:top w:type="dxa" w:w="35"/>
              <w:left w:type="dxa" w:w="80"/>
              <w:bottom w:type="dxa" w:w="35"/>
              <w:right w:type="dxa" w:w="80"/>
            </w:tcMar>
          </w:tcPr>
          <w:p>
            <w:pPr>
              <w:spacing w:after="0"/>
            </w:pPr>
            <w:r>
              <w:rPr>
                <w:rFonts w:ascii="Calibri" w:cs="Calibri" w:eastAsia="Calibri" w:hAnsi="Calibri"/>
                <w:sz w:val="18"/>
                <w:szCs w:val="18"/>
              </w:rPr>
              <w:t xml:space="preserve">Staff see the case queue only (DOC-12)</w:t>
            </w:r>
          </w:p>
        </w:tc>
      </w:tr>
      <w:tr>
        <w:trPr>
          <w:cantSplit/>
          <w:tblHeader w:val="false"/>
        </w:trPr>
        <w:tc>
          <w:tcPr>
            <w:tcW w:type="dxa" w:w="2200"/>
            <w:tcBorders>
              <w:top w:val="single" w:color="7F7F7F" w:sz="4"/>
              <w:left w:val="single" w:color="7F7F7F" w:sz="4"/>
              <w:bottom w:val="single" w:color="7F7F7F" w:sz="4"/>
              <w:right w:val="single" w:color="7F7F7F" w:sz="4"/>
            </w:tcBorders>
            <w:tcMar>
              <w:top w:type="dxa" w:w="35"/>
              <w:left w:type="dxa" w:w="80"/>
              <w:bottom w:type="dxa" w:w="35"/>
              <w:right w:type="dxa" w:w="80"/>
            </w:tcMar>
          </w:tcPr>
          <w:p>
            <w:pPr>
              <w:spacing w:after="0"/>
            </w:pPr>
            <w:r>
              <w:rPr>
                <w:rFonts w:ascii="Calibri" w:cs="Calibri" w:eastAsia="Calibri" w:hAnsi="Calibri"/>
                <w:sz w:val="18"/>
                <w:szCs w:val="18"/>
              </w:rPr>
              <w:t xml:space="preserve">Developers</w:t>
            </w:r>
          </w:p>
        </w:tc>
        <w:tc>
          <w:tcPr>
            <w:tcW w:type="dxa" w:w="2900"/>
            <w:tcBorders>
              <w:top w:val="single" w:color="7F7F7F" w:sz="4"/>
              <w:left w:val="single" w:color="7F7F7F" w:sz="4"/>
              <w:bottom w:val="single" w:color="7F7F7F" w:sz="4"/>
              <w:right w:val="single" w:color="7F7F7F" w:sz="4"/>
            </w:tcBorders>
            <w:tcMar>
              <w:top w:type="dxa" w:w="35"/>
              <w:left w:type="dxa" w:w="80"/>
              <w:bottom w:type="dxa" w:w="35"/>
              <w:right w:type="dxa" w:w="80"/>
            </w:tcMar>
          </w:tcPr>
          <w:p>
            <w:pPr>
              <w:spacing w:after="0"/>
            </w:pPr>
            <w:r>
              <w:rPr>
                <w:rFonts w:ascii="Calibri" w:cs="Calibri" w:eastAsia="Calibri" w:hAnsi="Calibri"/>
                <w:sz w:val="18"/>
                <w:szCs w:val="18"/>
              </w:rPr>
              <w:t xml:space="preserve">File access in the prototype</w:t>
            </w:r>
          </w:p>
        </w:tc>
        <w:tc>
          <w:tcPr>
            <w:tcW w:type="dxa" w:w="5140"/>
            <w:tcBorders>
              <w:top w:val="single" w:color="7F7F7F" w:sz="4"/>
              <w:left w:val="single" w:color="7F7F7F" w:sz="4"/>
              <w:bottom w:val="single" w:color="7F7F7F" w:sz="4"/>
              <w:right w:val="single" w:color="7F7F7F" w:sz="4"/>
            </w:tcBorders>
            <w:tcMar>
              <w:top w:type="dxa" w:w="35"/>
              <w:left w:type="dxa" w:w="80"/>
              <w:bottom w:type="dxa" w:w="35"/>
              <w:right w:type="dxa" w:w="80"/>
            </w:tcMar>
          </w:tcPr>
          <w:p>
            <w:pPr>
              <w:spacing w:after="0"/>
            </w:pPr>
            <w:r>
              <w:rPr>
                <w:rFonts w:ascii="Calibri" w:cs="Calibri" w:eastAsia="Calibri" w:hAnsi="Calibri"/>
                <w:sz w:val="18"/>
                <w:szCs w:val="18"/>
              </w:rPr>
              <w:t xml:space="preserve">Synthetic data only; a production system would need access control and encryption</w:t>
            </w:r>
          </w:p>
        </w:tc>
      </w:tr>
    </w:tbl>
    <w:p>
      <w:pPr>
        <w:pStyle w:val="Heading2"/>
        <w:keepNext/>
        <w:spacing w:after="50" w:before="120"/>
      </w:pPr>
      <w:r>
        <w:rPr>
          <w:rFonts w:ascii="Calibri" w:cs="Calibri" w:eastAsia="Calibri" w:hAnsi="Calibri"/>
          <w:b/>
          <w:bCs/>
          <w:color w:val="2F5496"/>
          <w:sz w:val="22"/>
          <w:szCs w:val="22"/>
        </w:rPr>
        <w:t xml:space="preserve">4. Retention and deletion</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2900"/>
        <w:gridCol w:w="4000"/>
        <w:gridCol w:w="3340"/>
      </w:tblGrid>
      <w:tr>
        <w:trPr>
          <w:cantSplit/>
          <w:tblHeader/>
        </w:trPr>
        <w:tc>
          <w:tcPr>
            <w:tcW w:type="dxa" w:w="2900"/>
            <w:tcBorders>
              <w:top w:val="single" w:color="7F7F7F" w:sz="4"/>
              <w:left w:val="single" w:color="7F7F7F" w:sz="4"/>
              <w:bottom w:val="single" w:color="7F7F7F" w:sz="4"/>
              <w:right w:val="single" w:color="7F7F7F" w:sz="4"/>
            </w:tcBorders>
            <w:shd w:fill="D9E6F5" w:color="auto" w:val="clear"/>
            <w:tcMar>
              <w:top w:type="dxa" w:w="35"/>
              <w:left w:type="dxa" w:w="80"/>
              <w:bottom w:type="dxa" w:w="35"/>
              <w:right w:type="dxa" w:w="80"/>
            </w:tcMar>
          </w:tcPr>
          <w:p>
            <w:pPr>
              <w:spacing w:after="0"/>
            </w:pPr>
            <w:r>
              <w:rPr>
                <w:rFonts w:ascii="Calibri" w:cs="Calibri" w:eastAsia="Calibri" w:hAnsi="Calibri"/>
                <w:b/>
                <w:bCs/>
                <w:sz w:val="18"/>
                <w:szCs w:val="18"/>
              </w:rPr>
              <w:t xml:space="preserve">Trigger</w:t>
            </w:r>
          </w:p>
        </w:tc>
        <w:tc>
          <w:tcPr>
            <w:tcW w:type="dxa" w:w="4000"/>
            <w:tcBorders>
              <w:top w:val="single" w:color="7F7F7F" w:sz="4"/>
              <w:left w:val="single" w:color="7F7F7F" w:sz="4"/>
              <w:bottom w:val="single" w:color="7F7F7F" w:sz="4"/>
              <w:right w:val="single" w:color="7F7F7F" w:sz="4"/>
            </w:tcBorders>
            <w:shd w:fill="D9E6F5" w:color="auto" w:val="clear"/>
            <w:tcMar>
              <w:top w:type="dxa" w:w="35"/>
              <w:left w:type="dxa" w:w="80"/>
              <w:bottom w:type="dxa" w:w="35"/>
              <w:right w:type="dxa" w:w="80"/>
            </w:tcMar>
          </w:tcPr>
          <w:p>
            <w:pPr>
              <w:spacing w:after="0"/>
            </w:pPr>
            <w:r>
              <w:rPr>
                <w:rFonts w:ascii="Calibri" w:cs="Calibri" w:eastAsia="Calibri" w:hAnsi="Calibri"/>
                <w:b/>
                <w:bCs/>
                <w:sz w:val="18"/>
                <w:szCs w:val="18"/>
              </w:rPr>
              <w:t xml:space="preserve">What happens</w:t>
            </w:r>
          </w:p>
        </w:tc>
        <w:tc>
          <w:tcPr>
            <w:tcW w:type="dxa" w:w="3340"/>
            <w:tcBorders>
              <w:top w:val="single" w:color="7F7F7F" w:sz="4"/>
              <w:left w:val="single" w:color="7F7F7F" w:sz="4"/>
              <w:bottom w:val="single" w:color="7F7F7F" w:sz="4"/>
              <w:right w:val="single" w:color="7F7F7F" w:sz="4"/>
            </w:tcBorders>
            <w:shd w:fill="D9E6F5" w:color="auto" w:val="clear"/>
            <w:tcMar>
              <w:top w:type="dxa" w:w="35"/>
              <w:left w:type="dxa" w:w="80"/>
              <w:bottom w:type="dxa" w:w="35"/>
              <w:right w:type="dxa" w:w="80"/>
            </w:tcMar>
          </w:tcPr>
          <w:p>
            <w:pPr>
              <w:spacing w:after="0"/>
            </w:pPr>
            <w:r>
              <w:rPr>
                <w:rFonts w:ascii="Calibri" w:cs="Calibri" w:eastAsia="Calibri" w:hAnsi="Calibri"/>
                <w:b/>
                <w:bCs/>
                <w:sz w:val="18"/>
                <w:szCs w:val="18"/>
              </w:rPr>
              <w:t xml:space="preserve">Evidence</w:t>
            </w:r>
          </w:p>
        </w:tc>
      </w:tr>
      <w:tr>
        <w:trPr>
          <w:cantSplit/>
          <w:tblHeader w:val="false"/>
        </w:trPr>
        <w:tc>
          <w:tcPr>
            <w:tcW w:type="dxa" w:w="2900"/>
            <w:tcBorders>
              <w:top w:val="single" w:color="7F7F7F" w:sz="4"/>
              <w:left w:val="single" w:color="7F7F7F" w:sz="4"/>
              <w:bottom w:val="single" w:color="7F7F7F" w:sz="4"/>
              <w:right w:val="single" w:color="7F7F7F" w:sz="4"/>
            </w:tcBorders>
            <w:tcMar>
              <w:top w:type="dxa" w:w="35"/>
              <w:left w:type="dxa" w:w="80"/>
              <w:bottom w:type="dxa" w:w="35"/>
              <w:right w:type="dxa" w:w="80"/>
            </w:tcMar>
          </w:tcPr>
          <w:p>
            <w:pPr>
              <w:spacing w:after="0"/>
            </w:pPr>
            <w:r>
              <w:rPr>
                <w:rFonts w:ascii="Calibri" w:cs="Calibri" w:eastAsia="Calibri" w:hAnsi="Calibri"/>
                <w:sz w:val="18"/>
                <w:szCs w:val="18"/>
              </w:rPr>
              <w:t xml:space="preserve">30 days pass</w:t>
            </w:r>
          </w:p>
        </w:tc>
        <w:tc>
          <w:tcPr>
            <w:tcW w:type="dxa" w:w="4000"/>
            <w:tcBorders>
              <w:top w:val="single" w:color="7F7F7F" w:sz="4"/>
              <w:left w:val="single" w:color="7F7F7F" w:sz="4"/>
              <w:bottom w:val="single" w:color="7F7F7F" w:sz="4"/>
              <w:right w:val="single" w:color="7F7F7F" w:sz="4"/>
            </w:tcBorders>
            <w:tcMar>
              <w:top w:type="dxa" w:w="35"/>
              <w:left w:type="dxa" w:w="80"/>
              <w:bottom w:type="dxa" w:w="35"/>
              <w:right w:type="dxa" w:w="80"/>
            </w:tcMar>
          </w:tcPr>
          <w:p>
            <w:pPr>
              <w:spacing w:after="0"/>
            </w:pPr>
            <w:r>
              <w:rPr>
                <w:rFonts w:ascii="Calibri" w:cs="Calibri" w:eastAsia="Calibri" w:hAnsi="Calibri"/>
                <w:sz w:val="18"/>
                <w:szCs w:val="18"/>
              </w:rPr>
              <w:t xml:space="preserve">Record ignored and deleted on next read (reason: expired)</w:t>
            </w:r>
          </w:p>
        </w:tc>
        <w:tc>
          <w:tcPr>
            <w:tcW w:type="dxa" w:w="3340"/>
            <w:tcBorders>
              <w:top w:val="single" w:color="7F7F7F" w:sz="4"/>
              <w:left w:val="single" w:color="7F7F7F" w:sz="4"/>
              <w:bottom w:val="single" w:color="7F7F7F" w:sz="4"/>
              <w:right w:val="single" w:color="7F7F7F" w:sz="4"/>
            </w:tcBorders>
            <w:tcMar>
              <w:top w:type="dxa" w:w="35"/>
              <w:left w:type="dxa" w:w="80"/>
              <w:bottom w:type="dxa" w:w="35"/>
              <w:right w:type="dxa" w:w="80"/>
            </w:tcMar>
          </w:tcPr>
          <w:p>
            <w:pPr>
              <w:spacing w:after="0"/>
            </w:pPr>
            <w:r>
              <w:rPr>
                <w:rFonts w:ascii="Calibri" w:cs="Calibri" w:eastAsia="Calibri" w:hAnsi="Calibri"/>
                <w:sz w:val="18"/>
                <w:szCs w:val="18"/>
              </w:rPr>
              <w:t xml:space="preserve">M6</w:t>
            </w:r>
          </w:p>
        </w:tc>
      </w:tr>
      <w:tr>
        <w:trPr>
          <w:cantSplit/>
          <w:tblHeader w:val="false"/>
        </w:trPr>
        <w:tc>
          <w:tcPr>
            <w:tcW w:type="dxa" w:w="2900"/>
            <w:tcBorders>
              <w:top w:val="single" w:color="7F7F7F" w:sz="4"/>
              <w:left w:val="single" w:color="7F7F7F" w:sz="4"/>
              <w:bottom w:val="single" w:color="7F7F7F" w:sz="4"/>
              <w:right w:val="single" w:color="7F7F7F" w:sz="4"/>
            </w:tcBorders>
            <w:tcMar>
              <w:top w:type="dxa" w:w="35"/>
              <w:left w:type="dxa" w:w="80"/>
              <w:bottom w:type="dxa" w:w="35"/>
              <w:right w:type="dxa" w:w="80"/>
            </w:tcMar>
          </w:tcPr>
          <w:p>
            <w:pPr>
              <w:spacing w:after="0"/>
            </w:pPr>
            <w:r>
              <w:rPr>
                <w:rFonts w:ascii="Calibri" w:cs="Calibri" w:eastAsia="Calibri" w:hAnsi="Calibri"/>
                <w:sz w:val="18"/>
                <w:szCs w:val="18"/>
              </w:rPr>
              <w:t xml:space="preserve">Case no longer open (status is not Pending or In Review)</w:t>
            </w:r>
          </w:p>
        </w:tc>
        <w:tc>
          <w:tcPr>
            <w:tcW w:type="dxa" w:w="4000"/>
            <w:tcBorders>
              <w:top w:val="single" w:color="7F7F7F" w:sz="4"/>
              <w:left w:val="single" w:color="7F7F7F" w:sz="4"/>
              <w:bottom w:val="single" w:color="7F7F7F" w:sz="4"/>
              <w:right w:val="single" w:color="7F7F7F" w:sz="4"/>
            </w:tcBorders>
            <w:tcMar>
              <w:top w:type="dxa" w:w="35"/>
              <w:left w:type="dxa" w:w="80"/>
              <w:bottom w:type="dxa" w:w="35"/>
              <w:right w:type="dxa" w:w="80"/>
            </w:tcMar>
          </w:tcPr>
          <w:p>
            <w:pPr>
              <w:spacing w:after="0"/>
            </w:pPr>
            <w:r>
              <w:rPr>
                <w:rFonts w:ascii="Calibri" w:cs="Calibri" w:eastAsia="Calibri" w:hAnsi="Calibri"/>
                <w:sz w:val="18"/>
                <w:szCs w:val="18"/>
              </w:rPr>
              <w:t xml:space="preserve">Record deleted; the student is told the case is closed</w:t>
            </w:r>
          </w:p>
        </w:tc>
        <w:tc>
          <w:tcPr>
            <w:tcW w:type="dxa" w:w="3340"/>
            <w:tcBorders>
              <w:top w:val="single" w:color="7F7F7F" w:sz="4"/>
              <w:left w:val="single" w:color="7F7F7F" w:sz="4"/>
              <w:bottom w:val="single" w:color="7F7F7F" w:sz="4"/>
              <w:right w:val="single" w:color="7F7F7F" w:sz="4"/>
            </w:tcBorders>
            <w:tcMar>
              <w:top w:type="dxa" w:w="35"/>
              <w:left w:type="dxa" w:w="80"/>
              <w:bottom w:type="dxa" w:w="35"/>
              <w:right w:type="dxa" w:w="80"/>
            </w:tcMar>
          </w:tcPr>
          <w:p>
            <w:pPr>
              <w:spacing w:after="0"/>
            </w:pPr>
            <w:r>
              <w:rPr>
                <w:rFonts w:ascii="Calibri" w:cs="Calibri" w:eastAsia="Calibri" w:hAnsi="Calibri"/>
                <w:sz w:val="18"/>
                <w:szCs w:val="18"/>
              </w:rPr>
              <w:t xml:space="preserve">M3</w:t>
            </w:r>
          </w:p>
        </w:tc>
      </w:tr>
      <w:tr>
        <w:trPr>
          <w:cantSplit/>
          <w:tblHeader w:val="false"/>
        </w:trPr>
        <w:tc>
          <w:tcPr>
            <w:tcW w:type="dxa" w:w="2900"/>
            <w:tcBorders>
              <w:top w:val="single" w:color="7F7F7F" w:sz="4"/>
              <w:left w:val="single" w:color="7F7F7F" w:sz="4"/>
              <w:bottom w:val="single" w:color="7F7F7F" w:sz="4"/>
              <w:right w:val="single" w:color="7F7F7F" w:sz="4"/>
            </w:tcBorders>
            <w:tcMar>
              <w:top w:type="dxa" w:w="35"/>
              <w:left w:type="dxa" w:w="80"/>
              <w:bottom w:type="dxa" w:w="35"/>
              <w:right w:type="dxa" w:w="80"/>
            </w:tcMar>
          </w:tcPr>
          <w:p>
            <w:pPr>
              <w:spacing w:after="0"/>
            </w:pPr>
            <w:r>
              <w:rPr>
                <w:rFonts w:ascii="Calibri" w:cs="Calibri" w:eastAsia="Calibri" w:hAnsi="Calibri"/>
                <w:sz w:val="18"/>
                <w:szCs w:val="18"/>
              </w:rPr>
              <w:t xml:space="preserve">Student says "forget my session"</w:t>
            </w:r>
          </w:p>
        </w:tc>
        <w:tc>
          <w:tcPr>
            <w:tcW w:type="dxa" w:w="4000"/>
            <w:tcBorders>
              <w:top w:val="single" w:color="7F7F7F" w:sz="4"/>
              <w:left w:val="single" w:color="7F7F7F" w:sz="4"/>
              <w:bottom w:val="single" w:color="7F7F7F" w:sz="4"/>
              <w:right w:val="single" w:color="7F7F7F" w:sz="4"/>
            </w:tcBorders>
            <w:tcMar>
              <w:top w:type="dxa" w:w="35"/>
              <w:left w:type="dxa" w:w="80"/>
              <w:bottom w:type="dxa" w:w="35"/>
              <w:right w:type="dxa" w:w="80"/>
            </w:tcMar>
          </w:tcPr>
          <w:p>
            <w:pPr>
              <w:spacing w:after="0"/>
            </w:pPr>
            <w:r>
              <w:rPr>
                <w:rFonts w:ascii="Calibri" w:cs="Calibri" w:eastAsia="Calibri" w:hAnsi="Calibri"/>
                <w:sz w:val="18"/>
                <w:szCs w:val="18"/>
              </w:rPr>
              <w:t xml:space="preserve">Record deleted; later follow-up asks for the ID</w:t>
            </w:r>
          </w:p>
        </w:tc>
        <w:tc>
          <w:tcPr>
            <w:tcW w:type="dxa" w:w="3340"/>
            <w:tcBorders>
              <w:top w:val="single" w:color="7F7F7F" w:sz="4"/>
              <w:left w:val="single" w:color="7F7F7F" w:sz="4"/>
              <w:bottom w:val="single" w:color="7F7F7F" w:sz="4"/>
              <w:right w:val="single" w:color="7F7F7F" w:sz="4"/>
            </w:tcBorders>
            <w:tcMar>
              <w:top w:type="dxa" w:w="35"/>
              <w:left w:type="dxa" w:w="80"/>
              <w:bottom w:type="dxa" w:w="35"/>
              <w:right w:type="dxa" w:w="80"/>
            </w:tcMar>
          </w:tcPr>
          <w:p>
            <w:pPr>
              <w:spacing w:after="0"/>
            </w:pPr>
            <w:r>
              <w:rPr>
                <w:rFonts w:ascii="Calibri" w:cs="Calibri" w:eastAsia="Calibri" w:hAnsi="Calibri"/>
                <w:sz w:val="18"/>
                <w:szCs w:val="18"/>
              </w:rPr>
              <w:t xml:space="preserve">M4</w:t>
            </w:r>
          </w:p>
        </w:tc>
      </w:tr>
      <w:tr>
        <w:trPr>
          <w:cantSplit/>
          <w:tblHeader w:val="false"/>
        </w:trPr>
        <w:tc>
          <w:tcPr>
            <w:tcW w:type="dxa" w:w="2900"/>
            <w:tcBorders>
              <w:top w:val="single" w:color="7F7F7F" w:sz="4"/>
              <w:left w:val="single" w:color="7F7F7F" w:sz="4"/>
              <w:bottom w:val="single" w:color="7F7F7F" w:sz="4"/>
              <w:right w:val="single" w:color="7F7F7F" w:sz="4"/>
            </w:tcBorders>
            <w:tcMar>
              <w:top w:type="dxa" w:w="35"/>
              <w:left w:type="dxa" w:w="80"/>
              <w:bottom w:type="dxa" w:w="35"/>
              <w:right w:type="dxa" w:w="80"/>
            </w:tcMar>
          </w:tcPr>
          <w:p>
            <w:pPr>
              <w:spacing w:after="0"/>
            </w:pPr>
            <w:r>
              <w:rPr>
                <w:rFonts w:ascii="Calibri" w:cs="Calibri" w:eastAsia="Calibri" w:hAnsi="Calibri"/>
                <w:sz w:val="18"/>
                <w:szCs w:val="18"/>
              </w:rPr>
              <w:t xml:space="preserve">Lookup says the case is not found or not theirs</w:t>
            </w:r>
          </w:p>
        </w:tc>
        <w:tc>
          <w:tcPr>
            <w:tcW w:type="dxa" w:w="4000"/>
            <w:tcBorders>
              <w:top w:val="single" w:color="7F7F7F" w:sz="4"/>
              <w:left w:val="single" w:color="7F7F7F" w:sz="4"/>
              <w:bottom w:val="single" w:color="7F7F7F" w:sz="4"/>
              <w:right w:val="single" w:color="7F7F7F" w:sz="4"/>
            </w:tcBorders>
            <w:tcMar>
              <w:top w:type="dxa" w:w="35"/>
              <w:left w:type="dxa" w:w="80"/>
              <w:bottom w:type="dxa" w:w="35"/>
              <w:right w:type="dxa" w:w="80"/>
            </w:tcMar>
          </w:tcPr>
          <w:p>
            <w:pPr>
              <w:spacing w:after="0"/>
            </w:pPr>
            <w:r>
              <w:rPr>
                <w:rFonts w:ascii="Calibri" w:cs="Calibri" w:eastAsia="Calibri" w:hAnsi="Calibri"/>
                <w:sz w:val="18"/>
                <w:szCs w:val="18"/>
              </w:rPr>
              <w:t xml:space="preserve">Record deleted; reply is generic and leaks nothing</w:t>
            </w:r>
          </w:p>
        </w:tc>
        <w:tc>
          <w:tcPr>
            <w:tcW w:type="dxa" w:w="3340"/>
            <w:tcBorders>
              <w:top w:val="single" w:color="7F7F7F" w:sz="4"/>
              <w:left w:val="single" w:color="7F7F7F" w:sz="4"/>
              <w:bottom w:val="single" w:color="7F7F7F" w:sz="4"/>
              <w:right w:val="single" w:color="7F7F7F" w:sz="4"/>
            </w:tcBorders>
            <w:tcMar>
              <w:top w:type="dxa" w:w="35"/>
              <w:left w:type="dxa" w:w="80"/>
              <w:bottom w:type="dxa" w:w="35"/>
              <w:right w:type="dxa" w:w="80"/>
            </w:tcMar>
          </w:tcPr>
          <w:p>
            <w:pPr>
              <w:spacing w:after="0"/>
            </w:pPr>
            <w:r>
              <w:rPr>
                <w:rFonts w:ascii="Calibri" w:cs="Calibri" w:eastAsia="Calibri" w:hAnsi="Calibri"/>
                <w:sz w:val="18"/>
                <w:szCs w:val="18"/>
              </w:rPr>
              <w:t xml:space="preserve">M5</w:t>
            </w:r>
          </w:p>
        </w:tc>
      </w:tr>
      <w:tr>
        <w:trPr>
          <w:cantSplit/>
          <w:tblHeader w:val="false"/>
        </w:trPr>
        <w:tc>
          <w:tcPr>
            <w:tcW w:type="dxa" w:w="2900"/>
            <w:tcBorders>
              <w:top w:val="single" w:color="7F7F7F" w:sz="4"/>
              <w:left w:val="single" w:color="7F7F7F" w:sz="4"/>
              <w:bottom w:val="single" w:color="7F7F7F" w:sz="4"/>
              <w:right w:val="single" w:color="7F7F7F" w:sz="4"/>
            </w:tcBorders>
            <w:tcMar>
              <w:top w:type="dxa" w:w="35"/>
              <w:left w:type="dxa" w:w="80"/>
              <w:bottom w:type="dxa" w:w="35"/>
              <w:right w:type="dxa" w:w="80"/>
            </w:tcMar>
          </w:tcPr>
          <w:p>
            <w:pPr>
              <w:spacing w:after="0"/>
            </w:pPr>
            <w:r>
              <w:rPr>
                <w:rFonts w:ascii="Calibri" w:cs="Calibri" w:eastAsia="Calibri" w:hAnsi="Calibri"/>
                <w:sz w:val="18"/>
                <w:szCs w:val="18"/>
              </w:rPr>
              <w:t xml:space="preserve">Record is malformed or has unexpected fields</w:t>
            </w:r>
          </w:p>
        </w:tc>
        <w:tc>
          <w:tcPr>
            <w:tcW w:type="dxa" w:w="4000"/>
            <w:tcBorders>
              <w:top w:val="single" w:color="7F7F7F" w:sz="4"/>
              <w:left w:val="single" w:color="7F7F7F" w:sz="4"/>
              <w:bottom w:val="single" w:color="7F7F7F" w:sz="4"/>
              <w:right w:val="single" w:color="7F7F7F" w:sz="4"/>
            </w:tcBorders>
            <w:tcMar>
              <w:top w:type="dxa" w:w="35"/>
              <w:left w:type="dxa" w:w="80"/>
              <w:bottom w:type="dxa" w:w="35"/>
              <w:right w:type="dxa" w:w="80"/>
            </w:tcMar>
          </w:tcPr>
          <w:p>
            <w:pPr>
              <w:spacing w:after="0"/>
            </w:pPr>
            <w:r>
              <w:rPr>
                <w:rFonts w:ascii="Calibri" w:cs="Calibri" w:eastAsia="Calibri" w:hAnsi="Calibri"/>
                <w:sz w:val="18"/>
                <w:szCs w:val="18"/>
              </w:rPr>
              <w:t xml:space="preserve">Record deleted (reason: malformed_record)</w:t>
            </w:r>
          </w:p>
        </w:tc>
        <w:tc>
          <w:tcPr>
            <w:tcW w:type="dxa" w:w="3340"/>
            <w:tcBorders>
              <w:top w:val="single" w:color="7F7F7F" w:sz="4"/>
              <w:left w:val="single" w:color="7F7F7F" w:sz="4"/>
              <w:bottom w:val="single" w:color="7F7F7F" w:sz="4"/>
              <w:right w:val="single" w:color="7F7F7F" w:sz="4"/>
            </w:tcBorders>
            <w:tcMar>
              <w:top w:type="dxa" w:w="35"/>
              <w:left w:type="dxa" w:w="80"/>
              <w:bottom w:type="dxa" w:w="35"/>
              <w:right w:type="dxa" w:w="80"/>
            </w:tcMar>
          </w:tcPr>
          <w:p>
            <w:pPr>
              <w:spacing w:after="0"/>
            </w:pPr>
            <w:r>
              <w:rPr>
                <w:rFonts w:ascii="Calibri" w:cs="Calibri" w:eastAsia="Calibri" w:hAnsi="Calibri"/>
                <w:sz w:val="18"/>
                <w:szCs w:val="18"/>
              </w:rPr>
              <w:t xml:space="preserve">memory.py</w:t>
            </w:r>
          </w:p>
        </w:tc>
      </w:tr>
    </w:tbl>
    <w:p>
      <w:pPr>
        <w:spacing w:after="40" w:before="60"/>
      </w:pPr>
      <w:r>
        <w:rPr>
          <w:rFonts w:ascii="Calibri" w:cs="Calibri" w:eastAsia="Calibri" w:hAnsi="Calibri"/>
          <w:sz w:val="18"/>
          <w:szCs w:val="18"/>
        </w:rPr>
        <w:t xml:space="preserve">Every read, write and delete is logged to </w:t>
      </w:r>
      <w:r>
        <w:rPr>
          <w:rFonts w:ascii="Consolas" w:cs="Consolas" w:eastAsia="Consolas" w:hAnsi="Consolas"/>
          <w:sz w:val="17"/>
          <w:szCs w:val="17"/>
        </w:rPr>
        <w:t xml:space="preserve">memory_audit.jsonl</w:t>
      </w:r>
      <w:r>
        <w:rPr>
          <w:rFonts w:ascii="Calibri" w:cs="Calibri" w:eastAsia="Calibri" w:hAnsi="Calibri"/>
          <w:sz w:val="18"/>
          <w:szCs w:val="18"/>
        </w:rPr>
        <w:t xml:space="preserve"> with timestamp, student ID, operation, case ID and outcome, </w:t>
      </w:r>
      <w:r>
        <w:rPr>
          <w:rFonts w:ascii="Calibri" w:cs="Calibri" w:eastAsia="Calibri" w:hAnsi="Calibri"/>
          <w:b/>
          <w:bCs/>
          <w:sz w:val="18"/>
          <w:szCs w:val="18"/>
        </w:rPr>
        <w:t xml:space="preserve">never content</w:t>
      </w:r>
      <w:r>
        <w:rPr>
          <w:rFonts w:ascii="Calibri" w:cs="Calibri" w:eastAsia="Calibri" w:hAnsi="Calibri"/>
          <w:sz w:val="18"/>
          <w:szCs w:val="18"/>
        </w:rPr>
        <w:t xml:space="preserve">.</w:t>
      </w:r>
    </w:p>
    <w:p>
      <w:pPr>
        <w:pStyle w:val="Heading2"/>
        <w:keepNext/>
        <w:spacing w:after="50" w:before="120"/>
      </w:pPr>
      <w:r>
        <w:rPr>
          <w:rFonts w:ascii="Calibri" w:cs="Calibri" w:eastAsia="Calibri" w:hAnsi="Calibri"/>
          <w:b/>
          <w:bCs/>
          <w:color w:val="2F5496"/>
          <w:sz w:val="22"/>
          <w:szCs w:val="22"/>
        </w:rPr>
        <w:t xml:space="preserve">5. Memory improves the task without controlling decisions</w:t>
      </w:r>
    </w:p>
    <w:p>
      <w:pPr>
        <w:pStyle w:val="ListParagraph"/>
        <w:numPr>
          <w:ilvl w:val="0"/>
          <w:numId w:val="2"/>
        </w:numPr>
        <w:spacing w:after="30" w:line="247"/>
      </w:pPr>
      <w:r>
        <w:rPr>
          <w:rFonts w:ascii="Calibri" w:cs="Calibri" w:eastAsia="Calibri" w:hAnsi="Calibri"/>
          <w:b/>
          <w:bCs/>
          <w:sz w:val="18"/>
          <w:szCs w:val="18"/>
        </w:rPr>
        <w:t xml:space="preserve">Re-validated, not trusted.</w:t>
      </w:r>
      <w:r>
        <w:rPr>
          <w:rFonts w:ascii="Calibri" w:cs="Calibri" w:eastAsia="Calibri" w:hAnsi="Calibri"/>
          <w:sz w:val="18"/>
          <w:szCs w:val="18"/>
        </w:rPr>
        <w:t xml:space="preserve"> Memory supplies a candidate ID. The read-only lookup tool, which enforces ownership using the session's student_id, decides whether it can be used (M5: a record pointing at another student's case is refused and deleted, and nothing from that case appears in the reply).</w:t>
      </w:r>
    </w:p>
    <w:p>
      <w:pPr>
        <w:pStyle w:val="ListParagraph"/>
        <w:numPr>
          <w:ilvl w:val="0"/>
          <w:numId w:val="2"/>
        </w:numPr>
        <w:spacing w:after="30" w:line="247"/>
      </w:pPr>
      <w:r>
        <w:rPr>
          <w:rFonts w:ascii="Calibri" w:cs="Calibri" w:eastAsia="Calibri" w:hAnsi="Calibri"/>
          <w:b/>
          <w:bCs/>
          <w:sz w:val="18"/>
          <w:szCs w:val="18"/>
        </w:rPr>
        <w:t xml:space="preserve">No influence on decisions.</w:t>
      </w:r>
      <w:r>
        <w:rPr>
          <w:rFonts w:ascii="Calibri" w:cs="Calibri" w:eastAsia="Calibri" w:hAnsi="Calibri"/>
          <w:sz w:val="18"/>
          <w:szCs w:val="18"/>
        </w:rPr>
        <w:t xml:space="preserve"> With an active case on record, repeating the same request still stops at DUPLICATE_FOUND from a live lookup, and a new request still stops at the approval gate (M2). The case-preparation run never reads memory and the planner's summary has no memory field.</w:t>
      </w:r>
    </w:p>
    <w:p>
      <w:pPr>
        <w:pStyle w:val="ListParagraph"/>
        <w:numPr>
          <w:ilvl w:val="0"/>
          <w:numId w:val="2"/>
        </w:numPr>
        <w:spacing w:after="30" w:line="247"/>
      </w:pPr>
      <w:r>
        <w:rPr>
          <w:rFonts w:ascii="Calibri" w:cs="Calibri" w:eastAsia="Calibri" w:hAnsi="Calibri"/>
          <w:b/>
          <w:bCs/>
          <w:sz w:val="18"/>
          <w:szCs w:val="18"/>
        </w:rPr>
        <w:t xml:space="preserve">Tests have teeth.</w:t>
      </w:r>
      <w:r>
        <w:rPr>
          <w:rFonts w:ascii="Calibri" w:cs="Calibri" w:eastAsia="Calibri" w:hAnsi="Calibri"/>
          <w:sz w:val="18"/>
          <w:szCs w:val="18"/>
        </w:rPr>
        <w:t xml:space="preserve"> Bypassing the ownership lookup makes M5 fail on all three checks; leaking memory into the planner summary makes M2's summary check fail.</w:t>
      </w:r>
    </w:p>
    <w:p>
      <w:pPr>
        <w:pStyle w:val="Heading2"/>
        <w:keepNext/>
        <w:spacing w:after="50" w:before="120"/>
      </w:pPr>
      <w:r>
        <w:rPr>
          <w:rFonts w:ascii="Calibri" w:cs="Calibri" w:eastAsia="Calibri" w:hAnsi="Calibri"/>
          <w:b/>
          <w:bCs/>
          <w:color w:val="2F5496"/>
          <w:sz w:val="22"/>
          <w:szCs w:val="22"/>
        </w:rPr>
        <w:t xml:space="preserve">6. Policy change: DOC-12 amended to version 1.1</w:t>
      </w:r>
    </w:p>
    <w:p>
      <w:pPr>
        <w:spacing w:after="60" w:line="252"/>
      </w:pPr>
      <w:r>
        <w:rPr>
          <w:rFonts w:ascii="Calibri" w:cs="Calibri" w:eastAsia="Calibri" w:hAnsi="Calibri"/>
          <w:sz w:val="18"/>
          <w:szCs w:val="18"/>
        </w:rPr>
        <w:t xml:space="preserve">DOC-12 v1.0 limited memory to the active case ID </w:t>
      </w:r>
      <w:r>
        <w:rPr>
          <w:rFonts w:ascii="Calibri" w:cs="Calibri" w:eastAsia="Calibri" w:hAnsi="Calibri"/>
          <w:b/>
          <w:bCs/>
          <w:sz w:val="18"/>
          <w:szCs w:val="18"/>
        </w:rPr>
        <w:t xml:space="preserve">within a session</w:t>
      </w:r>
      <w:r>
        <w:rPr>
          <w:rFonts w:ascii="Calibri" w:cs="Calibri" w:eastAsia="Calibri" w:hAnsi="Calibri"/>
          <w:sz w:val="18"/>
          <w:szCs w:val="18"/>
        </w:rPr>
        <w:t xml:space="preserve">. Persisting across sessions needs the policy to say so, so DOC-12 is now v1.1: memory is limited to the active case ID, kept at most 30 days or until the case is no longer open, used only for read-only follow-up, deletable on request, and not readable by staff. The amended file is </w:t>
      </w:r>
      <w:r>
        <w:rPr>
          <w:rFonts w:ascii="Consolas" w:cs="Consolas" w:eastAsia="Consolas" w:hAnsi="Consolas"/>
          <w:sz w:val="17"/>
          <w:szCs w:val="17"/>
        </w:rPr>
        <w:t xml:space="preserve">knowledge/DOC-12_privacy.txt</w:t>
      </w:r>
      <w:r>
        <w:rPr>
          <w:rFonts w:ascii="Calibri" w:cs="Calibri" w:eastAsia="Calibri" w:hAnsi="Calibri"/>
          <w:sz w:val="18"/>
          <w:szCs w:val="18"/>
        </w:rPr>
        <w:t xml:space="preserve">. A longer document dilutes TF-IDF scores slightly (for example "Do you store my data?" from 0.222 to 0.170, still above the 0.14 threshold and still ranked first), so the Week 3 retrieval baseline should be re-run in Week 7.</w:t>
      </w:r>
    </w:p>
    <w:p>
      <w:pPr>
        <w:pStyle w:val="Heading2"/>
        <w:keepNext/>
        <w:spacing w:after="50" w:before="120"/>
      </w:pPr>
      <w:r>
        <w:rPr>
          <w:rFonts w:ascii="Calibri" w:cs="Calibri" w:eastAsia="Calibri" w:hAnsi="Calibri"/>
          <w:b/>
          <w:bCs/>
          <w:color w:val="2F5496"/>
          <w:sz w:val="22"/>
          <w:szCs w:val="22"/>
        </w:rPr>
        <w:t xml:space="preserve">7. Risks and limits</w:t>
      </w:r>
    </w:p>
    <w:p>
      <w:pPr>
        <w:pStyle w:val="ListParagraph"/>
        <w:numPr>
          <w:ilvl w:val="0"/>
          <w:numId w:val="2"/>
        </w:numPr>
        <w:spacing w:after="30" w:line="247"/>
      </w:pPr>
      <w:r>
        <w:rPr>
          <w:rFonts w:ascii="Calibri" w:cs="Calibri" w:eastAsia="Calibri" w:hAnsi="Calibri"/>
          <w:b/>
          <w:bCs/>
          <w:sz w:val="18"/>
          <w:szCs w:val="18"/>
        </w:rPr>
        <w:t xml:space="preserve">Plain-text JSON file</w:t>
      </w:r>
      <w:r>
        <w:rPr>
          <w:rFonts w:ascii="Calibri" w:cs="Calibri" w:eastAsia="Calibri" w:hAnsi="Calibri"/>
          <w:sz w:val="18"/>
          <w:szCs w:val="18"/>
        </w:rPr>
        <w:t xml:space="preserve"> in the prototype, with synthetic data only. Production would need an access-controlled store and encryption.</w:t>
      </w:r>
    </w:p>
    <w:p>
      <w:pPr>
        <w:pStyle w:val="ListParagraph"/>
        <w:numPr>
          <w:ilvl w:val="0"/>
          <w:numId w:val="2"/>
        </w:numPr>
        <w:spacing w:after="30" w:line="247"/>
      </w:pPr>
      <w:r>
        <w:rPr>
          <w:rFonts w:ascii="Calibri" w:cs="Calibri" w:eastAsia="Calibri" w:hAnsi="Calibri"/>
          <w:b/>
          <w:bCs/>
          <w:sz w:val="18"/>
          <w:szCs w:val="18"/>
        </w:rPr>
        <w:t xml:space="preserve">Shared device.</w:t>
      </w:r>
      <w:r>
        <w:rPr>
          <w:rFonts w:ascii="Calibri" w:cs="Calibri" w:eastAsia="Calibri" w:hAnsi="Calibri"/>
          <w:sz w:val="18"/>
          <w:szCs w:val="18"/>
        </w:rPr>
        <w:t xml:space="preserve"> Anyone signed in as the student sees their case status. Identity comes from login, not from memory.</w:t>
      </w:r>
    </w:p>
    <w:p>
      <w:pPr>
        <w:pStyle w:val="ListParagraph"/>
        <w:numPr>
          <w:ilvl w:val="0"/>
          <w:numId w:val="2"/>
        </w:numPr>
        <w:spacing w:after="30" w:line="247"/>
      </w:pPr>
      <w:r>
        <w:rPr>
          <w:rFonts w:ascii="Calibri" w:cs="Calibri" w:eastAsia="Calibri" w:hAnsi="Calibri"/>
          <w:b/>
          <w:bCs/>
          <w:sz w:val="18"/>
          <w:szCs w:val="18"/>
        </w:rPr>
        <w:t xml:space="preserve">Statuses.</w:t>
      </w:r>
      <w:r>
        <w:rPr>
          <w:rFonts w:ascii="Calibri" w:cs="Calibri" w:eastAsia="Calibri" w:hAnsi="Calibri"/>
          <w:sz w:val="18"/>
          <w:szCs w:val="18"/>
        </w:rPr>
        <w:t xml:space="preserve"> Only Pending exists in the data today. "In Review" is assumed open and any other status is treated as closed; the closed path was tested on an edited copy. Confirm the real status list with staff.</w:t>
      </w:r>
    </w:p>
    <w:p>
      <w:pPr>
        <w:pStyle w:val="ListParagraph"/>
        <w:numPr>
          <w:ilvl w:val="0"/>
          <w:numId w:val="2"/>
        </w:numPr>
        <w:spacing w:after="30" w:line="247"/>
      </w:pPr>
      <w:r>
        <w:rPr>
          <w:rFonts w:ascii="Calibri" w:cs="Calibri" w:eastAsia="Calibri" w:hAnsi="Calibri"/>
          <w:b/>
          <w:bCs/>
          <w:sz w:val="18"/>
          <w:szCs w:val="18"/>
        </w:rPr>
        <w:t xml:space="preserve">Evidence.</w:t>
      </w:r>
      <w:r>
        <w:rPr>
          <w:rFonts w:ascii="Calibri" w:cs="Calibri" w:eastAsia="Calibri" w:hAnsi="Calibri"/>
          <w:sz w:val="18"/>
          <w:szCs w:val="18"/>
        </w:rPr>
        <w:t xml:space="preserve"> </w:t>
      </w:r>
      <w:r>
        <w:rPr>
          <w:rFonts w:ascii="Consolas" w:cs="Consolas" w:eastAsia="Consolas" w:hAnsi="Consolas"/>
          <w:sz w:val="17"/>
          <w:szCs w:val="17"/>
        </w:rPr>
        <w:t xml:space="preserve">python tests/run_week6_memory_demo.py</w:t>
      </w:r>
      <w:r>
        <w:rPr>
          <w:rFonts w:ascii="Calibri" w:cs="Calibri" w:eastAsia="Calibri" w:hAnsi="Calibri"/>
          <w:sz w:val="18"/>
          <w:szCs w:val="18"/>
        </w:rPr>
        <w:t xml:space="preserve"> runs M1 to M7 and the interface check I1: 8 of 8 scenarios and 41 of 41 checks pass; traces are in </w:t>
      </w:r>
      <w:r>
        <w:rPr>
          <w:rFonts w:ascii="Consolas" w:cs="Consolas" w:eastAsia="Consolas" w:hAnsi="Consolas"/>
          <w:sz w:val="17"/>
          <w:szCs w:val="17"/>
        </w:rPr>
        <w:t xml:space="preserve">evidence/week6_memory/</w:t>
      </w:r>
      <w:r>
        <w:rPr>
          <w:rFonts w:ascii="Calibri" w:cs="Calibri" w:eastAsia="Calibri" w:hAnsi="Calibri"/>
          <w:sz w:val="18"/>
          <w:szCs w:val="18"/>
        </w:rPr>
        <w:t xml:space="preserve">.</w:t>
      </w:r>
    </w:p>
    <w:sectPr>
      <w:pgSz w:w="12240" w:h="15840" w:orient="portrait"/>
      <w:pgMar w:top="850" w:right="1000" w:bottom="8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2026-10-06T14:22:03.227Z</dcterms:created>
  <dcterms:modified xsi:type="dcterms:W3CDTF">2026-10-06T14:22:03.235Z</dcterms:modified>
</cp:coreProperties>
</file>

<file path=docProps/custom.xml><?xml version="1.0" encoding="utf-8"?>
<Properties xmlns="http://schemas.openxmlformats.org/officeDocument/2006/custom-properties" xmlns:vt="http://schemas.openxmlformats.org/officeDocument/2006/docPropsVTypes"/>
</file>