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rFonts w:ascii="Arial" w:hAnsi="Arial"/>
          <w:b/>
          <w:color w:val="157A7B"/>
          <w:sz w:val="22"/>
        </w:rPr>
        <w:t>DIABETES RISK &amp; READMISSION</w:t>
      </w:r>
    </w:p>
    <w:p>
      <w:pPr>
        <w:pStyle w:val="Title"/>
        <w:pBdr>
          <w:left w:val="single" w:sz="28" w:space="8" w:color="157A7B"/>
        </w:pBdr>
        <w:ind w:left="216"/>
      </w:pPr>
      <w:r>
        <w:t>Publication Pipeline</w:t>
        <w:br/>
        <w:t>Progress Report</w:t>
      </w:r>
    </w:p>
    <w:p>
      <w:pPr>
        <w:pStyle w:val="Subtitle"/>
      </w:pPr>
      <w:r>
        <w:t>Calibrated multi-model prediction, feature-availability routing, SHAP explainability, and publication-readiness status</w:t>
      </w:r>
    </w:p>
    <w:p/>
    <w:tbl>
      <w:tblPr>
        <w:tblStyle w:val="TableGrid"/>
        <w:tblW w:type="dxa" w:w="9360"/>
        <w:jc w:val="left"/>
        <w:tblLayout w:type="fixed"/>
        <w:tblLook w:firstColumn="1" w:firstRow="1" w:lastColumn="0" w:lastRow="0" w:noHBand="0" w:noVBand="1" w:val="04A0"/>
        <w:tblInd w:w="120" w:type="dxa"/>
      </w:tblPr>
      <w:tblGrid>
        <w:gridCol w:w="2527"/>
        <w:gridCol w:w="6833"/>
      </w:tblGrid>
      <w:tr>
        <w:trPr>
          <w:tblHeader w:val="true"/>
        </w:trPr>
        <w:tc>
          <w:tcPr>
            <w:tcW w:type="dxa" w:w="2527"/>
            <w:shd w:fill="17324D"/>
            <w:tcMar>
              <w:top w:w="115" w:type="dxa"/>
              <w:start w:w="120" w:type="dxa"/>
              <w:bottom w:w="115" w:type="dxa"/>
              <w:end w:w="120" w:type="dxa"/>
            </w:tcMar>
            <w:vAlign w:val="center"/>
          </w:tcPr>
          <w:p>
            <w:pPr>
              <w:spacing w:after="0"/>
              <w:jc w:val="center"/>
            </w:pPr>
            <w:r>
              <w:rPr>
                <w:rFonts w:ascii="Arial" w:hAnsi="Arial"/>
                <w:b/>
                <w:color w:val="FFFFFF"/>
                <w:sz w:val="18"/>
              </w:rPr>
              <w:t>Report field</w:t>
            </w:r>
          </w:p>
        </w:tc>
        <w:tc>
          <w:tcPr>
            <w:tcW w:type="dxa" w:w="6833"/>
            <w:shd w:fill="17324D"/>
            <w:tcMar>
              <w:top w:w="115" w:type="dxa"/>
              <w:start w:w="120" w:type="dxa"/>
              <w:bottom w:w="115" w:type="dxa"/>
              <w:end w:w="120" w:type="dxa"/>
            </w:tcMar>
            <w:vAlign w:val="center"/>
          </w:tcPr>
          <w:p>
            <w:pPr>
              <w:spacing w:after="0"/>
              <w:jc w:val="center"/>
            </w:pPr>
            <w:r>
              <w:rPr>
                <w:rFonts w:ascii="Arial" w:hAnsi="Arial"/>
                <w:b/>
                <w:color w:val="FFFFFF"/>
                <w:sz w:val="18"/>
              </w:rPr>
              <w:t>Value</w:t>
            </w:r>
          </w:p>
        </w:tc>
      </w:tr>
      <w:tr>
        <w:trPr>
          <w:cantSplit/>
        </w:trPr>
        <w:tc>
          <w:tcPr>
            <w:tcW w:type="dxa" w:w="2527"/>
            <w:tcMar>
              <w:top w:w="100" w:type="dxa"/>
              <w:start w:w="120" w:type="dxa"/>
              <w:bottom w:w="100" w:type="dxa"/>
              <w:end w:w="120" w:type="dxa"/>
            </w:tcMar>
            <w:vAlign w:val="center"/>
          </w:tcPr>
          <w:p>
            <w:pPr>
              <w:spacing w:after="0" w:line="252" w:lineRule="auto"/>
              <w:jc w:val="left"/>
            </w:pPr>
            <w:r>
              <w:rPr>
                <w:rFonts w:ascii="Arial" w:hAnsi="Arial"/>
                <w:b/>
                <w:color w:val="17324D"/>
                <w:sz w:val="18"/>
              </w:rPr>
              <w:t>Status</w:t>
            </w:r>
          </w:p>
        </w:tc>
        <w:tc>
          <w:tcPr>
            <w:tcW w:type="dxa" w:w="6833"/>
            <w:tcMar>
              <w:top w:w="100" w:type="dxa"/>
              <w:start w:w="120" w:type="dxa"/>
              <w:bottom w:w="100" w:type="dxa"/>
              <w:end w:w="120" w:type="dxa"/>
            </w:tcMar>
            <w:vAlign w:val="center"/>
          </w:tcPr>
          <w:p>
            <w:pPr>
              <w:spacing w:after="0" w:line="252" w:lineRule="auto"/>
              <w:jc w:val="left"/>
            </w:pPr>
            <w:r>
              <w:rPr>
                <w:rFonts w:ascii="Arial" w:hAnsi="Arial"/>
                <w:sz w:val="18"/>
              </w:rPr>
              <w:t>Development record — work completed to date</w:t>
            </w:r>
          </w:p>
        </w:tc>
      </w:tr>
      <w:tr>
        <w:trPr>
          <w:cantSplit/>
        </w:trPr>
        <w:tc>
          <w:tcPr>
            <w:tcW w:type="dxa" w:w="2527"/>
            <w:shd w:fill="F3F5F7"/>
            <w:tcMar>
              <w:top w:w="100" w:type="dxa"/>
              <w:start w:w="120" w:type="dxa"/>
              <w:bottom w:w="100" w:type="dxa"/>
              <w:end w:w="120" w:type="dxa"/>
            </w:tcMar>
            <w:vAlign w:val="center"/>
          </w:tcPr>
          <w:p>
            <w:pPr>
              <w:spacing w:after="0" w:line="252" w:lineRule="auto"/>
              <w:jc w:val="left"/>
            </w:pPr>
            <w:r>
              <w:rPr>
                <w:rFonts w:ascii="Arial" w:hAnsi="Arial"/>
                <w:b/>
                <w:color w:val="17324D"/>
                <w:sz w:val="18"/>
              </w:rPr>
              <w:t>Reporting date</w:t>
            </w:r>
          </w:p>
        </w:tc>
        <w:tc>
          <w:tcPr>
            <w:tcW w:type="dxa" w:w="6833"/>
            <w:shd w:fill="F3F5F7"/>
            <w:tcMar>
              <w:top w:w="100" w:type="dxa"/>
              <w:start w:w="120" w:type="dxa"/>
              <w:bottom w:w="100" w:type="dxa"/>
              <w:end w:w="120" w:type="dxa"/>
            </w:tcMar>
            <w:vAlign w:val="center"/>
          </w:tcPr>
          <w:p>
            <w:pPr>
              <w:spacing w:after="0" w:line="252" w:lineRule="auto"/>
              <w:jc w:val="left"/>
            </w:pPr>
            <w:r>
              <w:rPr>
                <w:rFonts w:ascii="Arial" w:hAnsi="Arial"/>
                <w:sz w:val="18"/>
              </w:rPr>
              <w:t>20 August 2026</w:t>
            </w:r>
          </w:p>
        </w:tc>
      </w:tr>
      <w:tr>
        <w:trPr>
          <w:cantSplit/>
        </w:trPr>
        <w:tc>
          <w:tcPr>
            <w:tcW w:type="dxa" w:w="2527"/>
            <w:tcMar>
              <w:top w:w="100" w:type="dxa"/>
              <w:start w:w="120" w:type="dxa"/>
              <w:bottom w:w="100" w:type="dxa"/>
              <w:end w:w="120" w:type="dxa"/>
            </w:tcMar>
            <w:vAlign w:val="center"/>
          </w:tcPr>
          <w:p>
            <w:pPr>
              <w:spacing w:after="0" w:line="252" w:lineRule="auto"/>
              <w:jc w:val="left"/>
            </w:pPr>
            <w:r>
              <w:rPr>
                <w:rFonts w:ascii="Arial" w:hAnsi="Arial"/>
                <w:b/>
                <w:color w:val="17324D"/>
                <w:sz w:val="18"/>
              </w:rPr>
              <w:t>Primary models</w:t>
            </w:r>
          </w:p>
        </w:tc>
        <w:tc>
          <w:tcPr>
            <w:tcW w:type="dxa" w:w="6833"/>
            <w:tcMar>
              <w:top w:w="100" w:type="dxa"/>
              <w:start w:w="120" w:type="dxa"/>
              <w:bottom w:w="100" w:type="dxa"/>
              <w:end w:w="120" w:type="dxa"/>
            </w:tcMar>
            <w:vAlign w:val="center"/>
          </w:tcPr>
          <w:p>
            <w:pPr>
              <w:spacing w:after="0" w:line="252" w:lineRule="auto"/>
              <w:jc w:val="left"/>
            </w:pPr>
            <w:r>
              <w:rPr>
                <w:rFonts w:ascii="Arial" w:hAnsi="Arial"/>
                <w:sz w:val="18"/>
              </w:rPr>
              <w:t>Random Forest, XGBoost, LightGBM, CatBoost</w:t>
            </w:r>
          </w:p>
        </w:tc>
      </w:tr>
      <w:tr>
        <w:trPr>
          <w:cantSplit/>
        </w:trPr>
        <w:tc>
          <w:tcPr>
            <w:tcW w:type="dxa" w:w="2527"/>
            <w:shd w:fill="F3F5F7"/>
            <w:tcMar>
              <w:top w:w="100" w:type="dxa"/>
              <w:start w:w="120" w:type="dxa"/>
              <w:bottom w:w="100" w:type="dxa"/>
              <w:end w:w="120" w:type="dxa"/>
            </w:tcMar>
            <w:vAlign w:val="center"/>
          </w:tcPr>
          <w:p>
            <w:pPr>
              <w:spacing w:after="0" w:line="252" w:lineRule="auto"/>
              <w:jc w:val="left"/>
            </w:pPr>
            <w:r>
              <w:rPr>
                <w:rFonts w:ascii="Arial" w:hAnsi="Arial"/>
                <w:b/>
                <w:color w:val="17324D"/>
                <w:sz w:val="18"/>
              </w:rPr>
              <w:t>Reference baseline</w:t>
            </w:r>
          </w:p>
        </w:tc>
        <w:tc>
          <w:tcPr>
            <w:tcW w:type="dxa" w:w="6833"/>
            <w:shd w:fill="F3F5F7"/>
            <w:tcMar>
              <w:top w:w="100" w:type="dxa"/>
              <w:start w:w="120" w:type="dxa"/>
              <w:bottom w:w="100" w:type="dxa"/>
              <w:end w:w="120" w:type="dxa"/>
            </w:tcMar>
            <w:vAlign w:val="center"/>
          </w:tcPr>
          <w:p>
            <w:pPr>
              <w:spacing w:after="0" w:line="252" w:lineRule="auto"/>
              <w:jc w:val="left"/>
            </w:pPr>
            <w:r>
              <w:rPr>
                <w:rFonts w:ascii="Arial" w:hAnsi="Arial"/>
                <w:sz w:val="18"/>
              </w:rPr>
              <w:t>Logistic Regression (small-cohort benchmarks)</w:t>
            </w:r>
          </w:p>
        </w:tc>
      </w:tr>
      <w:tr>
        <w:trPr>
          <w:cantSplit/>
        </w:trPr>
        <w:tc>
          <w:tcPr>
            <w:tcW w:type="dxa" w:w="2527"/>
            <w:tcMar>
              <w:top w:w="100" w:type="dxa"/>
              <w:start w:w="120" w:type="dxa"/>
              <w:bottom w:w="100" w:type="dxa"/>
              <w:end w:w="120" w:type="dxa"/>
            </w:tcMar>
            <w:vAlign w:val="center"/>
          </w:tcPr>
          <w:p>
            <w:pPr>
              <w:spacing w:after="0" w:line="252" w:lineRule="auto"/>
              <w:jc w:val="left"/>
            </w:pPr>
            <w:r>
              <w:rPr>
                <w:rFonts w:ascii="Arial" w:hAnsi="Arial"/>
                <w:b/>
                <w:color w:val="17324D"/>
                <w:sz w:val="18"/>
              </w:rPr>
              <w:t>Evidence included</w:t>
            </w:r>
          </w:p>
        </w:tc>
        <w:tc>
          <w:tcPr>
            <w:tcW w:type="dxa" w:w="6833"/>
            <w:tcMar>
              <w:top w:w="100" w:type="dxa"/>
              <w:start w:w="120" w:type="dxa"/>
              <w:bottom w:w="100" w:type="dxa"/>
              <w:end w:w="120" w:type="dxa"/>
            </w:tcMar>
            <w:vAlign w:val="center"/>
          </w:tcPr>
          <w:p>
            <w:pPr>
              <w:spacing w:after="0" w:line="252" w:lineRule="auto"/>
              <w:jc w:val="left"/>
            </w:pPr>
            <w:r>
              <w:rPr>
                <w:rFonts w:ascii="Arial" w:hAnsi="Arial"/>
                <w:sz w:val="18"/>
              </w:rPr>
              <w:t>PIDD and Sylhet pilots; BRFSS and Hospital130 smoke holdouts</w:t>
            </w:r>
          </w:p>
        </w:tc>
      </w:tr>
      <w:tr>
        <w:trPr>
          <w:cantSplit/>
        </w:trPr>
        <w:tc>
          <w:tcPr>
            <w:tcW w:type="dxa" w:w="2527"/>
            <w:shd w:fill="F3F5F7"/>
            <w:tcMar>
              <w:top w:w="100" w:type="dxa"/>
              <w:start w:w="120" w:type="dxa"/>
              <w:bottom w:w="100" w:type="dxa"/>
              <w:end w:w="120" w:type="dxa"/>
            </w:tcMar>
            <w:vAlign w:val="center"/>
          </w:tcPr>
          <w:p>
            <w:pPr>
              <w:spacing w:after="0" w:line="252" w:lineRule="auto"/>
              <w:jc w:val="left"/>
            </w:pPr>
            <w:r>
              <w:rPr>
                <w:rFonts w:ascii="Arial" w:hAnsi="Arial"/>
                <w:b/>
                <w:color w:val="17324D"/>
                <w:sz w:val="18"/>
              </w:rPr>
              <w:t>Intended use</w:t>
            </w:r>
          </w:p>
        </w:tc>
        <w:tc>
          <w:tcPr>
            <w:tcW w:type="dxa" w:w="6833"/>
            <w:shd w:fill="F3F5F7"/>
            <w:tcMar>
              <w:top w:w="100" w:type="dxa"/>
              <w:start w:w="120" w:type="dxa"/>
              <w:bottom w:w="100" w:type="dxa"/>
              <w:end w:w="120" w:type="dxa"/>
            </w:tcMar>
            <w:vAlign w:val="center"/>
          </w:tcPr>
          <w:p>
            <w:pPr>
              <w:spacing w:after="0" w:line="252" w:lineRule="auto"/>
              <w:jc w:val="left"/>
            </w:pPr>
            <w:r>
              <w:rPr>
                <w:rFonts w:ascii="Arial" w:hAnsi="Arial"/>
                <w:sz w:val="18"/>
              </w:rPr>
              <w:t>Conference/journal manuscript development</w:t>
            </w:r>
          </w:p>
        </w:tc>
      </w:tr>
    </w:tbl>
    <w:p>
      <w:pPr>
        <w:spacing w:after="20"/>
      </w:pPr>
    </w:p>
    <w:p>
      <w:pPr>
        <w:shd w:fill="FFF4D9"/>
        <w:keepLines/>
        <w:pBdr>
          <w:left w:val="single" w:sz="20" w:space="8" w:color="D99A2B"/>
        </w:pBdr>
        <w:spacing w:before="100" w:after="160"/>
        <w:ind w:left="173" w:right="115"/>
      </w:pPr>
      <w:r>
        <w:rPr>
          <w:b/>
          <w:color w:val="D99A2B"/>
        </w:rPr>
        <w:t xml:space="preserve">Evidence-status statement  </w:t>
      </w:r>
      <w:r>
        <w:t>The pipeline implementation is complete through calibrated evaluation, SHAP, PIDD availability routing, patient-result generation, and large-cohort holdout engineering. The numerical results in this report are development-pilot or smoke-run findings, not the locked final paper estimates.</w:t>
      </w:r>
    </w:p>
    <w:p>
      <w:pPr>
        <w:spacing w:before="560"/>
      </w:pPr>
      <w:r>
        <w:rPr>
          <w:i/>
          <w:color w:val="65717D"/>
        </w:rPr>
        <w:t>Prepared from immutable pipeline artifacts, saved predictions, confidence intervals, model bundles, and checkpoint reports.</w:t>
      </w:r>
    </w:p>
    <w:p>
      <w:r>
        <w:br w:type="page"/>
      </w:r>
    </w:p>
    <w:p>
      <w:pPr>
        <w:pStyle w:val="Heading1"/>
      </w:pPr>
      <w:r>
        <w:t>Executive Summary</w:t>
      </w:r>
    </w:p>
    <w:p>
      <w:pPr>
        <w:keepLines/>
        <w:spacing w:after="160"/>
      </w:pPr>
      <w:r>
        <w:t>A publication-oriented machine-learning pipeline has been implemented for probability-first diabetes screening and a separate diabetes-related hospital readmission task. The system compares four tree ensembles, keeps Logistic Regression as a reference baseline on the smaller cohorts, selects calibration and operating thresholds without using evaluation labels, quantifies uncertainty, explains predictions with SHAP, and safely abstains when the available patient features do not match an evaluated panel.</w:t>
      </w:r>
    </w:p>
    <w:p>
      <w:pPr>
        <w:shd w:fill="E8F3F2"/>
        <w:keepLines/>
        <w:pBdr>
          <w:left w:val="single" w:sz="20" w:space="8" w:color="157A7B"/>
        </w:pBdr>
        <w:spacing w:before="100" w:after="160"/>
        <w:ind w:left="173" w:right="115"/>
      </w:pPr>
      <w:r>
        <w:rPr>
          <w:b/>
          <w:color w:val="157A7B"/>
        </w:rPr>
        <w:t xml:space="preserve">Central result  </w:t>
      </w:r>
      <w:r>
        <w:t>The strongest current finding is not that one algorithm universally wins. The four tree models are often statistically indistinguishable. The more defensible contribution is a leakage-controlled, calibrated, availability-aware and explainable system that measures how reliability changes when features are unavailable.</w:t>
      </w:r>
    </w:p>
    <w:p>
      <w:pPr>
        <w:pStyle w:val="Heading2"/>
      </w:pPr>
      <w:r>
        <w:t>Current results at a glance</w:t>
      </w:r>
    </w:p>
    <w:tbl>
      <w:tblPr>
        <w:tblStyle w:val="TableGrid"/>
        <w:tblW w:type="dxa" w:w="9360"/>
        <w:jc w:val="left"/>
        <w:tblLayout w:type="fixed"/>
        <w:tblLook w:firstColumn="1" w:firstRow="1" w:lastColumn="0" w:lastRow="0" w:noHBand="0" w:noVBand="1" w:val="04A0"/>
        <w:tblInd w:w="120" w:type="dxa"/>
      </w:tblPr>
      <w:tblGrid>
        <w:gridCol w:w="1217"/>
        <w:gridCol w:w="1310"/>
        <w:gridCol w:w="1217"/>
        <w:gridCol w:w="842"/>
        <w:gridCol w:w="842"/>
        <w:gridCol w:w="842"/>
        <w:gridCol w:w="3090"/>
      </w:tblGrid>
      <w:tr>
        <w:trPr>
          <w:tblHeader w:val="true"/>
        </w:trPr>
        <w:tc>
          <w:tcPr>
            <w:tcW w:type="dxa" w:w="1217"/>
            <w:shd w:fill="17324D"/>
            <w:tcMar>
              <w:top w:w="115" w:type="dxa"/>
              <w:start w:w="120" w:type="dxa"/>
              <w:bottom w:w="115" w:type="dxa"/>
              <w:end w:w="120" w:type="dxa"/>
            </w:tcMar>
            <w:vAlign w:val="center"/>
          </w:tcPr>
          <w:p>
            <w:pPr>
              <w:spacing w:after="0"/>
              <w:jc w:val="center"/>
            </w:pPr>
            <w:r>
              <w:rPr>
                <w:rFonts w:ascii="Arial" w:hAnsi="Arial"/>
                <w:b/>
                <w:color w:val="FFFFFF"/>
                <w:sz w:val="15"/>
              </w:rPr>
              <w:t>Study</w:t>
            </w:r>
          </w:p>
        </w:tc>
        <w:tc>
          <w:tcPr>
            <w:tcW w:type="dxa" w:w="1310"/>
            <w:shd w:fill="17324D"/>
            <w:tcMar>
              <w:top w:w="115" w:type="dxa"/>
              <w:start w:w="120" w:type="dxa"/>
              <w:bottom w:w="115" w:type="dxa"/>
              <w:end w:w="120" w:type="dxa"/>
            </w:tcMar>
            <w:vAlign w:val="center"/>
          </w:tcPr>
          <w:p>
            <w:pPr>
              <w:spacing w:after="0"/>
              <w:jc w:val="center"/>
            </w:pPr>
            <w:r>
              <w:rPr>
                <w:rFonts w:ascii="Arial" w:hAnsi="Arial"/>
                <w:b/>
                <w:color w:val="FFFFFF"/>
                <w:sz w:val="15"/>
              </w:rPr>
              <w:t>Evidence level</w:t>
            </w:r>
          </w:p>
        </w:tc>
        <w:tc>
          <w:tcPr>
            <w:tcW w:type="dxa" w:w="1217"/>
            <w:shd w:fill="17324D"/>
            <w:tcMar>
              <w:top w:w="115" w:type="dxa"/>
              <w:start w:w="120" w:type="dxa"/>
              <w:bottom w:w="115" w:type="dxa"/>
              <w:end w:w="120" w:type="dxa"/>
            </w:tcMar>
            <w:vAlign w:val="center"/>
          </w:tcPr>
          <w:p>
            <w:pPr>
              <w:spacing w:after="0"/>
              <w:jc w:val="center"/>
            </w:pPr>
            <w:r>
              <w:rPr>
                <w:rFonts w:ascii="Arial" w:hAnsi="Arial"/>
                <w:b/>
                <w:color w:val="FFFFFF"/>
                <w:sz w:val="15"/>
              </w:rPr>
              <w:t>Numerical leader</w:t>
            </w:r>
          </w:p>
        </w:tc>
        <w:tc>
          <w:tcPr>
            <w:tcW w:type="dxa" w:w="842"/>
            <w:shd w:fill="17324D"/>
            <w:tcMar>
              <w:top w:w="115" w:type="dxa"/>
              <w:start w:w="120" w:type="dxa"/>
              <w:bottom w:w="115" w:type="dxa"/>
              <w:end w:w="120" w:type="dxa"/>
            </w:tcMar>
            <w:vAlign w:val="center"/>
          </w:tcPr>
          <w:p>
            <w:pPr>
              <w:spacing w:after="0"/>
              <w:jc w:val="center"/>
            </w:pPr>
            <w:r>
              <w:rPr>
                <w:rFonts w:ascii="Arial" w:hAnsi="Arial"/>
                <w:b/>
                <w:color w:val="FFFFFF"/>
                <w:sz w:val="15"/>
              </w:rPr>
              <w:t>AUROC</w:t>
            </w:r>
          </w:p>
        </w:tc>
        <w:tc>
          <w:tcPr>
            <w:tcW w:type="dxa" w:w="842"/>
            <w:shd w:fill="17324D"/>
            <w:tcMar>
              <w:top w:w="115" w:type="dxa"/>
              <w:start w:w="120" w:type="dxa"/>
              <w:bottom w:w="115" w:type="dxa"/>
              <w:end w:w="120" w:type="dxa"/>
            </w:tcMar>
            <w:vAlign w:val="center"/>
          </w:tcPr>
          <w:p>
            <w:pPr>
              <w:spacing w:after="0"/>
              <w:jc w:val="center"/>
            </w:pPr>
            <w:r>
              <w:rPr>
                <w:rFonts w:ascii="Arial" w:hAnsi="Arial"/>
                <w:b/>
                <w:color w:val="FFFFFF"/>
                <w:sz w:val="15"/>
              </w:rPr>
              <w:t>AP</w:t>
            </w:r>
          </w:p>
        </w:tc>
        <w:tc>
          <w:tcPr>
            <w:tcW w:type="dxa" w:w="842"/>
            <w:shd w:fill="17324D"/>
            <w:tcMar>
              <w:top w:w="115" w:type="dxa"/>
              <w:start w:w="120" w:type="dxa"/>
              <w:bottom w:w="115" w:type="dxa"/>
              <w:end w:w="120" w:type="dxa"/>
            </w:tcMar>
            <w:vAlign w:val="center"/>
          </w:tcPr>
          <w:p>
            <w:pPr>
              <w:spacing w:after="0"/>
              <w:jc w:val="center"/>
            </w:pPr>
            <w:r>
              <w:rPr>
                <w:rFonts w:ascii="Arial" w:hAnsi="Arial"/>
                <w:b/>
                <w:color w:val="FFFFFF"/>
                <w:sz w:val="15"/>
              </w:rPr>
              <w:t>Brier</w:t>
            </w:r>
          </w:p>
        </w:tc>
        <w:tc>
          <w:tcPr>
            <w:tcW w:type="dxa" w:w="3090"/>
            <w:shd w:fill="17324D"/>
            <w:tcMar>
              <w:top w:w="115" w:type="dxa"/>
              <w:start w:w="120" w:type="dxa"/>
              <w:bottom w:w="115" w:type="dxa"/>
              <w:end w:w="120" w:type="dxa"/>
            </w:tcMar>
            <w:vAlign w:val="center"/>
          </w:tcPr>
          <w:p>
            <w:pPr>
              <w:spacing w:after="0"/>
              <w:jc w:val="center"/>
            </w:pPr>
            <w:r>
              <w:rPr>
                <w:rFonts w:ascii="Arial" w:hAnsi="Arial"/>
                <w:b/>
                <w:color w:val="FFFFFF"/>
                <w:sz w:val="15"/>
              </w:rPr>
              <w:t>Interpretation</w:t>
            </w:r>
          </w:p>
        </w:tc>
      </w:tr>
      <w:tr>
        <w:trPr>
          <w:cantSplit/>
        </w:trPr>
        <w:tc>
          <w:tcPr>
            <w:tcW w:type="dxa" w:w="1217"/>
            <w:tcMar>
              <w:top w:w="100" w:type="dxa"/>
              <w:start w:w="120" w:type="dxa"/>
              <w:bottom w:w="100" w:type="dxa"/>
              <w:end w:w="120" w:type="dxa"/>
            </w:tcMar>
            <w:vAlign w:val="center"/>
          </w:tcPr>
          <w:p>
            <w:pPr>
              <w:spacing w:after="0" w:line="252" w:lineRule="auto"/>
              <w:jc w:val="left"/>
            </w:pPr>
            <w:r>
              <w:rPr>
                <w:rFonts w:ascii="Arial" w:hAnsi="Arial"/>
                <w:b/>
                <w:color w:val="17324D"/>
                <w:sz w:val="15"/>
              </w:rPr>
              <w:t>PIDD</w:t>
            </w:r>
          </w:p>
        </w:tc>
        <w:tc>
          <w:tcPr>
            <w:tcW w:type="dxa" w:w="1310"/>
            <w:tcMar>
              <w:top w:w="100" w:type="dxa"/>
              <w:start w:w="120" w:type="dxa"/>
              <w:bottom w:w="100" w:type="dxa"/>
              <w:end w:w="120" w:type="dxa"/>
            </w:tcMar>
            <w:vAlign w:val="center"/>
          </w:tcPr>
          <w:p>
            <w:pPr>
              <w:spacing w:after="0" w:line="252" w:lineRule="auto"/>
              <w:jc w:val="left"/>
            </w:pPr>
            <w:r>
              <w:rPr>
                <w:rFonts w:ascii="Arial" w:hAnsi="Arial"/>
                <w:sz w:val="15"/>
              </w:rPr>
              <w:t>Development pilot</w:t>
            </w:r>
          </w:p>
        </w:tc>
        <w:tc>
          <w:tcPr>
            <w:tcW w:type="dxa" w:w="1217"/>
            <w:tcMar>
              <w:top w:w="100" w:type="dxa"/>
              <w:start w:w="120" w:type="dxa"/>
              <w:bottom w:w="100" w:type="dxa"/>
              <w:end w:w="120" w:type="dxa"/>
            </w:tcMar>
            <w:vAlign w:val="center"/>
          </w:tcPr>
          <w:p>
            <w:pPr>
              <w:spacing w:after="0" w:line="252" w:lineRule="auto"/>
              <w:jc w:val="left"/>
            </w:pPr>
            <w:r>
              <w:rPr>
                <w:rFonts w:ascii="Arial" w:hAnsi="Arial"/>
                <w:sz w:val="15"/>
              </w:rPr>
              <w:t>CatBoost*</w:t>
            </w:r>
          </w:p>
        </w:tc>
        <w:tc>
          <w:tcPr>
            <w:tcW w:type="dxa" w:w="842"/>
            <w:tcMar>
              <w:top w:w="100" w:type="dxa"/>
              <w:start w:w="120" w:type="dxa"/>
              <w:bottom w:w="100" w:type="dxa"/>
              <w:end w:w="120" w:type="dxa"/>
            </w:tcMar>
            <w:vAlign w:val="center"/>
          </w:tcPr>
          <w:p>
            <w:pPr>
              <w:spacing w:after="0" w:line="252" w:lineRule="auto"/>
              <w:jc w:val="center"/>
            </w:pPr>
            <w:r>
              <w:rPr>
                <w:rFonts w:ascii="Arial" w:hAnsi="Arial"/>
                <w:sz w:val="15"/>
              </w:rPr>
              <w:t>0.8394</w:t>
            </w:r>
          </w:p>
        </w:tc>
        <w:tc>
          <w:tcPr>
            <w:tcW w:type="dxa" w:w="842"/>
            <w:tcMar>
              <w:top w:w="100" w:type="dxa"/>
              <w:start w:w="120" w:type="dxa"/>
              <w:bottom w:w="100" w:type="dxa"/>
              <w:end w:w="120" w:type="dxa"/>
            </w:tcMar>
            <w:vAlign w:val="center"/>
          </w:tcPr>
          <w:p>
            <w:pPr>
              <w:spacing w:after="0" w:line="252" w:lineRule="auto"/>
              <w:jc w:val="center"/>
            </w:pPr>
            <w:r>
              <w:rPr>
                <w:rFonts w:ascii="Arial" w:hAnsi="Arial"/>
                <w:sz w:val="15"/>
              </w:rPr>
              <w:t>0.7097</w:t>
            </w:r>
          </w:p>
        </w:tc>
        <w:tc>
          <w:tcPr>
            <w:tcW w:type="dxa" w:w="842"/>
            <w:tcMar>
              <w:top w:w="100" w:type="dxa"/>
              <w:start w:w="120" w:type="dxa"/>
              <w:bottom w:w="100" w:type="dxa"/>
              <w:end w:w="120" w:type="dxa"/>
            </w:tcMar>
            <w:vAlign w:val="center"/>
          </w:tcPr>
          <w:p>
            <w:pPr>
              <w:spacing w:after="0" w:line="252" w:lineRule="auto"/>
              <w:jc w:val="center"/>
            </w:pPr>
            <w:r>
              <w:rPr>
                <w:rFonts w:ascii="Arial" w:hAnsi="Arial"/>
                <w:sz w:val="15"/>
              </w:rPr>
              <w:t>0.1540</w:t>
            </w:r>
          </w:p>
        </w:tc>
        <w:tc>
          <w:tcPr>
            <w:tcW w:type="dxa" w:w="3090"/>
            <w:tcMar>
              <w:top w:w="100" w:type="dxa"/>
              <w:start w:w="120" w:type="dxa"/>
              <w:bottom w:w="100" w:type="dxa"/>
              <w:end w:w="120" w:type="dxa"/>
            </w:tcMar>
            <w:vAlign w:val="center"/>
          </w:tcPr>
          <w:p>
            <w:pPr>
              <w:spacing w:after="0" w:line="252" w:lineRule="auto"/>
              <w:jc w:val="left"/>
            </w:pPr>
            <w:r>
              <w:rPr>
                <w:rFonts w:ascii="Arial" w:hAnsi="Arial"/>
                <w:sz w:val="15"/>
              </w:rPr>
              <w:t>Models statistically tied; XGB has highest AP</w:t>
            </w:r>
          </w:p>
        </w:tc>
      </w:tr>
      <w:tr>
        <w:trPr>
          <w:cantSplit/>
        </w:trPr>
        <w:tc>
          <w:tcPr>
            <w:tcW w:type="dxa" w:w="1217"/>
            <w:shd w:fill="F3F5F7"/>
            <w:tcMar>
              <w:top w:w="100" w:type="dxa"/>
              <w:start w:w="120" w:type="dxa"/>
              <w:bottom w:w="100" w:type="dxa"/>
              <w:end w:w="120" w:type="dxa"/>
            </w:tcMar>
            <w:vAlign w:val="center"/>
          </w:tcPr>
          <w:p>
            <w:pPr>
              <w:spacing w:after="0" w:line="252" w:lineRule="auto"/>
              <w:jc w:val="left"/>
            </w:pPr>
            <w:r>
              <w:rPr>
                <w:rFonts w:ascii="Arial" w:hAnsi="Arial"/>
                <w:b/>
                <w:color w:val="17324D"/>
                <w:sz w:val="15"/>
              </w:rPr>
              <w:t>Sylhet</w:t>
            </w:r>
          </w:p>
        </w:tc>
        <w:tc>
          <w:tcPr>
            <w:tcW w:type="dxa" w:w="1310"/>
            <w:shd w:fill="F3F5F7"/>
            <w:tcMar>
              <w:top w:w="100" w:type="dxa"/>
              <w:start w:w="120" w:type="dxa"/>
              <w:bottom w:w="100" w:type="dxa"/>
              <w:end w:w="120" w:type="dxa"/>
            </w:tcMar>
            <w:vAlign w:val="center"/>
          </w:tcPr>
          <w:p>
            <w:pPr>
              <w:spacing w:after="0" w:line="252" w:lineRule="auto"/>
              <w:jc w:val="left"/>
            </w:pPr>
            <w:r>
              <w:rPr>
                <w:rFonts w:ascii="Arial" w:hAnsi="Arial"/>
                <w:sz w:val="15"/>
              </w:rPr>
              <w:t>Grouped pilot</w:t>
            </w:r>
          </w:p>
        </w:tc>
        <w:tc>
          <w:tcPr>
            <w:tcW w:type="dxa" w:w="1217"/>
            <w:shd w:fill="F3F5F7"/>
            <w:tcMar>
              <w:top w:w="100" w:type="dxa"/>
              <w:start w:w="120" w:type="dxa"/>
              <w:bottom w:w="100" w:type="dxa"/>
              <w:end w:w="120" w:type="dxa"/>
            </w:tcMar>
            <w:vAlign w:val="center"/>
          </w:tcPr>
          <w:p>
            <w:pPr>
              <w:spacing w:after="0" w:line="252" w:lineRule="auto"/>
              <w:jc w:val="left"/>
            </w:pPr>
            <w:r>
              <w:rPr>
                <w:rFonts w:ascii="Arial" w:hAnsi="Arial"/>
                <w:sz w:val="15"/>
              </w:rPr>
              <w:t>CatBoost*</w:t>
            </w:r>
          </w:p>
        </w:tc>
        <w:tc>
          <w:tcPr>
            <w:tcW w:type="dxa" w:w="842"/>
            <w:shd w:fill="F3F5F7"/>
            <w:tcMar>
              <w:top w:w="100" w:type="dxa"/>
              <w:start w:w="120" w:type="dxa"/>
              <w:bottom w:w="100" w:type="dxa"/>
              <w:end w:w="120" w:type="dxa"/>
            </w:tcMar>
            <w:vAlign w:val="center"/>
          </w:tcPr>
          <w:p>
            <w:pPr>
              <w:spacing w:after="0" w:line="252" w:lineRule="auto"/>
              <w:jc w:val="center"/>
            </w:pPr>
            <w:r>
              <w:rPr>
                <w:rFonts w:ascii="Arial" w:hAnsi="Arial"/>
                <w:sz w:val="15"/>
              </w:rPr>
              <w:t>0.9722</w:t>
            </w:r>
          </w:p>
        </w:tc>
        <w:tc>
          <w:tcPr>
            <w:tcW w:type="dxa" w:w="842"/>
            <w:shd w:fill="F3F5F7"/>
            <w:tcMar>
              <w:top w:w="100" w:type="dxa"/>
              <w:start w:w="120" w:type="dxa"/>
              <w:bottom w:w="100" w:type="dxa"/>
              <w:end w:w="120" w:type="dxa"/>
            </w:tcMar>
            <w:vAlign w:val="center"/>
          </w:tcPr>
          <w:p>
            <w:pPr>
              <w:spacing w:after="0" w:line="252" w:lineRule="auto"/>
              <w:jc w:val="center"/>
            </w:pPr>
            <w:r>
              <w:rPr>
                <w:rFonts w:ascii="Arial" w:hAnsi="Arial"/>
                <w:sz w:val="15"/>
              </w:rPr>
              <w:t>0.9841</w:t>
            </w:r>
          </w:p>
        </w:tc>
        <w:tc>
          <w:tcPr>
            <w:tcW w:type="dxa" w:w="842"/>
            <w:shd w:fill="F3F5F7"/>
            <w:tcMar>
              <w:top w:w="100" w:type="dxa"/>
              <w:start w:w="120" w:type="dxa"/>
              <w:bottom w:w="100" w:type="dxa"/>
              <w:end w:w="120" w:type="dxa"/>
            </w:tcMar>
            <w:vAlign w:val="center"/>
          </w:tcPr>
          <w:p>
            <w:pPr>
              <w:spacing w:after="0" w:line="252" w:lineRule="auto"/>
              <w:jc w:val="center"/>
            </w:pPr>
            <w:r>
              <w:rPr>
                <w:rFonts w:ascii="Arial" w:hAnsi="Arial"/>
                <w:sz w:val="15"/>
              </w:rPr>
              <w:t>0.0642</w:t>
            </w:r>
          </w:p>
        </w:tc>
        <w:tc>
          <w:tcPr>
            <w:tcW w:type="dxa" w:w="3090"/>
            <w:shd w:fill="F3F5F7"/>
            <w:tcMar>
              <w:top w:w="100" w:type="dxa"/>
              <w:start w:w="120" w:type="dxa"/>
              <w:bottom w:w="100" w:type="dxa"/>
              <w:end w:w="120" w:type="dxa"/>
            </w:tcMar>
            <w:vAlign w:val="center"/>
          </w:tcPr>
          <w:p>
            <w:pPr>
              <w:spacing w:after="0" w:line="252" w:lineRule="auto"/>
              <w:jc w:val="left"/>
            </w:pPr>
            <w:r>
              <w:rPr>
                <w:rFonts w:ascii="Arial" w:hAnsi="Arial"/>
                <w:sz w:val="15"/>
              </w:rPr>
              <w:t>High performance; small symptom cohort</w:t>
            </w:r>
          </w:p>
        </w:tc>
      </w:tr>
      <w:tr>
        <w:trPr>
          <w:cantSplit/>
        </w:trPr>
        <w:tc>
          <w:tcPr>
            <w:tcW w:type="dxa" w:w="1217"/>
            <w:tcMar>
              <w:top w:w="100" w:type="dxa"/>
              <w:start w:w="120" w:type="dxa"/>
              <w:bottom w:w="100" w:type="dxa"/>
              <w:end w:w="120" w:type="dxa"/>
            </w:tcMar>
            <w:vAlign w:val="center"/>
          </w:tcPr>
          <w:p>
            <w:pPr>
              <w:spacing w:after="0" w:line="252" w:lineRule="auto"/>
              <w:jc w:val="left"/>
            </w:pPr>
            <w:r>
              <w:rPr>
                <w:rFonts w:ascii="Arial" w:hAnsi="Arial"/>
                <w:b/>
                <w:color w:val="17324D"/>
                <w:sz w:val="15"/>
              </w:rPr>
              <w:t>BRFSS</w:t>
            </w:r>
          </w:p>
        </w:tc>
        <w:tc>
          <w:tcPr>
            <w:tcW w:type="dxa" w:w="1310"/>
            <w:tcMar>
              <w:top w:w="100" w:type="dxa"/>
              <w:start w:w="120" w:type="dxa"/>
              <w:bottom w:w="100" w:type="dxa"/>
              <w:end w:w="120" w:type="dxa"/>
            </w:tcMar>
            <w:vAlign w:val="center"/>
          </w:tcPr>
          <w:p>
            <w:pPr>
              <w:spacing w:after="0" w:line="252" w:lineRule="auto"/>
              <w:jc w:val="left"/>
            </w:pPr>
            <w:r>
              <w:rPr>
                <w:rFonts w:ascii="Arial" w:hAnsi="Arial"/>
                <w:sz w:val="15"/>
              </w:rPr>
              <w:t>Smoke holdout</w:t>
            </w:r>
          </w:p>
        </w:tc>
        <w:tc>
          <w:tcPr>
            <w:tcW w:type="dxa" w:w="1217"/>
            <w:tcMar>
              <w:top w:w="100" w:type="dxa"/>
              <w:start w:w="120" w:type="dxa"/>
              <w:bottom w:w="100" w:type="dxa"/>
              <w:end w:w="120" w:type="dxa"/>
            </w:tcMar>
            <w:vAlign w:val="center"/>
          </w:tcPr>
          <w:p>
            <w:pPr>
              <w:spacing w:after="0" w:line="252" w:lineRule="auto"/>
              <w:jc w:val="left"/>
            </w:pPr>
            <w:r>
              <w:rPr>
                <w:rFonts w:ascii="Arial" w:hAnsi="Arial"/>
                <w:sz w:val="15"/>
              </w:rPr>
              <w:t>CatBoost†</w:t>
            </w:r>
          </w:p>
        </w:tc>
        <w:tc>
          <w:tcPr>
            <w:tcW w:type="dxa" w:w="842"/>
            <w:tcMar>
              <w:top w:w="100" w:type="dxa"/>
              <w:start w:w="120" w:type="dxa"/>
              <w:bottom w:w="100" w:type="dxa"/>
              <w:end w:w="120" w:type="dxa"/>
            </w:tcMar>
            <w:vAlign w:val="center"/>
          </w:tcPr>
          <w:p>
            <w:pPr>
              <w:spacing w:after="0" w:line="252" w:lineRule="auto"/>
              <w:jc w:val="center"/>
            </w:pPr>
            <w:r>
              <w:rPr>
                <w:rFonts w:ascii="Arial" w:hAnsi="Arial"/>
                <w:sz w:val="15"/>
              </w:rPr>
              <w:t>0.8308</w:t>
            </w:r>
          </w:p>
        </w:tc>
        <w:tc>
          <w:tcPr>
            <w:tcW w:type="dxa" w:w="842"/>
            <w:tcMar>
              <w:top w:w="100" w:type="dxa"/>
              <w:start w:w="120" w:type="dxa"/>
              <w:bottom w:w="100" w:type="dxa"/>
              <w:end w:w="120" w:type="dxa"/>
            </w:tcMar>
            <w:vAlign w:val="center"/>
          </w:tcPr>
          <w:p>
            <w:pPr>
              <w:spacing w:after="0" w:line="252" w:lineRule="auto"/>
              <w:jc w:val="center"/>
            </w:pPr>
            <w:r>
              <w:rPr>
                <w:rFonts w:ascii="Arial" w:hAnsi="Arial"/>
                <w:sz w:val="15"/>
              </w:rPr>
              <w:t>0.4199</w:t>
            </w:r>
          </w:p>
        </w:tc>
        <w:tc>
          <w:tcPr>
            <w:tcW w:type="dxa" w:w="842"/>
            <w:tcMar>
              <w:top w:w="100" w:type="dxa"/>
              <w:start w:w="120" w:type="dxa"/>
              <w:bottom w:w="100" w:type="dxa"/>
              <w:end w:w="120" w:type="dxa"/>
            </w:tcMar>
            <w:vAlign w:val="center"/>
          </w:tcPr>
          <w:p>
            <w:pPr>
              <w:spacing w:after="0" w:line="252" w:lineRule="auto"/>
              <w:jc w:val="center"/>
            </w:pPr>
            <w:r>
              <w:rPr>
                <w:rFonts w:ascii="Arial" w:hAnsi="Arial"/>
                <w:sz w:val="15"/>
              </w:rPr>
              <w:t>0.0936</w:t>
            </w:r>
          </w:p>
        </w:tc>
        <w:tc>
          <w:tcPr>
            <w:tcW w:type="dxa" w:w="3090"/>
            <w:tcMar>
              <w:top w:w="100" w:type="dxa"/>
              <w:start w:w="120" w:type="dxa"/>
              <w:bottom w:w="100" w:type="dxa"/>
              <w:end w:w="120" w:type="dxa"/>
            </w:tcMar>
            <w:vAlign w:val="center"/>
          </w:tcPr>
          <w:p>
            <w:pPr>
              <w:spacing w:after="0" w:line="252" w:lineRule="auto"/>
              <w:jc w:val="left"/>
            </w:pPr>
            <w:r>
              <w:rPr>
                <w:rFonts w:ascii="Arial" w:hAnsi="Arial"/>
                <w:sz w:val="15"/>
              </w:rPr>
              <w:t>Engineering verification only</w:t>
            </w:r>
          </w:p>
        </w:tc>
      </w:tr>
      <w:tr>
        <w:trPr>
          <w:cantSplit/>
        </w:trPr>
        <w:tc>
          <w:tcPr>
            <w:tcW w:type="dxa" w:w="1217"/>
            <w:shd w:fill="F3F5F7"/>
            <w:tcMar>
              <w:top w:w="100" w:type="dxa"/>
              <w:start w:w="120" w:type="dxa"/>
              <w:bottom w:w="100" w:type="dxa"/>
              <w:end w:w="120" w:type="dxa"/>
            </w:tcMar>
            <w:vAlign w:val="center"/>
          </w:tcPr>
          <w:p>
            <w:pPr>
              <w:spacing w:after="0" w:line="252" w:lineRule="auto"/>
              <w:jc w:val="left"/>
            </w:pPr>
            <w:r>
              <w:rPr>
                <w:rFonts w:ascii="Arial" w:hAnsi="Arial"/>
                <w:b/>
                <w:color w:val="17324D"/>
                <w:sz w:val="15"/>
              </w:rPr>
              <w:t>Hospital130</w:t>
            </w:r>
          </w:p>
        </w:tc>
        <w:tc>
          <w:tcPr>
            <w:tcW w:type="dxa" w:w="1310"/>
            <w:shd w:fill="F3F5F7"/>
            <w:tcMar>
              <w:top w:w="100" w:type="dxa"/>
              <w:start w:w="120" w:type="dxa"/>
              <w:bottom w:w="100" w:type="dxa"/>
              <w:end w:w="120" w:type="dxa"/>
            </w:tcMar>
            <w:vAlign w:val="center"/>
          </w:tcPr>
          <w:p>
            <w:pPr>
              <w:spacing w:after="0" w:line="252" w:lineRule="auto"/>
              <w:jc w:val="left"/>
            </w:pPr>
            <w:r>
              <w:rPr>
                <w:rFonts w:ascii="Arial" w:hAnsi="Arial"/>
                <w:sz w:val="15"/>
              </w:rPr>
              <w:t>Smoke holdout</w:t>
            </w:r>
          </w:p>
        </w:tc>
        <w:tc>
          <w:tcPr>
            <w:tcW w:type="dxa" w:w="1217"/>
            <w:shd w:fill="F3F5F7"/>
            <w:tcMar>
              <w:top w:w="100" w:type="dxa"/>
              <w:start w:w="120" w:type="dxa"/>
              <w:bottom w:w="100" w:type="dxa"/>
              <w:end w:w="120" w:type="dxa"/>
            </w:tcMar>
            <w:vAlign w:val="center"/>
          </w:tcPr>
          <w:p>
            <w:pPr>
              <w:spacing w:after="0" w:line="252" w:lineRule="auto"/>
              <w:jc w:val="left"/>
            </w:pPr>
            <w:r>
              <w:rPr>
                <w:rFonts w:ascii="Arial" w:hAnsi="Arial"/>
                <w:sz w:val="15"/>
              </w:rPr>
              <w:t>XGBoost†</w:t>
            </w:r>
          </w:p>
        </w:tc>
        <w:tc>
          <w:tcPr>
            <w:tcW w:type="dxa" w:w="842"/>
            <w:shd w:fill="F3F5F7"/>
            <w:tcMar>
              <w:top w:w="100" w:type="dxa"/>
              <w:start w:w="120" w:type="dxa"/>
              <w:bottom w:w="100" w:type="dxa"/>
              <w:end w:w="120" w:type="dxa"/>
            </w:tcMar>
            <w:vAlign w:val="center"/>
          </w:tcPr>
          <w:p>
            <w:pPr>
              <w:spacing w:after="0" w:line="252" w:lineRule="auto"/>
              <w:jc w:val="center"/>
            </w:pPr>
            <w:r>
              <w:rPr>
                <w:rFonts w:ascii="Arial" w:hAnsi="Arial"/>
                <w:sz w:val="15"/>
              </w:rPr>
              <w:t>0.6589</w:t>
            </w:r>
          </w:p>
        </w:tc>
        <w:tc>
          <w:tcPr>
            <w:tcW w:type="dxa" w:w="842"/>
            <w:shd w:fill="F3F5F7"/>
            <w:tcMar>
              <w:top w:w="100" w:type="dxa"/>
              <w:start w:w="120" w:type="dxa"/>
              <w:bottom w:w="100" w:type="dxa"/>
              <w:end w:w="120" w:type="dxa"/>
            </w:tcMar>
            <w:vAlign w:val="center"/>
          </w:tcPr>
          <w:p>
            <w:pPr>
              <w:spacing w:after="0" w:line="252" w:lineRule="auto"/>
              <w:jc w:val="center"/>
            </w:pPr>
            <w:r>
              <w:rPr>
                <w:rFonts w:ascii="Arial" w:hAnsi="Arial"/>
                <w:sz w:val="15"/>
              </w:rPr>
              <w:t>0.2065</w:t>
            </w:r>
          </w:p>
        </w:tc>
        <w:tc>
          <w:tcPr>
            <w:tcW w:type="dxa" w:w="842"/>
            <w:shd w:fill="F3F5F7"/>
            <w:tcMar>
              <w:top w:w="100" w:type="dxa"/>
              <w:start w:w="120" w:type="dxa"/>
              <w:bottom w:w="100" w:type="dxa"/>
              <w:end w:w="120" w:type="dxa"/>
            </w:tcMar>
            <w:vAlign w:val="center"/>
          </w:tcPr>
          <w:p>
            <w:pPr>
              <w:spacing w:after="0" w:line="252" w:lineRule="auto"/>
              <w:jc w:val="center"/>
            </w:pPr>
            <w:r>
              <w:rPr>
                <w:rFonts w:ascii="Arial" w:hAnsi="Arial"/>
                <w:sz w:val="15"/>
              </w:rPr>
              <w:t>0.0973</w:t>
            </w:r>
          </w:p>
        </w:tc>
        <w:tc>
          <w:tcPr>
            <w:tcW w:type="dxa" w:w="3090"/>
            <w:shd w:fill="F3F5F7"/>
            <w:tcMar>
              <w:top w:w="100" w:type="dxa"/>
              <w:start w:w="120" w:type="dxa"/>
              <w:bottom w:w="100" w:type="dxa"/>
              <w:end w:w="120" w:type="dxa"/>
            </w:tcMar>
            <w:vAlign w:val="center"/>
          </w:tcPr>
          <w:p>
            <w:pPr>
              <w:spacing w:after="0" w:line="252" w:lineRule="auto"/>
              <w:jc w:val="left"/>
            </w:pPr>
            <w:r>
              <w:rPr>
                <w:rFonts w:ascii="Arial" w:hAnsi="Arial"/>
                <w:sz w:val="15"/>
              </w:rPr>
              <w:t>Separate readmission endpoint</w:t>
            </w:r>
          </w:p>
        </w:tc>
      </w:tr>
    </w:tbl>
    <w:p>
      <w:pPr>
        <w:spacing w:after="20"/>
      </w:pPr>
    </w:p>
    <w:p>
      <w:pPr>
        <w:pStyle w:val="CaptionCustom"/>
      </w:pPr>
      <w:r>
        <w:t>* Numerical probability-quality leader in held-out predictions; no Holm-significant superiority.  † Development-selected champion; smoke results cannot be cited as final evidence.</w:t>
      </w:r>
    </w:p>
    <w:p>
      <w:pPr>
        <w:pStyle w:val="Heading2"/>
      </w:pPr>
      <w:r>
        <w:t>What has been completed</w:t>
      </w:r>
    </w:p>
    <w:p>
      <w:pPr>
        <w:pStyle w:val="ListBullet"/>
      </w:pPr>
      <w:r>
        <w:t>Audited four datasets, defined endpoint-specific cohorts, and generated deterministic split manifests.</w:t>
      </w:r>
    </w:p>
    <w:p>
      <w:pPr>
        <w:pStyle w:val="ListBullet"/>
      </w:pPr>
      <w:r>
        <w:t>Implemented Random Forest, XGBoost, LightGBM and CatBoost adapters, with Logistic Regression as a reference comparator for PIDD and Sylhet.</w:t>
      </w:r>
    </w:p>
    <w:p>
      <w:pPr>
        <w:pStyle w:val="ListBullet"/>
      </w:pPr>
      <w:r>
        <w:t>Implemented nested cross-validation for small cohorts and development-locked holdouts for BRFSS and Hospital130.</w:t>
      </w:r>
    </w:p>
    <w:p>
      <w:pPr>
        <w:pStyle w:val="ListBullet"/>
      </w:pPr>
      <w:r>
        <w:t>Implemented probability calibration, three threshold policies, bootstrap confidence intervals, paired multiplicity-adjusted comparisons, decision curves, and diagnostic metrics.</w:t>
      </w:r>
    </w:p>
    <w:p>
      <w:pPr>
        <w:pStyle w:val="ListBullet"/>
      </w:pPr>
      <w:r>
        <w:t>Implemented held-out SHAP, grouped original-feature explanations, stability checks, local contributors, and additivity verification.</w:t>
      </w:r>
    </w:p>
    <w:p>
      <w:pPr>
        <w:pStyle w:val="ListBullet"/>
      </w:pPr>
      <w:r>
        <w:t>Implemented six PIDD feature-availability panels, development-only model routing, explicit abstention, and a detailed patient-result formatter.</w:t>
      </w:r>
    </w:p>
    <w:p>
      <w:pPr>
        <w:pStyle w:val="ListBullet"/>
      </w:pPr>
      <w:r>
        <w:t>Implemented a 91-feature endpoint and feature ontology preventing invalid cross-dataset pooling.</w:t>
      </w:r>
    </w:p>
    <w:p>
      <w:pPr>
        <w:pStyle w:val="ListBullet"/>
      </w:pPr>
      <w:r>
        <w:t>Verified the reorganized pipeline with 31 automated tests and 5 model-adapter subtests.</w:t>
      </w:r>
    </w:p>
    <w:p>
      <w:r>
        <w:br w:type="page"/>
      </w:r>
    </w:p>
    <w:p>
      <w:pPr>
        <w:pStyle w:val="Heading1"/>
      </w:pPr>
      <w:r>
        <w:t>1. Introduction and Scope</w:t>
      </w:r>
    </w:p>
    <w:p>
      <w:pPr>
        <w:pStyle w:val="Heading2"/>
      </w:pPr>
      <w:r>
        <w:t>1.1 Motivation</w:t>
      </w:r>
    </w:p>
    <w:p>
      <w:r>
        <w:t>Many diabetes-prediction studies report a single accuracy value from one train/test split. That is insufficient for a clinically oriented probability system. A useful system must distinguish discrimination from calibration, prevent data leakage, state how a decision threshold was chosen, quantify uncertainty, explain the factors behind an estimate, and recognize when a patient’s available information falls outside the evaluated conditions.</w:t>
      </w:r>
    </w:p>
    <w:p>
      <w:r>
        <w:t>This project addresses those requirements through one reproducible research pipeline. Its design goal is a conference- or journal-level methodological study rather than a one-model leaderboard. The pipeline is intentionally probability-first: the main output is a calibrated event probability with provenance and explanation, while binary decisions are secondary views produced under explicitly defined operating policies.</w:t>
      </w:r>
    </w:p>
    <w:p>
      <w:pPr>
        <w:pStyle w:val="Heading2"/>
      </w:pPr>
      <w:r>
        <w:t>1.2 Project scope</w:t>
      </w:r>
    </w:p>
    <w:p>
      <w:pPr>
        <w:pStyle w:val="ListBullet"/>
      </w:pPr>
      <w:r>
        <w:t>Diabetes screening endpoints: PIDD, Sylhet and BRFSS. These datasets are related but not interchangeable and their probabilities are never averaged across cohorts.</w:t>
      </w:r>
    </w:p>
    <w:p>
      <w:pPr>
        <w:pStyle w:val="ListBullet"/>
      </w:pPr>
      <w:r>
        <w:t>Hospital readmission endpoint: Hospital130 predicts readmission within 30 days among encounters involving patients with diabetes. It is not a diabetes-detection model.</w:t>
      </w:r>
    </w:p>
    <w:p>
      <w:pPr>
        <w:pStyle w:val="ListBullet"/>
      </w:pPr>
      <w:r>
        <w:t>Candidate algorithms: Random Forest, XGBoost, LightGBM and CatBoost. Logistic Regression is retained as a non-tree reference baseline in small-cohort benchmarking.</w:t>
      </w:r>
    </w:p>
    <w:p>
      <w:pPr>
        <w:pStyle w:val="ListBullet"/>
      </w:pPr>
      <w:r>
        <w:t>Outputs: calibrated probability, operating-threshold interpretation, model/panel provenance, SHAP factors, cohort context, uncertainty summaries, and safe abstention.</w:t>
      </w:r>
    </w:p>
    <w:p>
      <w:pPr>
        <w:pStyle w:val="Heading2"/>
      </w:pPr>
      <w:r>
        <w:t>1.3 Research contribution being tested</w:t>
      </w:r>
    </w:p>
    <w:p>
      <w:r>
        <w:t>The intended contribution is an availability-aware calibrated prediction framework. It tests whether different feature panels require different algorithms, quantifies the loss of performance caused by unavailable measurements, and restricts inference to feature combinations that were evaluated. Current PIDD evidence shows that panel availability matters more than algorithm switching; this negative routing result is scientifically valuable and helps refine the paper’s central claim.</w:t>
      </w:r>
    </w:p>
    <w:p>
      <w:pPr>
        <w:pStyle w:val="Heading2"/>
      </w:pPr>
      <w:r>
        <w:t>1.4 Current maturity</w:t>
      </w:r>
    </w:p>
    <w:tbl>
      <w:tblPr>
        <w:tblStyle w:val="TableGrid"/>
        <w:tblW w:type="dxa" w:w="9360"/>
        <w:jc w:val="left"/>
        <w:tblLayout w:type="fixed"/>
        <w:tblLook w:firstColumn="1" w:firstRow="1" w:lastColumn="0" w:lastRow="0" w:noHBand="0" w:noVBand="1" w:val="04A0"/>
        <w:tblInd w:w="120" w:type="dxa"/>
      </w:tblPr>
      <w:tblGrid>
        <w:gridCol w:w="2246"/>
        <w:gridCol w:w="1685"/>
        <w:gridCol w:w="5429"/>
      </w:tblGrid>
      <w:tr>
        <w:trPr>
          <w:tblHeader w:val="true"/>
        </w:trPr>
        <w:tc>
          <w:tcPr>
            <w:tcW w:type="dxa" w:w="2246"/>
            <w:shd w:fill="17324D"/>
            <w:tcMar>
              <w:top w:w="115" w:type="dxa"/>
              <w:start w:w="120" w:type="dxa"/>
              <w:bottom w:w="115" w:type="dxa"/>
              <w:end w:w="120" w:type="dxa"/>
            </w:tcMar>
            <w:vAlign w:val="center"/>
          </w:tcPr>
          <w:p>
            <w:pPr>
              <w:spacing w:after="0"/>
              <w:jc w:val="center"/>
            </w:pPr>
            <w:r>
              <w:rPr>
                <w:rFonts w:ascii="Arial" w:hAnsi="Arial"/>
                <w:b/>
                <w:color w:val="FFFFFF"/>
                <w:sz w:val="17"/>
              </w:rPr>
              <w:t>Layer</w:t>
            </w:r>
          </w:p>
        </w:tc>
        <w:tc>
          <w:tcPr>
            <w:tcW w:type="dxa" w:w="1685"/>
            <w:shd w:fill="17324D"/>
            <w:tcMar>
              <w:top w:w="115" w:type="dxa"/>
              <w:start w:w="120" w:type="dxa"/>
              <w:bottom w:w="115" w:type="dxa"/>
              <w:end w:w="120" w:type="dxa"/>
            </w:tcMar>
            <w:vAlign w:val="center"/>
          </w:tcPr>
          <w:p>
            <w:pPr>
              <w:spacing w:after="0"/>
              <w:jc w:val="center"/>
            </w:pPr>
            <w:r>
              <w:rPr>
                <w:rFonts w:ascii="Arial" w:hAnsi="Arial"/>
                <w:b/>
                <w:color w:val="FFFFFF"/>
                <w:sz w:val="17"/>
              </w:rPr>
              <w:t>Status</w:t>
            </w:r>
          </w:p>
        </w:tc>
        <w:tc>
          <w:tcPr>
            <w:tcW w:type="dxa" w:w="5429"/>
            <w:shd w:fill="17324D"/>
            <w:tcMar>
              <w:top w:w="115" w:type="dxa"/>
              <w:start w:w="120" w:type="dxa"/>
              <w:bottom w:w="115" w:type="dxa"/>
              <w:end w:w="120" w:type="dxa"/>
            </w:tcMar>
            <w:vAlign w:val="center"/>
          </w:tcPr>
          <w:p>
            <w:pPr>
              <w:spacing w:after="0"/>
              <w:jc w:val="center"/>
            </w:pPr>
            <w:r>
              <w:rPr>
                <w:rFonts w:ascii="Arial" w:hAnsi="Arial"/>
                <w:b/>
                <w:color w:val="FFFFFF"/>
                <w:sz w:val="17"/>
              </w:rPr>
              <w:t>Current evidence</w:t>
            </w:r>
          </w:p>
        </w:tc>
      </w:tr>
      <w:tr>
        <w:trPr>
          <w:cantSplit/>
        </w:trPr>
        <w:tc>
          <w:tcPr>
            <w:tcW w:type="dxa" w:w="2246"/>
            <w:tcMar>
              <w:top w:w="100" w:type="dxa"/>
              <w:start w:w="120" w:type="dxa"/>
              <w:bottom w:w="100" w:type="dxa"/>
              <w:end w:w="120" w:type="dxa"/>
            </w:tcMar>
            <w:vAlign w:val="center"/>
          </w:tcPr>
          <w:p>
            <w:pPr>
              <w:spacing w:after="0" w:line="252" w:lineRule="auto"/>
              <w:jc w:val="left"/>
            </w:pPr>
            <w:r>
              <w:rPr>
                <w:rFonts w:ascii="Arial" w:hAnsi="Arial"/>
                <w:b/>
                <w:color w:val="17324D"/>
                <w:sz w:val="17"/>
              </w:rPr>
              <w:t>Data and split contracts</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Complete</w:t>
            </w:r>
          </w:p>
        </w:tc>
        <w:tc>
          <w:tcPr>
            <w:tcW w:type="dxa" w:w="5429"/>
            <w:tcMar>
              <w:top w:w="100" w:type="dxa"/>
              <w:start w:w="120" w:type="dxa"/>
              <w:bottom w:w="100" w:type="dxa"/>
              <w:end w:w="120" w:type="dxa"/>
            </w:tcMar>
            <w:vAlign w:val="center"/>
          </w:tcPr>
          <w:p>
            <w:pPr>
              <w:spacing w:after="0" w:line="252" w:lineRule="auto"/>
              <w:jc w:val="left"/>
            </w:pPr>
            <w:r>
              <w:rPr>
                <w:rFonts w:ascii="Arial" w:hAnsi="Arial"/>
                <w:sz w:val="17"/>
              </w:rPr>
              <w:t>Four audited cohorts; deterministic manifests</w:t>
            </w:r>
          </w:p>
        </w:tc>
      </w:tr>
      <w:tr>
        <w:trPr>
          <w:cantSplit/>
        </w:trPr>
        <w:tc>
          <w:tcPr>
            <w:tcW w:type="dxa" w:w="2246"/>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Four-model training</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Complete</w:t>
            </w:r>
          </w:p>
        </w:tc>
        <w:tc>
          <w:tcPr>
            <w:tcW w:type="dxa" w:w="5429"/>
            <w:shd w:fill="F3F5F7"/>
            <w:tcMar>
              <w:top w:w="100" w:type="dxa"/>
              <w:start w:w="120" w:type="dxa"/>
              <w:bottom w:w="100" w:type="dxa"/>
              <w:end w:w="120" w:type="dxa"/>
            </w:tcMar>
            <w:vAlign w:val="center"/>
          </w:tcPr>
          <w:p>
            <w:pPr>
              <w:spacing w:after="0" w:line="252" w:lineRule="auto"/>
              <w:jc w:val="left"/>
            </w:pPr>
            <w:r>
              <w:rPr>
                <w:rFonts w:ascii="Arial" w:hAnsi="Arial"/>
                <w:sz w:val="17"/>
              </w:rPr>
              <w:t>Nested-CV and locked-holdout runners</w:t>
            </w:r>
          </w:p>
        </w:tc>
      </w:tr>
      <w:tr>
        <w:trPr>
          <w:cantSplit/>
        </w:trPr>
        <w:tc>
          <w:tcPr>
            <w:tcW w:type="dxa" w:w="2246"/>
            <w:tcMar>
              <w:top w:w="100" w:type="dxa"/>
              <w:start w:w="120" w:type="dxa"/>
              <w:bottom w:w="100" w:type="dxa"/>
              <w:end w:w="120" w:type="dxa"/>
            </w:tcMar>
            <w:vAlign w:val="center"/>
          </w:tcPr>
          <w:p>
            <w:pPr>
              <w:spacing w:after="0" w:line="252" w:lineRule="auto"/>
              <w:jc w:val="left"/>
            </w:pPr>
            <w:r>
              <w:rPr>
                <w:rFonts w:ascii="Arial" w:hAnsi="Arial"/>
                <w:b/>
                <w:color w:val="17324D"/>
                <w:sz w:val="17"/>
              </w:rPr>
              <w:t>Calibration and thresholds</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Complete</w:t>
            </w:r>
          </w:p>
        </w:tc>
        <w:tc>
          <w:tcPr>
            <w:tcW w:type="dxa" w:w="5429"/>
            <w:tcMar>
              <w:top w:w="100" w:type="dxa"/>
              <w:start w:w="120" w:type="dxa"/>
              <w:bottom w:w="100" w:type="dxa"/>
              <w:end w:w="120" w:type="dxa"/>
            </w:tcMar>
            <w:vAlign w:val="center"/>
          </w:tcPr>
          <w:p>
            <w:pPr>
              <w:spacing w:after="0" w:line="252" w:lineRule="auto"/>
              <w:jc w:val="left"/>
            </w:pPr>
            <w:r>
              <w:rPr>
                <w:rFonts w:ascii="Arial" w:hAnsi="Arial"/>
                <w:sz w:val="17"/>
              </w:rPr>
              <w:t>Cross-fitted selection; small-sample safeguard</w:t>
            </w:r>
          </w:p>
        </w:tc>
      </w:tr>
      <w:tr>
        <w:trPr>
          <w:cantSplit/>
        </w:trPr>
        <w:tc>
          <w:tcPr>
            <w:tcW w:type="dxa" w:w="2246"/>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Metrics and uncertainty</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Complete</w:t>
            </w:r>
          </w:p>
        </w:tc>
        <w:tc>
          <w:tcPr>
            <w:tcW w:type="dxa" w:w="5429"/>
            <w:shd w:fill="F3F5F7"/>
            <w:tcMar>
              <w:top w:w="100" w:type="dxa"/>
              <w:start w:w="120" w:type="dxa"/>
              <w:bottom w:w="100" w:type="dxa"/>
              <w:end w:w="120" w:type="dxa"/>
            </w:tcMar>
            <w:vAlign w:val="center"/>
          </w:tcPr>
          <w:p>
            <w:pPr>
              <w:spacing w:after="0" w:line="252" w:lineRule="auto"/>
              <w:jc w:val="left"/>
            </w:pPr>
            <w:r>
              <w:rPr>
                <w:rFonts w:ascii="Arial" w:hAnsi="Arial"/>
                <w:sz w:val="17"/>
              </w:rPr>
              <w:t>Bootstrap CIs, paired tests, DCA, diagnostic metrics</w:t>
            </w:r>
          </w:p>
        </w:tc>
      </w:tr>
      <w:tr>
        <w:trPr>
          <w:cantSplit/>
        </w:trPr>
        <w:tc>
          <w:tcPr>
            <w:tcW w:type="dxa" w:w="2246"/>
            <w:tcMar>
              <w:top w:w="100" w:type="dxa"/>
              <w:start w:w="120" w:type="dxa"/>
              <w:bottom w:w="100" w:type="dxa"/>
              <w:end w:w="120" w:type="dxa"/>
            </w:tcMar>
            <w:vAlign w:val="center"/>
          </w:tcPr>
          <w:p>
            <w:pPr>
              <w:spacing w:after="0" w:line="252" w:lineRule="auto"/>
              <w:jc w:val="left"/>
            </w:pPr>
            <w:r>
              <w:rPr>
                <w:rFonts w:ascii="Arial" w:hAnsi="Arial"/>
                <w:b/>
                <w:color w:val="17324D"/>
                <w:sz w:val="17"/>
              </w:rPr>
              <w:t>SHAP explainability</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Complete</w:t>
            </w:r>
          </w:p>
        </w:tc>
        <w:tc>
          <w:tcPr>
            <w:tcW w:type="dxa" w:w="5429"/>
            <w:tcMar>
              <w:top w:w="100" w:type="dxa"/>
              <w:start w:w="120" w:type="dxa"/>
              <w:bottom w:w="100" w:type="dxa"/>
              <w:end w:w="120" w:type="dxa"/>
            </w:tcMar>
            <w:vAlign w:val="center"/>
          </w:tcPr>
          <w:p>
            <w:pPr>
              <w:spacing w:after="0" w:line="252" w:lineRule="auto"/>
              <w:jc w:val="left"/>
            </w:pPr>
            <w:r>
              <w:rPr>
                <w:rFonts w:ascii="Arial" w:hAnsi="Arial"/>
                <w:sz w:val="17"/>
              </w:rPr>
              <w:t>Held-out explanations for all four datasets</w:t>
            </w:r>
          </w:p>
        </w:tc>
      </w:tr>
      <w:tr>
        <w:trPr>
          <w:cantSplit/>
        </w:trPr>
        <w:tc>
          <w:tcPr>
            <w:tcW w:type="dxa" w:w="2246"/>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Availability routing</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PIDD complete</w:t>
            </w:r>
          </w:p>
        </w:tc>
        <w:tc>
          <w:tcPr>
            <w:tcW w:type="dxa" w:w="5429"/>
            <w:shd w:fill="F3F5F7"/>
            <w:tcMar>
              <w:top w:w="100" w:type="dxa"/>
              <w:start w:w="120" w:type="dxa"/>
              <w:bottom w:w="100" w:type="dxa"/>
              <w:end w:w="120" w:type="dxa"/>
            </w:tcMar>
            <w:vAlign w:val="center"/>
          </w:tcPr>
          <w:p>
            <w:pPr>
              <w:spacing w:after="0" w:line="252" w:lineRule="auto"/>
              <w:jc w:val="left"/>
            </w:pPr>
            <w:r>
              <w:rPr>
                <w:rFonts w:ascii="Arial" w:hAnsi="Arial"/>
                <w:sz w:val="17"/>
              </w:rPr>
              <w:t>BRFSS-scale routing remains</w:t>
            </w:r>
          </w:p>
        </w:tc>
      </w:tr>
      <w:tr>
        <w:trPr>
          <w:cantSplit/>
        </w:trPr>
        <w:tc>
          <w:tcPr>
            <w:tcW w:type="dxa" w:w="2246"/>
            <w:tcMar>
              <w:top w:w="100" w:type="dxa"/>
              <w:start w:w="120" w:type="dxa"/>
              <w:bottom w:w="100" w:type="dxa"/>
              <w:end w:w="120" w:type="dxa"/>
            </w:tcMar>
            <w:vAlign w:val="center"/>
          </w:tcPr>
          <w:p>
            <w:pPr>
              <w:spacing w:after="0" w:line="252" w:lineRule="auto"/>
              <w:jc w:val="left"/>
            </w:pPr>
            <w:r>
              <w:rPr>
                <w:rFonts w:ascii="Arial" w:hAnsi="Arial"/>
                <w:b/>
                <w:color w:val="17324D"/>
                <w:sz w:val="17"/>
              </w:rPr>
              <w:t>Patient result layer</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Prototype complete</w:t>
            </w:r>
          </w:p>
        </w:tc>
        <w:tc>
          <w:tcPr>
            <w:tcW w:type="dxa" w:w="5429"/>
            <w:tcMar>
              <w:top w:w="100" w:type="dxa"/>
              <w:start w:w="120" w:type="dxa"/>
              <w:bottom w:w="100" w:type="dxa"/>
              <w:end w:w="120" w:type="dxa"/>
            </w:tcMar>
            <w:vAlign w:val="center"/>
          </w:tcPr>
          <w:p>
            <w:pPr>
              <w:spacing w:after="0" w:line="252" w:lineRule="auto"/>
              <w:jc w:val="left"/>
            </w:pPr>
            <w:r>
              <w:rPr>
                <w:rFonts w:ascii="Arial" w:hAnsi="Arial"/>
                <w:sz w:val="17"/>
              </w:rPr>
              <w:t>PIDD research ensemble and abstention</w:t>
            </w:r>
          </w:p>
        </w:tc>
      </w:tr>
      <w:tr>
        <w:trPr>
          <w:cantSplit/>
        </w:trPr>
        <w:tc>
          <w:tcPr>
            <w:tcW w:type="dxa" w:w="2246"/>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Final paper experiments</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Not run</w:t>
            </w:r>
          </w:p>
        </w:tc>
        <w:tc>
          <w:tcPr>
            <w:tcW w:type="dxa" w:w="5429"/>
            <w:shd w:fill="F3F5F7"/>
            <w:tcMar>
              <w:top w:w="100" w:type="dxa"/>
              <w:start w:w="120" w:type="dxa"/>
              <w:bottom w:w="100" w:type="dxa"/>
              <w:end w:w="120" w:type="dxa"/>
            </w:tcMar>
            <w:vAlign w:val="center"/>
          </w:tcPr>
          <w:p>
            <w:pPr>
              <w:spacing w:after="0" w:line="252" w:lineRule="auto"/>
              <w:jc w:val="left"/>
            </w:pPr>
            <w:r>
              <w:rPr>
                <w:rFonts w:ascii="Arial" w:hAnsi="Arial"/>
                <w:sz w:val="17"/>
              </w:rPr>
              <w:t>Configuration remains locked=false</w:t>
            </w:r>
          </w:p>
        </w:tc>
      </w:tr>
    </w:tbl>
    <w:p>
      <w:pPr>
        <w:spacing w:after="20"/>
      </w:pPr>
    </w:p>
    <w:p>
      <w:r>
        <w:br w:type="page"/>
      </w:r>
    </w:p>
    <w:p>
      <w:pPr>
        <w:pStyle w:val="Heading1"/>
      </w:pPr>
      <w:r>
        <w:t>2. Datasets, Endpoints and Cohorts</w:t>
      </w:r>
    </w:p>
    <w:p>
      <w:pPr>
        <w:keepLines/>
        <w:spacing w:after="160"/>
      </w:pPr>
      <w:r>
        <w:t>Each dataset has its own endpoint, population, missingness pattern and split strategy. The pipeline therefore selects the endpoint before it selects a dataset, feature panel or model.</w:t>
      </w:r>
    </w:p>
    <w:tbl>
      <w:tblPr>
        <w:tblStyle w:val="TableGrid"/>
        <w:tblW w:type="dxa" w:w="9360"/>
        <w:jc w:val="left"/>
        <w:tblLayout w:type="fixed"/>
        <w:tblLook w:firstColumn="1" w:firstRow="1" w:lastColumn="0" w:lastRow="0" w:noHBand="0" w:noVBand="1" w:val="04A0"/>
        <w:tblInd w:w="120" w:type="dxa"/>
      </w:tblPr>
      <w:tblGrid>
        <w:gridCol w:w="1310"/>
        <w:gridCol w:w="2527"/>
        <w:gridCol w:w="1123"/>
        <w:gridCol w:w="936"/>
        <w:gridCol w:w="1123"/>
        <w:gridCol w:w="2341"/>
      </w:tblGrid>
      <w:tr>
        <w:trPr>
          <w:tblHeader w:val="true"/>
        </w:trPr>
        <w:tc>
          <w:tcPr>
            <w:tcW w:type="dxa" w:w="1310"/>
            <w:shd w:fill="17324D"/>
            <w:tcMar>
              <w:top w:w="115" w:type="dxa"/>
              <w:start w:w="120" w:type="dxa"/>
              <w:bottom w:w="115" w:type="dxa"/>
              <w:end w:w="120" w:type="dxa"/>
            </w:tcMar>
            <w:vAlign w:val="center"/>
          </w:tcPr>
          <w:p>
            <w:pPr>
              <w:spacing w:after="0"/>
              <w:jc w:val="center"/>
            </w:pPr>
            <w:r>
              <w:rPr>
                <w:rFonts w:ascii="Arial" w:hAnsi="Arial"/>
                <w:b/>
                <w:color w:val="FFFFFF"/>
                <w:sz w:val="16"/>
              </w:rPr>
              <w:t>Dataset</w:t>
            </w:r>
          </w:p>
        </w:tc>
        <w:tc>
          <w:tcPr>
            <w:tcW w:type="dxa" w:w="2527"/>
            <w:shd w:fill="17324D"/>
            <w:tcMar>
              <w:top w:w="115" w:type="dxa"/>
              <w:start w:w="120" w:type="dxa"/>
              <w:bottom w:w="115" w:type="dxa"/>
              <w:end w:w="120" w:type="dxa"/>
            </w:tcMar>
            <w:vAlign w:val="center"/>
          </w:tcPr>
          <w:p>
            <w:pPr>
              <w:spacing w:after="0"/>
              <w:jc w:val="center"/>
            </w:pPr>
            <w:r>
              <w:rPr>
                <w:rFonts w:ascii="Arial" w:hAnsi="Arial"/>
                <w:b/>
                <w:color w:val="FFFFFF"/>
                <w:sz w:val="16"/>
              </w:rPr>
              <w:t>Endpoint</w:t>
            </w:r>
          </w:p>
        </w:tc>
        <w:tc>
          <w:tcPr>
            <w:tcW w:type="dxa" w:w="1123"/>
            <w:shd w:fill="17324D"/>
            <w:tcMar>
              <w:top w:w="115" w:type="dxa"/>
              <w:start w:w="120" w:type="dxa"/>
              <w:bottom w:w="115" w:type="dxa"/>
              <w:end w:w="120" w:type="dxa"/>
            </w:tcMar>
            <w:vAlign w:val="center"/>
          </w:tcPr>
          <w:p>
            <w:pPr>
              <w:spacing w:after="0"/>
              <w:jc w:val="center"/>
            </w:pPr>
            <w:r>
              <w:rPr>
                <w:rFonts w:ascii="Arial" w:hAnsi="Arial"/>
                <w:b/>
                <w:color w:val="FFFFFF"/>
                <w:sz w:val="16"/>
              </w:rPr>
              <w:t>Retained n</w:t>
            </w:r>
          </w:p>
        </w:tc>
        <w:tc>
          <w:tcPr>
            <w:tcW w:type="dxa" w:w="936"/>
            <w:shd w:fill="17324D"/>
            <w:tcMar>
              <w:top w:w="115" w:type="dxa"/>
              <w:start w:w="120" w:type="dxa"/>
              <w:bottom w:w="115" w:type="dxa"/>
              <w:end w:w="120" w:type="dxa"/>
            </w:tcMar>
            <w:vAlign w:val="center"/>
          </w:tcPr>
          <w:p>
            <w:pPr>
              <w:spacing w:after="0"/>
              <w:jc w:val="center"/>
            </w:pPr>
            <w:r>
              <w:rPr>
                <w:rFonts w:ascii="Arial" w:hAnsi="Arial"/>
                <w:b/>
                <w:color w:val="FFFFFF"/>
                <w:sz w:val="16"/>
              </w:rPr>
              <w:t>Features</w:t>
            </w:r>
          </w:p>
        </w:tc>
        <w:tc>
          <w:tcPr>
            <w:tcW w:type="dxa" w:w="1123"/>
            <w:shd w:fill="17324D"/>
            <w:tcMar>
              <w:top w:w="115" w:type="dxa"/>
              <w:start w:w="120" w:type="dxa"/>
              <w:bottom w:w="115" w:type="dxa"/>
              <w:end w:w="120" w:type="dxa"/>
            </w:tcMar>
            <w:vAlign w:val="center"/>
          </w:tcPr>
          <w:p>
            <w:pPr>
              <w:spacing w:after="0"/>
              <w:jc w:val="center"/>
            </w:pPr>
            <w:r>
              <w:rPr>
                <w:rFonts w:ascii="Arial" w:hAnsi="Arial"/>
                <w:b/>
                <w:color w:val="FFFFFF"/>
                <w:sz w:val="16"/>
              </w:rPr>
              <w:t>Prevalence</w:t>
            </w:r>
          </w:p>
        </w:tc>
        <w:tc>
          <w:tcPr>
            <w:tcW w:type="dxa" w:w="2341"/>
            <w:shd w:fill="17324D"/>
            <w:tcMar>
              <w:top w:w="115" w:type="dxa"/>
              <w:start w:w="120" w:type="dxa"/>
              <w:bottom w:w="115" w:type="dxa"/>
              <w:end w:w="120" w:type="dxa"/>
            </w:tcMar>
            <w:vAlign w:val="center"/>
          </w:tcPr>
          <w:p>
            <w:pPr>
              <w:spacing w:after="0"/>
              <w:jc w:val="center"/>
            </w:pPr>
            <w:r>
              <w:rPr>
                <w:rFonts w:ascii="Arial" w:hAnsi="Arial"/>
                <w:b/>
                <w:color w:val="FFFFFF"/>
                <w:sz w:val="16"/>
              </w:rPr>
              <w:t>Evaluation protection</w:t>
            </w:r>
          </w:p>
        </w:tc>
      </w:tr>
      <w:tr>
        <w:trPr>
          <w:cantSplit/>
        </w:trPr>
        <w:tc>
          <w:tcPr>
            <w:tcW w:type="dxa" w:w="1310"/>
            <w:tcMar>
              <w:top w:w="100" w:type="dxa"/>
              <w:start w:w="120" w:type="dxa"/>
              <w:bottom w:w="100" w:type="dxa"/>
              <w:end w:w="120" w:type="dxa"/>
            </w:tcMar>
            <w:vAlign w:val="center"/>
          </w:tcPr>
          <w:p>
            <w:pPr>
              <w:spacing w:after="0" w:line="252" w:lineRule="auto"/>
              <w:jc w:val="left"/>
            </w:pPr>
            <w:r>
              <w:rPr>
                <w:rFonts w:ascii="Arial" w:hAnsi="Arial"/>
                <w:b/>
                <w:color w:val="17324D"/>
                <w:sz w:val="16"/>
              </w:rPr>
              <w:t>PIDD</w:t>
            </w:r>
          </w:p>
        </w:tc>
        <w:tc>
          <w:tcPr>
            <w:tcW w:type="dxa" w:w="2527"/>
            <w:tcMar>
              <w:top w:w="100" w:type="dxa"/>
              <w:start w:w="120" w:type="dxa"/>
              <w:bottom w:w="100" w:type="dxa"/>
              <w:end w:w="120" w:type="dxa"/>
            </w:tcMar>
            <w:vAlign w:val="center"/>
          </w:tcPr>
          <w:p>
            <w:pPr>
              <w:spacing w:after="0" w:line="252" w:lineRule="auto"/>
              <w:jc w:val="left"/>
            </w:pPr>
            <w:r>
              <w:rPr>
                <w:rFonts w:ascii="Arial" w:hAnsi="Arial"/>
                <w:sz w:val="16"/>
              </w:rPr>
              <w:t>Diabetes-positive label</w:t>
            </w:r>
          </w:p>
        </w:tc>
        <w:tc>
          <w:tcPr>
            <w:tcW w:type="dxa" w:w="1123"/>
            <w:tcMar>
              <w:top w:w="100" w:type="dxa"/>
              <w:start w:w="120" w:type="dxa"/>
              <w:bottom w:w="100" w:type="dxa"/>
              <w:end w:w="120" w:type="dxa"/>
            </w:tcMar>
            <w:vAlign w:val="center"/>
          </w:tcPr>
          <w:p>
            <w:pPr>
              <w:spacing w:after="0" w:line="252" w:lineRule="auto"/>
              <w:jc w:val="center"/>
            </w:pPr>
            <w:r>
              <w:rPr>
                <w:rFonts w:ascii="Arial" w:hAnsi="Arial"/>
                <w:sz w:val="16"/>
              </w:rPr>
              <w:t>768</w:t>
            </w:r>
          </w:p>
        </w:tc>
        <w:tc>
          <w:tcPr>
            <w:tcW w:type="dxa" w:w="936"/>
            <w:tcMar>
              <w:top w:w="100" w:type="dxa"/>
              <w:start w:w="120" w:type="dxa"/>
              <w:bottom w:w="100" w:type="dxa"/>
              <w:end w:w="120" w:type="dxa"/>
            </w:tcMar>
            <w:vAlign w:val="center"/>
          </w:tcPr>
          <w:p>
            <w:pPr>
              <w:spacing w:after="0" w:line="252" w:lineRule="auto"/>
              <w:jc w:val="center"/>
            </w:pPr>
            <w:r>
              <w:rPr>
                <w:rFonts w:ascii="Arial" w:hAnsi="Arial"/>
                <w:sz w:val="16"/>
              </w:rPr>
              <w:t>8</w:t>
            </w:r>
          </w:p>
        </w:tc>
        <w:tc>
          <w:tcPr>
            <w:tcW w:type="dxa" w:w="1123"/>
            <w:tcMar>
              <w:top w:w="100" w:type="dxa"/>
              <w:start w:w="120" w:type="dxa"/>
              <w:bottom w:w="100" w:type="dxa"/>
              <w:end w:w="120" w:type="dxa"/>
            </w:tcMar>
            <w:vAlign w:val="center"/>
          </w:tcPr>
          <w:p>
            <w:pPr>
              <w:spacing w:after="0" w:line="252" w:lineRule="auto"/>
              <w:jc w:val="center"/>
            </w:pPr>
            <w:r>
              <w:rPr>
                <w:rFonts w:ascii="Arial" w:hAnsi="Arial"/>
                <w:sz w:val="16"/>
              </w:rPr>
              <w:t>34.90%</w:t>
            </w:r>
          </w:p>
        </w:tc>
        <w:tc>
          <w:tcPr>
            <w:tcW w:type="dxa" w:w="2341"/>
            <w:tcMar>
              <w:top w:w="100" w:type="dxa"/>
              <w:start w:w="120" w:type="dxa"/>
              <w:bottom w:w="100" w:type="dxa"/>
              <w:end w:w="120" w:type="dxa"/>
            </w:tcMar>
            <w:vAlign w:val="center"/>
          </w:tcPr>
          <w:p>
            <w:pPr>
              <w:spacing w:after="0" w:line="252" w:lineRule="auto"/>
              <w:jc w:val="left"/>
            </w:pPr>
            <w:r>
              <w:rPr>
                <w:rFonts w:ascii="Arial" w:hAnsi="Arial"/>
                <w:sz w:val="16"/>
              </w:rPr>
              <w:t>Nested stratified CV</w:t>
            </w:r>
          </w:p>
        </w:tc>
      </w:tr>
      <w:tr>
        <w:trPr>
          <w:cantSplit/>
        </w:trPr>
        <w:tc>
          <w:tcPr>
            <w:tcW w:type="dxa" w:w="1310"/>
            <w:shd w:fill="F3F5F7"/>
            <w:tcMar>
              <w:top w:w="100" w:type="dxa"/>
              <w:start w:w="120" w:type="dxa"/>
              <w:bottom w:w="100" w:type="dxa"/>
              <w:end w:w="120" w:type="dxa"/>
            </w:tcMar>
            <w:vAlign w:val="center"/>
          </w:tcPr>
          <w:p>
            <w:pPr>
              <w:spacing w:after="0" w:line="252" w:lineRule="auto"/>
              <w:jc w:val="left"/>
            </w:pPr>
            <w:r>
              <w:rPr>
                <w:rFonts w:ascii="Arial" w:hAnsi="Arial"/>
                <w:b/>
                <w:color w:val="17324D"/>
                <w:sz w:val="16"/>
              </w:rPr>
              <w:t>Sylhet</w:t>
            </w:r>
          </w:p>
        </w:tc>
        <w:tc>
          <w:tcPr>
            <w:tcW w:type="dxa" w:w="2527"/>
            <w:shd w:fill="F3F5F7"/>
            <w:tcMar>
              <w:top w:w="100" w:type="dxa"/>
              <w:start w:w="120" w:type="dxa"/>
              <w:bottom w:w="100" w:type="dxa"/>
              <w:end w:w="120" w:type="dxa"/>
            </w:tcMar>
            <w:vAlign w:val="center"/>
          </w:tcPr>
          <w:p>
            <w:pPr>
              <w:spacing w:after="0" w:line="252" w:lineRule="auto"/>
              <w:jc w:val="left"/>
            </w:pPr>
            <w:r>
              <w:rPr>
                <w:rFonts w:ascii="Arial" w:hAnsi="Arial"/>
                <w:sz w:val="16"/>
              </w:rPr>
              <w:t>Early-stage diabetes label</w:t>
            </w:r>
          </w:p>
        </w:tc>
        <w:tc>
          <w:tcPr>
            <w:tcW w:type="dxa" w:w="1123"/>
            <w:shd w:fill="F3F5F7"/>
            <w:tcMar>
              <w:top w:w="100" w:type="dxa"/>
              <w:start w:w="120" w:type="dxa"/>
              <w:bottom w:w="100" w:type="dxa"/>
              <w:end w:w="120" w:type="dxa"/>
            </w:tcMar>
            <w:vAlign w:val="center"/>
          </w:tcPr>
          <w:p>
            <w:pPr>
              <w:spacing w:after="0" w:line="252" w:lineRule="auto"/>
              <w:jc w:val="center"/>
            </w:pPr>
            <w:r>
              <w:rPr>
                <w:rFonts w:ascii="Arial" w:hAnsi="Arial"/>
                <w:sz w:val="16"/>
              </w:rPr>
              <w:t>520</w:t>
            </w:r>
          </w:p>
        </w:tc>
        <w:tc>
          <w:tcPr>
            <w:tcW w:type="dxa" w:w="936"/>
            <w:shd w:fill="F3F5F7"/>
            <w:tcMar>
              <w:top w:w="100" w:type="dxa"/>
              <w:start w:w="120" w:type="dxa"/>
              <w:bottom w:w="100" w:type="dxa"/>
              <w:end w:w="120" w:type="dxa"/>
            </w:tcMar>
            <w:vAlign w:val="center"/>
          </w:tcPr>
          <w:p>
            <w:pPr>
              <w:spacing w:after="0" w:line="252" w:lineRule="auto"/>
              <w:jc w:val="center"/>
            </w:pPr>
            <w:r>
              <w:rPr>
                <w:rFonts w:ascii="Arial" w:hAnsi="Arial"/>
                <w:sz w:val="16"/>
              </w:rPr>
              <w:t>16</w:t>
            </w:r>
          </w:p>
        </w:tc>
        <w:tc>
          <w:tcPr>
            <w:tcW w:type="dxa" w:w="1123"/>
            <w:shd w:fill="F3F5F7"/>
            <w:tcMar>
              <w:top w:w="100" w:type="dxa"/>
              <w:start w:w="120" w:type="dxa"/>
              <w:bottom w:w="100" w:type="dxa"/>
              <w:end w:w="120" w:type="dxa"/>
            </w:tcMar>
            <w:vAlign w:val="center"/>
          </w:tcPr>
          <w:p>
            <w:pPr>
              <w:spacing w:after="0" w:line="252" w:lineRule="auto"/>
              <w:jc w:val="center"/>
            </w:pPr>
            <w:r>
              <w:rPr>
                <w:rFonts w:ascii="Arial" w:hAnsi="Arial"/>
                <w:sz w:val="16"/>
              </w:rPr>
              <w:t>61.54%</w:t>
            </w:r>
          </w:p>
        </w:tc>
        <w:tc>
          <w:tcPr>
            <w:tcW w:type="dxa" w:w="2341"/>
            <w:shd w:fill="F3F5F7"/>
            <w:tcMar>
              <w:top w:w="100" w:type="dxa"/>
              <w:start w:w="120" w:type="dxa"/>
              <w:bottom w:w="100" w:type="dxa"/>
              <w:end w:w="120" w:type="dxa"/>
            </w:tcMar>
            <w:vAlign w:val="center"/>
          </w:tcPr>
          <w:p>
            <w:pPr>
              <w:spacing w:after="0" w:line="252" w:lineRule="auto"/>
              <w:jc w:val="left"/>
            </w:pPr>
            <w:r>
              <w:rPr>
                <w:rFonts w:ascii="Arial" w:hAnsi="Arial"/>
                <w:sz w:val="16"/>
              </w:rPr>
              <w:t>Grouped by identical profiles</w:t>
            </w:r>
          </w:p>
        </w:tc>
      </w:tr>
      <w:tr>
        <w:trPr>
          <w:cantSplit/>
        </w:trPr>
        <w:tc>
          <w:tcPr>
            <w:tcW w:type="dxa" w:w="1310"/>
            <w:tcMar>
              <w:top w:w="100" w:type="dxa"/>
              <w:start w:w="120" w:type="dxa"/>
              <w:bottom w:w="100" w:type="dxa"/>
              <w:end w:w="120" w:type="dxa"/>
            </w:tcMar>
            <w:vAlign w:val="center"/>
          </w:tcPr>
          <w:p>
            <w:pPr>
              <w:spacing w:after="0" w:line="252" w:lineRule="auto"/>
              <w:jc w:val="left"/>
            </w:pPr>
            <w:r>
              <w:rPr>
                <w:rFonts w:ascii="Arial" w:hAnsi="Arial"/>
                <w:b/>
                <w:color w:val="17324D"/>
                <w:sz w:val="16"/>
              </w:rPr>
              <w:t>BRFSS 2015</w:t>
            </w:r>
          </w:p>
        </w:tc>
        <w:tc>
          <w:tcPr>
            <w:tcW w:type="dxa" w:w="2527"/>
            <w:tcMar>
              <w:top w:w="100" w:type="dxa"/>
              <w:start w:w="120" w:type="dxa"/>
              <w:bottom w:w="100" w:type="dxa"/>
              <w:end w:w="120" w:type="dxa"/>
            </w:tcMar>
            <w:vAlign w:val="center"/>
          </w:tcPr>
          <w:p>
            <w:pPr>
              <w:spacing w:after="0" w:line="252" w:lineRule="auto"/>
              <w:jc w:val="left"/>
            </w:pPr>
            <w:r>
              <w:rPr>
                <w:rFonts w:ascii="Arial" w:hAnsi="Arial"/>
                <w:sz w:val="16"/>
              </w:rPr>
              <w:t>Self-reported diagnosed diabetes</w:t>
            </w:r>
          </w:p>
        </w:tc>
        <w:tc>
          <w:tcPr>
            <w:tcW w:type="dxa" w:w="1123"/>
            <w:tcMar>
              <w:top w:w="100" w:type="dxa"/>
              <w:start w:w="120" w:type="dxa"/>
              <w:bottom w:w="100" w:type="dxa"/>
              <w:end w:w="120" w:type="dxa"/>
            </w:tcMar>
            <w:vAlign w:val="center"/>
          </w:tcPr>
          <w:p>
            <w:pPr>
              <w:spacing w:after="0" w:line="252" w:lineRule="auto"/>
              <w:jc w:val="center"/>
            </w:pPr>
            <w:r>
              <w:rPr>
                <w:rFonts w:ascii="Arial" w:hAnsi="Arial"/>
                <w:sz w:val="16"/>
              </w:rPr>
              <w:t>429,360</w:t>
            </w:r>
          </w:p>
        </w:tc>
        <w:tc>
          <w:tcPr>
            <w:tcW w:type="dxa" w:w="936"/>
            <w:tcMar>
              <w:top w:w="100" w:type="dxa"/>
              <w:start w:w="120" w:type="dxa"/>
              <w:bottom w:w="100" w:type="dxa"/>
              <w:end w:w="120" w:type="dxa"/>
            </w:tcMar>
            <w:vAlign w:val="center"/>
          </w:tcPr>
          <w:p>
            <w:pPr>
              <w:spacing w:after="0" w:line="252" w:lineRule="auto"/>
              <w:jc w:val="center"/>
            </w:pPr>
            <w:r>
              <w:rPr>
                <w:rFonts w:ascii="Arial" w:hAnsi="Arial"/>
                <w:sz w:val="16"/>
              </w:rPr>
              <w:t>21</w:t>
            </w:r>
          </w:p>
        </w:tc>
        <w:tc>
          <w:tcPr>
            <w:tcW w:type="dxa" w:w="1123"/>
            <w:tcMar>
              <w:top w:w="100" w:type="dxa"/>
              <w:start w:w="120" w:type="dxa"/>
              <w:bottom w:w="100" w:type="dxa"/>
              <w:end w:w="120" w:type="dxa"/>
            </w:tcMar>
            <w:vAlign w:val="center"/>
          </w:tcPr>
          <w:p>
            <w:pPr>
              <w:spacing w:after="0" w:line="252" w:lineRule="auto"/>
              <w:jc w:val="center"/>
            </w:pPr>
            <w:r>
              <w:rPr>
                <w:rFonts w:ascii="Arial" w:hAnsi="Arial"/>
                <w:sz w:val="16"/>
              </w:rPr>
              <w:t>13.34%</w:t>
            </w:r>
          </w:p>
        </w:tc>
        <w:tc>
          <w:tcPr>
            <w:tcW w:type="dxa" w:w="2341"/>
            <w:tcMar>
              <w:top w:w="100" w:type="dxa"/>
              <w:start w:w="120" w:type="dxa"/>
              <w:bottom w:w="100" w:type="dxa"/>
              <w:end w:w="120" w:type="dxa"/>
            </w:tcMar>
            <w:vAlign w:val="center"/>
          </w:tcPr>
          <w:p>
            <w:pPr>
              <w:spacing w:after="0" w:line="252" w:lineRule="auto"/>
              <w:jc w:val="left"/>
            </w:pPr>
            <w:r>
              <w:rPr>
                <w:rFonts w:ascii="Arial" w:hAnsi="Arial"/>
                <w:sz w:val="16"/>
              </w:rPr>
              <w:t>Stratified locked holdout</w:t>
            </w:r>
          </w:p>
        </w:tc>
      </w:tr>
      <w:tr>
        <w:trPr>
          <w:cantSplit/>
        </w:trPr>
        <w:tc>
          <w:tcPr>
            <w:tcW w:type="dxa" w:w="1310"/>
            <w:shd w:fill="F3F5F7"/>
            <w:tcMar>
              <w:top w:w="100" w:type="dxa"/>
              <w:start w:w="120" w:type="dxa"/>
              <w:bottom w:w="100" w:type="dxa"/>
              <w:end w:w="120" w:type="dxa"/>
            </w:tcMar>
            <w:vAlign w:val="center"/>
          </w:tcPr>
          <w:p>
            <w:pPr>
              <w:spacing w:after="0" w:line="252" w:lineRule="auto"/>
              <w:jc w:val="left"/>
            </w:pPr>
            <w:r>
              <w:rPr>
                <w:rFonts w:ascii="Arial" w:hAnsi="Arial"/>
                <w:b/>
                <w:color w:val="17324D"/>
                <w:sz w:val="16"/>
              </w:rPr>
              <w:t>Hospital130</w:t>
            </w:r>
          </w:p>
        </w:tc>
        <w:tc>
          <w:tcPr>
            <w:tcW w:type="dxa" w:w="2527"/>
            <w:shd w:fill="F3F5F7"/>
            <w:tcMar>
              <w:top w:w="100" w:type="dxa"/>
              <w:start w:w="120" w:type="dxa"/>
              <w:bottom w:w="100" w:type="dxa"/>
              <w:end w:w="120" w:type="dxa"/>
            </w:tcMar>
            <w:vAlign w:val="center"/>
          </w:tcPr>
          <w:p>
            <w:pPr>
              <w:spacing w:after="0" w:line="252" w:lineRule="auto"/>
              <w:jc w:val="left"/>
            </w:pPr>
            <w:r>
              <w:rPr>
                <w:rFonts w:ascii="Arial" w:hAnsi="Arial"/>
                <w:sz w:val="16"/>
              </w:rPr>
              <w:t>Readmission within 30 days</w:t>
            </w:r>
          </w:p>
        </w:tc>
        <w:tc>
          <w:tcPr>
            <w:tcW w:type="dxa" w:w="1123"/>
            <w:shd w:fill="F3F5F7"/>
            <w:tcMar>
              <w:top w:w="100" w:type="dxa"/>
              <w:start w:w="120" w:type="dxa"/>
              <w:bottom w:w="100" w:type="dxa"/>
              <w:end w:w="120" w:type="dxa"/>
            </w:tcMar>
            <w:vAlign w:val="center"/>
          </w:tcPr>
          <w:p>
            <w:pPr>
              <w:spacing w:after="0" w:line="252" w:lineRule="auto"/>
              <w:jc w:val="center"/>
            </w:pPr>
            <w:r>
              <w:rPr>
                <w:rFonts w:ascii="Arial" w:hAnsi="Arial"/>
                <w:sz w:val="16"/>
              </w:rPr>
              <w:t>99,343</w:t>
            </w:r>
          </w:p>
        </w:tc>
        <w:tc>
          <w:tcPr>
            <w:tcW w:type="dxa" w:w="936"/>
            <w:shd w:fill="F3F5F7"/>
            <w:tcMar>
              <w:top w:w="100" w:type="dxa"/>
              <w:start w:w="120" w:type="dxa"/>
              <w:bottom w:w="100" w:type="dxa"/>
              <w:end w:w="120" w:type="dxa"/>
            </w:tcMar>
            <w:vAlign w:val="center"/>
          </w:tcPr>
          <w:p>
            <w:pPr>
              <w:spacing w:after="0" w:line="252" w:lineRule="auto"/>
              <w:jc w:val="center"/>
            </w:pPr>
            <w:r>
              <w:rPr>
                <w:rFonts w:ascii="Arial" w:hAnsi="Arial"/>
                <w:sz w:val="16"/>
              </w:rPr>
              <w:t>46</w:t>
            </w:r>
          </w:p>
        </w:tc>
        <w:tc>
          <w:tcPr>
            <w:tcW w:type="dxa" w:w="1123"/>
            <w:shd w:fill="F3F5F7"/>
            <w:tcMar>
              <w:top w:w="100" w:type="dxa"/>
              <w:start w:w="120" w:type="dxa"/>
              <w:bottom w:w="100" w:type="dxa"/>
              <w:end w:w="120" w:type="dxa"/>
            </w:tcMar>
            <w:vAlign w:val="center"/>
          </w:tcPr>
          <w:p>
            <w:pPr>
              <w:spacing w:after="0" w:line="252" w:lineRule="auto"/>
              <w:jc w:val="center"/>
            </w:pPr>
            <w:r>
              <w:rPr>
                <w:rFonts w:ascii="Arial" w:hAnsi="Arial"/>
                <w:sz w:val="16"/>
              </w:rPr>
              <w:t>11.39%</w:t>
            </w:r>
          </w:p>
        </w:tc>
        <w:tc>
          <w:tcPr>
            <w:tcW w:type="dxa" w:w="2341"/>
            <w:shd w:fill="F3F5F7"/>
            <w:tcMar>
              <w:top w:w="100" w:type="dxa"/>
              <w:start w:w="120" w:type="dxa"/>
              <w:bottom w:w="100" w:type="dxa"/>
              <w:end w:w="120" w:type="dxa"/>
            </w:tcMar>
            <w:vAlign w:val="center"/>
          </w:tcPr>
          <w:p>
            <w:pPr>
              <w:spacing w:after="0" w:line="252" w:lineRule="auto"/>
              <w:jc w:val="left"/>
            </w:pPr>
            <w:r>
              <w:rPr>
                <w:rFonts w:ascii="Arial" w:hAnsi="Arial"/>
                <w:sz w:val="16"/>
              </w:rPr>
              <w:t>Patient-grouped holdout</w:t>
            </w:r>
          </w:p>
        </w:tc>
      </w:tr>
    </w:tbl>
    <w:p>
      <w:pPr>
        <w:spacing w:after="20"/>
      </w:pPr>
    </w:p>
    <w:p>
      <w:pPr>
        <w:pStyle w:val="Heading2"/>
      </w:pPr>
      <w:r>
        <w:t>2.1 PIDD</w:t>
      </w:r>
    </w:p>
    <w:p>
      <w:r>
        <w:t>The Pima Indians Diabetes Database contains 768 records and eight numeric predictors: pregnancies, glucose, blood pressure, skin thickness, insulin, BMI, diabetes pedigree function and age. Physiologically impossible zero values in glucose, blood pressure, skin thickness, insulin and BMI are converted to missing markers. Imputation and missingness indicators are fitted inside the training fold only. Missingness is concentrated in insulin (374 records) and skin thickness (227), motivating the availability experiments.</w:t>
      </w:r>
    </w:p>
    <w:p>
      <w:pPr>
        <w:pStyle w:val="Heading2"/>
      </w:pPr>
      <w:r>
        <w:t>2.2 Sylhet early-stage diabetes</w:t>
      </w:r>
    </w:p>
    <w:p>
      <w:r>
        <w:t>Sylhet contains 520 symptom-questionnaire records and 16 predictors. It has no missing predictors but only 251 unique feature profiles; 269 rows duplicate another feature profile and the largest profile appears 16 times. Identical profiles are grouped in every outer and inner split to prevent the same predictor vector from appearing in training and validation.</w:t>
      </w:r>
    </w:p>
    <w:p>
      <w:pPr>
        <w:pStyle w:val="Heading2"/>
      </w:pPr>
      <w:r>
        <w:t>2.3 BRFSS 2015</w:t>
      </w:r>
    </w:p>
    <w:p>
      <w:r>
        <w:t>The primary BRFSS cohort retains 429,360 target-valid records and 21 survey-derived risk factors. The positive class is reported diagnosed diabetes; pregnancy-only diabetes, prediabetes/borderline diabetes, unknown, refused and missing target responses are excluded. Predictor missingness is retained for fold-specific handling instead of complete-case deletion. This makes the current endpoint more defensible than the legacy combined diabetes/prediabetes complete-case cohort.</w:t>
      </w:r>
    </w:p>
    <w:p>
      <w:pPr>
        <w:pStyle w:val="Heading2"/>
      </w:pPr>
      <w:r>
        <w:t>2.4 Diabetes 130-US Hospitals</w:t>
      </w:r>
    </w:p>
    <w:p>
      <w:r>
        <w:t>Hospital130 begins with 101,766 encounters. A total of 2,423 death/hospice discharges are excluded because ordinary post-discharge readmission is not an applicable outcome, leaving 99,343 encounters from 69,990 patient groups. Admission type, discharge disposition and admission source are treated as categorical identifiers. All encounters from a patient remain on one side of each split.</w:t>
      </w:r>
    </w:p>
    <w:p>
      <w:pPr>
        <w:shd w:fill="FFF4D9"/>
        <w:keepLines/>
        <w:pBdr>
          <w:left w:val="single" w:sz="20" w:space="8" w:color="D99A2B"/>
        </w:pBdr>
        <w:spacing w:before="100" w:after="160"/>
        <w:ind w:left="173" w:right="115"/>
      </w:pPr>
      <w:r>
        <w:rPr>
          <w:b/>
          <w:color w:val="D99A2B"/>
        </w:rPr>
        <w:t xml:space="preserve">Endpoint boundary  </w:t>
      </w:r>
      <w:r>
        <w:t>Hospital130 probabilities refer only to 30-day readmission. They must never be described as diabetes-risk probabilities or pooled with PIDD, Sylhet or BRFSS.</w:t>
      </w:r>
    </w:p>
    <w:p>
      <w:pPr>
        <w:pStyle w:val="Heading2"/>
      </w:pPr>
      <w:r>
        <w:t>2.5 Master feature ontology</w:t>
      </w:r>
    </w:p>
    <w:p>
      <w:r>
        <w:t>A validated 91-row dictionary covers all configured inputs: 8 PIDD, 16 Sylhet, 21 BRFSS and 46 Hospital130 features. It records canonical concept, measurement scale, direct/binned/proxy relationship and harmonization policy. For example, PIDD insulin is a serum measurement while Hospital130 insulin is a medication-status category; they are explicitly non-comparable.</w:t>
      </w:r>
    </w:p>
    <w:p>
      <w:pPr>
        <w:pStyle w:val="Heading1"/>
      </w:pPr>
      <w:r>
        <w:t>3. End-to-End Pipeline</w:t>
      </w:r>
    </w:p>
    <w:p>
      <w:pPr>
        <w:keepNext/>
        <w:jc w:val="center"/>
      </w:pPr>
      <w:r>
        <w:drawing>
          <wp:inline xmlns:a="http://schemas.openxmlformats.org/drawingml/2006/main" xmlns:pic="http://schemas.openxmlformats.org/drawingml/2006/picture">
            <wp:extent cx="5897880" cy="3608115"/>
            <wp:docPr id="1" name="Picture 1" descr="Figure 1. Endpoint-first, availability-aware prediction and reporting workflow."/>
            <wp:cNvGraphicFramePr>
              <a:graphicFrameLocks noChangeAspect="1"/>
            </wp:cNvGraphicFramePr>
            <a:graphic>
              <a:graphicData uri="http://schemas.openxmlformats.org/drawingml/2006/picture">
                <pic:pic>
                  <pic:nvPicPr>
                    <pic:cNvPr id="0" name="pipeline_diagram.png"/>
                    <pic:cNvPicPr/>
                  </pic:nvPicPr>
                  <pic:blipFill>
                    <a:blip r:embed="rId11"/>
                    <a:stretch>
                      <a:fillRect/>
                    </a:stretch>
                  </pic:blipFill>
                  <pic:spPr>
                    <a:xfrm>
                      <a:off x="0" y="0"/>
                      <a:ext cx="5897880" cy="3608115"/>
                    </a:xfrm>
                    <a:prstGeom prst="rect"/>
                  </pic:spPr>
                </pic:pic>
              </a:graphicData>
            </a:graphic>
          </wp:inline>
        </w:drawing>
      </w:r>
    </w:p>
    <w:p>
      <w:pPr>
        <w:pStyle w:val="CaptionCustom"/>
        <w:jc w:val="center"/>
      </w:pPr>
      <w:r>
        <w:t>Figure 1. Endpoint-first, availability-aware prediction and reporting workflow.</w:t>
      </w:r>
    </w:p>
    <w:p>
      <w:pPr>
        <w:pStyle w:val="Heading2"/>
      </w:pPr>
      <w:r>
        <w:t>3.1 Processing sequence</w:t>
      </w:r>
    </w:p>
    <w:p>
      <w:pPr>
        <w:pStyle w:val="ListNumber"/>
      </w:pPr>
      <w:r>
        <w:t>Validate raw rows, endpoint labels, feature types, missingness and identity/grouping columns.</w:t>
      </w:r>
    </w:p>
    <w:p>
      <w:pPr>
        <w:pStyle w:val="ListNumber"/>
      </w:pPr>
      <w:r>
        <w:t>Apply the immutable split contract: nested stratified folds for PIDD, grouped folds for Sylhet, stratified holdout for BRFSS, and patient-grouped holdout for Hospital130.</w:t>
      </w:r>
    </w:p>
    <w:p>
      <w:pPr>
        <w:pStyle w:val="ListNumber"/>
      </w:pPr>
      <w:r>
        <w:t>Fit imputation, missingness indicators, scaling and categorical encoding only on the current training data.</w:t>
      </w:r>
    </w:p>
    <w:p>
      <w:pPr>
        <w:pStyle w:val="ListNumber"/>
      </w:pPr>
      <w:r>
        <w:t>Tune candidate algorithms inside development folds using average precision as the optimization metric.</w:t>
      </w:r>
    </w:p>
    <w:p>
      <w:pPr>
        <w:pStyle w:val="ListNumber"/>
      </w:pPr>
      <w:r>
        <w:t>Generate development out-of-fold probabilities and select a calibration method using Brier score, with log loss as the tie-breaker.</w:t>
      </w:r>
    </w:p>
    <w:p>
      <w:pPr>
        <w:pStyle w:val="ListNumber"/>
      </w:pPr>
      <w:r>
        <w:t>Select operating thresholds using development predictions only.</w:t>
      </w:r>
    </w:p>
    <w:p>
      <w:pPr>
        <w:pStyle w:val="ListNumber"/>
      </w:pPr>
      <w:r>
        <w:t>Evaluate once on the untouched outer fold or locked test partition.</w:t>
      </w:r>
    </w:p>
    <w:p>
      <w:pPr>
        <w:pStyle w:val="ListNumber"/>
      </w:pPr>
      <w:r>
        <w:t>Produce metrics, bootstrap intervals, paired comparisons, decision curves, reloadable bundles and deterministic hashes.</w:t>
      </w:r>
    </w:p>
    <w:p>
      <w:pPr>
        <w:pStyle w:val="ListNumber"/>
      </w:pPr>
      <w:r>
        <w:t>Generate held-out SHAP explanations and, where applicable, a detailed patient research report.</w:t>
      </w:r>
    </w:p>
    <w:p>
      <w:pPr>
        <w:pStyle w:val="Heading2"/>
      </w:pPr>
      <w:r>
        <w:t>3.2 Models</w:t>
      </w:r>
    </w:p>
    <w:tbl>
      <w:tblPr>
        <w:tblStyle w:val="TableGrid"/>
        <w:tblW w:type="dxa" w:w="9360"/>
        <w:jc w:val="left"/>
        <w:tblLayout w:type="fixed"/>
        <w:tblLook w:firstColumn="1" w:firstRow="1" w:lastColumn="0" w:lastRow="0" w:noHBand="0" w:noVBand="1" w:val="04A0"/>
        <w:tblInd w:w="120" w:type="dxa"/>
      </w:tblPr>
      <w:tblGrid>
        <w:gridCol w:w="1872"/>
        <w:gridCol w:w="2340"/>
        <w:gridCol w:w="5148"/>
      </w:tblGrid>
      <w:tr>
        <w:trPr>
          <w:tblHeader w:val="true"/>
        </w:trPr>
        <w:tc>
          <w:tcPr>
            <w:tcW w:type="dxa" w:w="1872"/>
            <w:shd w:fill="17324D"/>
            <w:tcMar>
              <w:top w:w="115" w:type="dxa"/>
              <w:start w:w="120" w:type="dxa"/>
              <w:bottom w:w="115" w:type="dxa"/>
              <w:end w:w="120" w:type="dxa"/>
            </w:tcMar>
            <w:vAlign w:val="center"/>
          </w:tcPr>
          <w:p>
            <w:pPr>
              <w:spacing w:after="0"/>
              <w:jc w:val="center"/>
            </w:pPr>
            <w:r>
              <w:rPr>
                <w:rFonts w:ascii="Arial" w:hAnsi="Arial"/>
                <w:b/>
                <w:color w:val="FFFFFF"/>
                <w:sz w:val="17"/>
              </w:rPr>
              <w:t>Model</w:t>
            </w:r>
          </w:p>
        </w:tc>
        <w:tc>
          <w:tcPr>
            <w:tcW w:type="dxa" w:w="2340"/>
            <w:shd w:fill="17324D"/>
            <w:tcMar>
              <w:top w:w="115" w:type="dxa"/>
              <w:start w:w="120" w:type="dxa"/>
              <w:bottom w:w="115" w:type="dxa"/>
              <w:end w:w="120" w:type="dxa"/>
            </w:tcMar>
            <w:vAlign w:val="center"/>
          </w:tcPr>
          <w:p>
            <w:pPr>
              <w:spacing w:after="0"/>
              <w:jc w:val="center"/>
            </w:pPr>
            <w:r>
              <w:rPr>
                <w:rFonts w:ascii="Arial" w:hAnsi="Arial"/>
                <w:b/>
                <w:color w:val="FFFFFF"/>
                <w:sz w:val="17"/>
              </w:rPr>
              <w:t>Role</w:t>
            </w:r>
          </w:p>
        </w:tc>
        <w:tc>
          <w:tcPr>
            <w:tcW w:type="dxa" w:w="5148"/>
            <w:shd w:fill="17324D"/>
            <w:tcMar>
              <w:top w:w="115" w:type="dxa"/>
              <w:start w:w="120" w:type="dxa"/>
              <w:bottom w:w="115" w:type="dxa"/>
              <w:end w:w="120" w:type="dxa"/>
            </w:tcMar>
            <w:vAlign w:val="center"/>
          </w:tcPr>
          <w:p>
            <w:pPr>
              <w:spacing w:after="0"/>
              <w:jc w:val="center"/>
            </w:pPr>
            <w:r>
              <w:rPr>
                <w:rFonts w:ascii="Arial" w:hAnsi="Arial"/>
                <w:b/>
                <w:color w:val="FFFFFF"/>
                <w:sz w:val="17"/>
              </w:rPr>
              <w:t>Reason included</w:t>
            </w:r>
          </w:p>
        </w:tc>
      </w:tr>
      <w:tr>
        <w:trPr>
          <w:cantSplit/>
        </w:trPr>
        <w:tc>
          <w:tcPr>
            <w:tcW w:type="dxa" w:w="1872"/>
            <w:tcMar>
              <w:top w:w="100" w:type="dxa"/>
              <w:start w:w="120" w:type="dxa"/>
              <w:bottom w:w="100" w:type="dxa"/>
              <w:end w:w="120" w:type="dxa"/>
            </w:tcMar>
            <w:vAlign w:val="center"/>
          </w:tcPr>
          <w:p>
            <w:pPr>
              <w:spacing w:after="0" w:line="252" w:lineRule="auto"/>
              <w:jc w:val="left"/>
            </w:pPr>
            <w:r>
              <w:rPr>
                <w:rFonts w:ascii="Arial" w:hAnsi="Arial"/>
                <w:b/>
                <w:color w:val="17324D"/>
                <w:sz w:val="17"/>
              </w:rPr>
              <w:t>Random Forest</w:t>
            </w:r>
          </w:p>
        </w:tc>
        <w:tc>
          <w:tcPr>
            <w:tcW w:type="dxa" w:w="2340"/>
            <w:tcMar>
              <w:top w:w="100" w:type="dxa"/>
              <w:start w:w="120" w:type="dxa"/>
              <w:bottom w:w="100" w:type="dxa"/>
              <w:end w:w="120" w:type="dxa"/>
            </w:tcMar>
            <w:vAlign w:val="center"/>
          </w:tcPr>
          <w:p>
            <w:pPr>
              <w:spacing w:after="0" w:line="252" w:lineRule="auto"/>
              <w:jc w:val="left"/>
            </w:pPr>
            <w:r>
              <w:rPr>
                <w:rFonts w:ascii="Arial" w:hAnsi="Arial"/>
                <w:sz w:val="17"/>
              </w:rPr>
              <w:t>Bagged-tree candidate</w:t>
            </w:r>
          </w:p>
        </w:tc>
        <w:tc>
          <w:tcPr>
            <w:tcW w:type="dxa" w:w="5148"/>
            <w:tcMar>
              <w:top w:w="100" w:type="dxa"/>
              <w:start w:w="120" w:type="dxa"/>
              <w:bottom w:w="100" w:type="dxa"/>
              <w:end w:w="120" w:type="dxa"/>
            </w:tcMar>
            <w:vAlign w:val="center"/>
          </w:tcPr>
          <w:p>
            <w:pPr>
              <w:spacing w:after="0" w:line="252" w:lineRule="auto"/>
              <w:jc w:val="left"/>
            </w:pPr>
            <w:r>
              <w:rPr>
                <w:rFonts w:ascii="Arial" w:hAnsi="Arial"/>
                <w:sz w:val="17"/>
              </w:rPr>
              <w:t>Strong nonlinear baseline; low tuning sensitivity</w:t>
            </w:r>
          </w:p>
        </w:tc>
      </w:tr>
      <w:tr>
        <w:trPr>
          <w:cantSplit/>
        </w:trPr>
        <w:tc>
          <w:tcPr>
            <w:tcW w:type="dxa" w:w="1872"/>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XGBoost</w:t>
            </w:r>
          </w:p>
        </w:tc>
        <w:tc>
          <w:tcPr>
            <w:tcW w:type="dxa" w:w="2340"/>
            <w:shd w:fill="F3F5F7"/>
            <w:tcMar>
              <w:top w:w="100" w:type="dxa"/>
              <w:start w:w="120" w:type="dxa"/>
              <w:bottom w:w="100" w:type="dxa"/>
              <w:end w:w="120" w:type="dxa"/>
            </w:tcMar>
            <w:vAlign w:val="center"/>
          </w:tcPr>
          <w:p>
            <w:pPr>
              <w:spacing w:after="0" w:line="252" w:lineRule="auto"/>
              <w:jc w:val="left"/>
            </w:pPr>
            <w:r>
              <w:rPr>
                <w:rFonts w:ascii="Arial" w:hAnsi="Arial"/>
                <w:sz w:val="17"/>
              </w:rPr>
              <w:t>Gradient-boosted candidate</w:t>
            </w:r>
          </w:p>
        </w:tc>
        <w:tc>
          <w:tcPr>
            <w:tcW w:type="dxa" w:w="5148"/>
            <w:shd w:fill="F3F5F7"/>
            <w:tcMar>
              <w:top w:w="100" w:type="dxa"/>
              <w:start w:w="120" w:type="dxa"/>
              <w:bottom w:w="100" w:type="dxa"/>
              <w:end w:w="120" w:type="dxa"/>
            </w:tcMar>
            <w:vAlign w:val="center"/>
          </w:tcPr>
          <w:p>
            <w:pPr>
              <w:spacing w:after="0" w:line="252" w:lineRule="auto"/>
              <w:jc w:val="left"/>
            </w:pPr>
            <w:r>
              <w:rPr>
                <w:rFonts w:ascii="Arial" w:hAnsi="Arial"/>
                <w:sz w:val="17"/>
              </w:rPr>
              <w:t>Regularized boosted trees; strong tabular benchmark</w:t>
            </w:r>
          </w:p>
        </w:tc>
      </w:tr>
      <w:tr>
        <w:trPr>
          <w:cantSplit/>
        </w:trPr>
        <w:tc>
          <w:tcPr>
            <w:tcW w:type="dxa" w:w="1872"/>
            <w:tcMar>
              <w:top w:w="100" w:type="dxa"/>
              <w:start w:w="120" w:type="dxa"/>
              <w:bottom w:w="100" w:type="dxa"/>
              <w:end w:w="120" w:type="dxa"/>
            </w:tcMar>
            <w:vAlign w:val="center"/>
          </w:tcPr>
          <w:p>
            <w:pPr>
              <w:spacing w:after="0" w:line="252" w:lineRule="auto"/>
              <w:jc w:val="left"/>
            </w:pPr>
            <w:r>
              <w:rPr>
                <w:rFonts w:ascii="Arial" w:hAnsi="Arial"/>
                <w:b/>
                <w:color w:val="17324D"/>
                <w:sz w:val="17"/>
              </w:rPr>
              <w:t>LightGBM</w:t>
            </w:r>
          </w:p>
        </w:tc>
        <w:tc>
          <w:tcPr>
            <w:tcW w:type="dxa" w:w="2340"/>
            <w:tcMar>
              <w:top w:w="100" w:type="dxa"/>
              <w:start w:w="120" w:type="dxa"/>
              <w:bottom w:w="100" w:type="dxa"/>
              <w:end w:w="120" w:type="dxa"/>
            </w:tcMar>
            <w:vAlign w:val="center"/>
          </w:tcPr>
          <w:p>
            <w:pPr>
              <w:spacing w:after="0" w:line="252" w:lineRule="auto"/>
              <w:jc w:val="left"/>
            </w:pPr>
            <w:r>
              <w:rPr>
                <w:rFonts w:ascii="Arial" w:hAnsi="Arial"/>
                <w:sz w:val="17"/>
              </w:rPr>
              <w:t>Gradient-boosted candidate</w:t>
            </w:r>
          </w:p>
        </w:tc>
        <w:tc>
          <w:tcPr>
            <w:tcW w:type="dxa" w:w="5148"/>
            <w:tcMar>
              <w:top w:w="100" w:type="dxa"/>
              <w:start w:w="120" w:type="dxa"/>
              <w:bottom w:w="100" w:type="dxa"/>
              <w:end w:w="120" w:type="dxa"/>
            </w:tcMar>
            <w:vAlign w:val="center"/>
          </w:tcPr>
          <w:p>
            <w:pPr>
              <w:spacing w:after="0" w:line="252" w:lineRule="auto"/>
              <w:jc w:val="left"/>
            </w:pPr>
            <w:r>
              <w:rPr>
                <w:rFonts w:ascii="Arial" w:hAnsi="Arial"/>
                <w:sz w:val="17"/>
              </w:rPr>
              <w:t>Efficient leaf-wise boosting for larger cohorts</w:t>
            </w:r>
          </w:p>
        </w:tc>
      </w:tr>
      <w:tr>
        <w:trPr>
          <w:cantSplit/>
        </w:trPr>
        <w:tc>
          <w:tcPr>
            <w:tcW w:type="dxa" w:w="1872"/>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CatBoost</w:t>
            </w:r>
          </w:p>
        </w:tc>
        <w:tc>
          <w:tcPr>
            <w:tcW w:type="dxa" w:w="2340"/>
            <w:shd w:fill="F3F5F7"/>
            <w:tcMar>
              <w:top w:w="100" w:type="dxa"/>
              <w:start w:w="120" w:type="dxa"/>
              <w:bottom w:w="100" w:type="dxa"/>
              <w:end w:w="120" w:type="dxa"/>
            </w:tcMar>
            <w:vAlign w:val="center"/>
          </w:tcPr>
          <w:p>
            <w:pPr>
              <w:spacing w:after="0" w:line="252" w:lineRule="auto"/>
              <w:jc w:val="left"/>
            </w:pPr>
            <w:r>
              <w:rPr>
                <w:rFonts w:ascii="Arial" w:hAnsi="Arial"/>
                <w:sz w:val="17"/>
              </w:rPr>
              <w:t>Gradient-boosted candidate</w:t>
            </w:r>
          </w:p>
        </w:tc>
        <w:tc>
          <w:tcPr>
            <w:tcW w:type="dxa" w:w="5148"/>
            <w:shd w:fill="F3F5F7"/>
            <w:tcMar>
              <w:top w:w="100" w:type="dxa"/>
              <w:start w:w="120" w:type="dxa"/>
              <w:bottom w:w="100" w:type="dxa"/>
              <w:end w:w="120" w:type="dxa"/>
            </w:tcMar>
            <w:vAlign w:val="center"/>
          </w:tcPr>
          <w:p>
            <w:pPr>
              <w:spacing w:after="0" w:line="252" w:lineRule="auto"/>
              <w:jc w:val="left"/>
            </w:pPr>
            <w:r>
              <w:rPr>
                <w:rFonts w:ascii="Arial" w:hAnsi="Arial"/>
                <w:sz w:val="17"/>
              </w:rPr>
              <w:t>Robust boosting; useful for mixed/categorical settings</w:t>
            </w:r>
          </w:p>
        </w:tc>
      </w:tr>
      <w:tr>
        <w:trPr>
          <w:cantSplit/>
        </w:trPr>
        <w:tc>
          <w:tcPr>
            <w:tcW w:type="dxa" w:w="1872"/>
            <w:tcMar>
              <w:top w:w="100" w:type="dxa"/>
              <w:start w:w="120" w:type="dxa"/>
              <w:bottom w:w="100" w:type="dxa"/>
              <w:end w:w="120" w:type="dxa"/>
            </w:tcMar>
            <w:vAlign w:val="center"/>
          </w:tcPr>
          <w:p>
            <w:pPr>
              <w:spacing w:after="0" w:line="252" w:lineRule="auto"/>
              <w:jc w:val="left"/>
            </w:pPr>
            <w:r>
              <w:rPr>
                <w:rFonts w:ascii="Arial" w:hAnsi="Arial"/>
                <w:b/>
                <w:color w:val="17324D"/>
                <w:sz w:val="17"/>
              </w:rPr>
              <w:t>Logistic Regression</w:t>
            </w:r>
          </w:p>
        </w:tc>
        <w:tc>
          <w:tcPr>
            <w:tcW w:type="dxa" w:w="2340"/>
            <w:tcMar>
              <w:top w:w="100" w:type="dxa"/>
              <w:start w:w="120" w:type="dxa"/>
              <w:bottom w:w="100" w:type="dxa"/>
              <w:end w:w="120" w:type="dxa"/>
            </w:tcMar>
            <w:vAlign w:val="center"/>
          </w:tcPr>
          <w:p>
            <w:pPr>
              <w:spacing w:after="0" w:line="252" w:lineRule="auto"/>
              <w:jc w:val="left"/>
            </w:pPr>
            <w:r>
              <w:rPr>
                <w:rFonts w:ascii="Arial" w:hAnsi="Arial"/>
                <w:sz w:val="17"/>
              </w:rPr>
              <w:t>Reference baseline</w:t>
            </w:r>
          </w:p>
        </w:tc>
        <w:tc>
          <w:tcPr>
            <w:tcW w:type="dxa" w:w="5148"/>
            <w:tcMar>
              <w:top w:w="100" w:type="dxa"/>
              <w:start w:w="120" w:type="dxa"/>
              <w:bottom w:w="100" w:type="dxa"/>
              <w:end w:w="120" w:type="dxa"/>
            </w:tcMar>
            <w:vAlign w:val="center"/>
          </w:tcPr>
          <w:p>
            <w:pPr>
              <w:spacing w:after="0" w:line="252" w:lineRule="auto"/>
              <w:jc w:val="left"/>
            </w:pPr>
            <w:r>
              <w:rPr>
                <w:rFonts w:ascii="Arial" w:hAnsi="Arial"/>
                <w:sz w:val="17"/>
              </w:rPr>
              <w:t>Tests whether ensemble complexity adds meaningful value</w:t>
            </w:r>
          </w:p>
        </w:tc>
      </w:tr>
    </w:tbl>
    <w:p>
      <w:pPr>
        <w:spacing w:after="20"/>
      </w:pPr>
    </w:p>
    <w:p>
      <w:pPr>
        <w:pStyle w:val="Heading2"/>
      </w:pPr>
      <w:r>
        <w:t>3.3 How the model is chosen</w:t>
      </w:r>
    </w:p>
    <w:p>
      <w:r>
        <w:t>Model choice is based only on development evidence; test or outer-validation labels are never used to pick the model. The exact decision depends on the experiment:</w:t>
      </w:r>
    </w:p>
    <w:p>
      <w:pPr>
        <w:pStyle w:val="ListBullet"/>
      </w:pPr>
      <w:r>
        <w:t>Small-cohort benchmark: all models are evaluated with nested cross-validation. Numerical rankings are reported, but a universal champion is not claimed when paired differences are not significant.</w:t>
      </w:r>
    </w:p>
    <w:p>
      <w:pPr>
        <w:pStyle w:val="ListBullet"/>
      </w:pPr>
      <w:r>
        <w:t>Feature-panel router: within each outer fold and panel, select the model with the lowest development Brier score; break ties using log loss and then average precision.</w:t>
      </w:r>
    </w:p>
    <w:p>
      <w:pPr>
        <w:pStyle w:val="ListBullet"/>
      </w:pPr>
      <w:r>
        <w:t>BRFSS/Hospital holdout: select the development champion by Brier score, then log loss and average precision, lock all choices, and only then access the test partition once.</w:t>
      </w:r>
    </w:p>
    <w:p>
      <w:pPr>
        <w:shd w:fill="EAF0F6"/>
        <w:keepLines/>
        <w:pBdr>
          <w:left w:val="single" w:sz="20" w:space="8" w:color="17324D"/>
        </w:pBdr>
        <w:spacing w:before="100" w:after="160"/>
        <w:ind w:left="173" w:right="115"/>
      </w:pPr>
      <w:r>
        <w:rPr>
          <w:b/>
          <w:color w:val="17324D"/>
        </w:rPr>
        <w:t xml:space="preserve">Why Brier score leads selection  </w:t>
      </w:r>
      <w:r>
        <w:t>The intended output is a probability, so probability accuracy is prioritized over threshold-specific accuracy. Average precision remains the tuning objective because of class imbalance, while Brier score and log loss determine calibration/model selection.</w:t>
      </w:r>
    </w:p>
    <w:p>
      <w:pPr>
        <w:pStyle w:val="Heading2"/>
      </w:pPr>
      <w:r>
        <w:t>3.4 Probability calibration</w:t>
      </w:r>
    </w:p>
    <w:p>
      <w:r>
        <w:t>Identity (no recalibration), sigmoid/Platt scaling and isotonic regression are compared through cross-fitted development predictions. The candidate with the best development Brier score is selected, with log loss as the tie-breaker. Isotonic calibration is ineligible below 1,000 calibration samples because the Sylhet pilot showed severe small-sample overfit and extreme probabilities. Calibration is always learned without outer/test labels.</w:t>
      </w:r>
    </w:p>
    <w:p>
      <w:pPr>
        <w:pStyle w:val="Heading2"/>
      </w:pPr>
      <w:r>
        <w:t>3.5 Operating policies</w:t>
      </w:r>
    </w:p>
    <w:tbl>
      <w:tblPr>
        <w:tblStyle w:val="TableGrid"/>
        <w:tblW w:type="dxa" w:w="9360"/>
        <w:jc w:val="left"/>
        <w:tblLayout w:type="fixed"/>
        <w:tblLook w:firstColumn="1" w:firstRow="1" w:lastColumn="0" w:lastRow="0" w:noHBand="0" w:noVBand="1" w:val="04A0"/>
        <w:tblInd w:w="120" w:type="dxa"/>
      </w:tblPr>
      <w:tblGrid>
        <w:gridCol w:w="1966"/>
        <w:gridCol w:w="2527"/>
        <w:gridCol w:w="4867"/>
      </w:tblGrid>
      <w:tr>
        <w:trPr>
          <w:tblHeader w:val="true"/>
        </w:trPr>
        <w:tc>
          <w:tcPr>
            <w:tcW w:type="dxa" w:w="1966"/>
            <w:shd w:fill="17324D"/>
            <w:tcMar>
              <w:top w:w="115" w:type="dxa"/>
              <w:start w:w="120" w:type="dxa"/>
              <w:bottom w:w="115" w:type="dxa"/>
              <w:end w:w="120" w:type="dxa"/>
            </w:tcMar>
            <w:vAlign w:val="center"/>
          </w:tcPr>
          <w:p>
            <w:pPr>
              <w:spacing w:after="0"/>
              <w:jc w:val="center"/>
            </w:pPr>
            <w:r>
              <w:rPr>
                <w:rFonts w:ascii="Arial" w:hAnsi="Arial"/>
                <w:b/>
                <w:color w:val="FFFFFF"/>
                <w:sz w:val="17"/>
              </w:rPr>
              <w:t>Policy</w:t>
            </w:r>
          </w:p>
        </w:tc>
        <w:tc>
          <w:tcPr>
            <w:tcW w:type="dxa" w:w="2527"/>
            <w:shd w:fill="17324D"/>
            <w:tcMar>
              <w:top w:w="115" w:type="dxa"/>
              <w:start w:w="120" w:type="dxa"/>
              <w:bottom w:w="115" w:type="dxa"/>
              <w:end w:w="120" w:type="dxa"/>
            </w:tcMar>
            <w:vAlign w:val="center"/>
          </w:tcPr>
          <w:p>
            <w:pPr>
              <w:spacing w:after="0"/>
              <w:jc w:val="center"/>
            </w:pPr>
            <w:r>
              <w:rPr>
                <w:rFonts w:ascii="Arial" w:hAnsi="Arial"/>
                <w:b/>
                <w:color w:val="FFFFFF"/>
                <w:sz w:val="17"/>
              </w:rPr>
              <w:t>Selection source</w:t>
            </w:r>
          </w:p>
        </w:tc>
        <w:tc>
          <w:tcPr>
            <w:tcW w:type="dxa" w:w="4867"/>
            <w:shd w:fill="17324D"/>
            <w:tcMar>
              <w:top w:w="115" w:type="dxa"/>
              <w:start w:w="120" w:type="dxa"/>
              <w:bottom w:w="115" w:type="dxa"/>
              <w:end w:w="120" w:type="dxa"/>
            </w:tcMar>
            <w:vAlign w:val="center"/>
          </w:tcPr>
          <w:p>
            <w:pPr>
              <w:spacing w:after="0"/>
              <w:jc w:val="center"/>
            </w:pPr>
            <w:r>
              <w:rPr>
                <w:rFonts w:ascii="Arial" w:hAnsi="Arial"/>
                <w:b/>
                <w:color w:val="FFFFFF"/>
                <w:sz w:val="17"/>
              </w:rPr>
              <w:t>Meaning</w:t>
            </w:r>
          </w:p>
        </w:tc>
      </w:tr>
      <w:tr>
        <w:trPr>
          <w:cantSplit/>
        </w:trPr>
        <w:tc>
          <w:tcPr>
            <w:tcW w:type="dxa" w:w="1966"/>
            <w:tcMar>
              <w:top w:w="100" w:type="dxa"/>
              <w:start w:w="120" w:type="dxa"/>
              <w:bottom w:w="100" w:type="dxa"/>
              <w:end w:w="120" w:type="dxa"/>
            </w:tcMar>
            <w:vAlign w:val="center"/>
          </w:tcPr>
          <w:p>
            <w:pPr>
              <w:spacing w:after="0" w:line="252" w:lineRule="auto"/>
              <w:jc w:val="left"/>
            </w:pPr>
            <w:r>
              <w:rPr>
                <w:rFonts w:ascii="Arial" w:hAnsi="Arial"/>
                <w:b/>
                <w:color w:val="17324D"/>
                <w:sz w:val="17"/>
              </w:rPr>
              <w:t>Fixed 0.5</w:t>
            </w:r>
          </w:p>
        </w:tc>
        <w:tc>
          <w:tcPr>
            <w:tcW w:type="dxa" w:w="2527"/>
            <w:tcMar>
              <w:top w:w="100" w:type="dxa"/>
              <w:start w:w="120" w:type="dxa"/>
              <w:bottom w:w="100" w:type="dxa"/>
              <w:end w:w="120" w:type="dxa"/>
            </w:tcMar>
            <w:vAlign w:val="center"/>
          </w:tcPr>
          <w:p>
            <w:pPr>
              <w:spacing w:after="0" w:line="252" w:lineRule="auto"/>
              <w:jc w:val="left"/>
            </w:pPr>
            <w:r>
              <w:rPr>
                <w:rFonts w:ascii="Arial" w:hAnsi="Arial"/>
                <w:sz w:val="17"/>
              </w:rPr>
              <w:t>Predefined</w:t>
            </w:r>
          </w:p>
        </w:tc>
        <w:tc>
          <w:tcPr>
            <w:tcW w:type="dxa" w:w="4867"/>
            <w:tcMar>
              <w:top w:w="100" w:type="dxa"/>
              <w:start w:w="120" w:type="dxa"/>
              <w:bottom w:w="100" w:type="dxa"/>
              <w:end w:w="120" w:type="dxa"/>
            </w:tcMar>
            <w:vAlign w:val="center"/>
          </w:tcPr>
          <w:p>
            <w:pPr>
              <w:spacing w:after="0" w:line="252" w:lineRule="auto"/>
              <w:jc w:val="left"/>
            </w:pPr>
            <w:r>
              <w:rPr>
                <w:rFonts w:ascii="Arial" w:hAnsi="Arial"/>
                <w:sz w:val="17"/>
              </w:rPr>
              <w:t>Conventional reference; can be inappropriate at low prevalence</w:t>
            </w:r>
          </w:p>
        </w:tc>
      </w:tr>
      <w:tr>
        <w:trPr>
          <w:cantSplit/>
        </w:trPr>
        <w:tc>
          <w:tcPr>
            <w:tcW w:type="dxa" w:w="1966"/>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Youden</w:t>
            </w:r>
          </w:p>
        </w:tc>
        <w:tc>
          <w:tcPr>
            <w:tcW w:type="dxa" w:w="2527"/>
            <w:shd w:fill="F3F5F7"/>
            <w:tcMar>
              <w:top w:w="100" w:type="dxa"/>
              <w:start w:w="120" w:type="dxa"/>
              <w:bottom w:w="100" w:type="dxa"/>
              <w:end w:w="120" w:type="dxa"/>
            </w:tcMar>
            <w:vAlign w:val="center"/>
          </w:tcPr>
          <w:p>
            <w:pPr>
              <w:spacing w:after="0" w:line="252" w:lineRule="auto"/>
              <w:jc w:val="left"/>
            </w:pPr>
            <w:r>
              <w:rPr>
                <w:rFonts w:ascii="Arial" w:hAnsi="Arial"/>
                <w:sz w:val="17"/>
              </w:rPr>
              <w:t>Development predictions</w:t>
            </w:r>
          </w:p>
        </w:tc>
        <w:tc>
          <w:tcPr>
            <w:tcW w:type="dxa" w:w="4867"/>
            <w:shd w:fill="F3F5F7"/>
            <w:tcMar>
              <w:top w:w="100" w:type="dxa"/>
              <w:start w:w="120" w:type="dxa"/>
              <w:bottom w:w="100" w:type="dxa"/>
              <w:end w:w="120" w:type="dxa"/>
            </w:tcMar>
            <w:vAlign w:val="center"/>
          </w:tcPr>
          <w:p>
            <w:pPr>
              <w:spacing w:after="0" w:line="252" w:lineRule="auto"/>
              <w:jc w:val="left"/>
            </w:pPr>
            <w:r>
              <w:rPr>
                <w:rFonts w:ascii="Arial" w:hAnsi="Arial"/>
                <w:sz w:val="17"/>
              </w:rPr>
              <w:t>Balances sensitivity and specificity by maximizing their sum minus one</w:t>
            </w:r>
          </w:p>
        </w:tc>
      </w:tr>
      <w:tr>
        <w:trPr>
          <w:cantSplit/>
        </w:trPr>
        <w:tc>
          <w:tcPr>
            <w:tcW w:type="dxa" w:w="1966"/>
            <w:tcMar>
              <w:top w:w="100" w:type="dxa"/>
              <w:start w:w="120" w:type="dxa"/>
              <w:bottom w:w="100" w:type="dxa"/>
              <w:end w:w="120" w:type="dxa"/>
            </w:tcMar>
            <w:vAlign w:val="center"/>
          </w:tcPr>
          <w:p>
            <w:pPr>
              <w:spacing w:after="0" w:line="252" w:lineRule="auto"/>
              <w:jc w:val="left"/>
            </w:pPr>
            <w:r>
              <w:rPr>
                <w:rFonts w:ascii="Arial" w:hAnsi="Arial"/>
                <w:b/>
                <w:color w:val="17324D"/>
                <w:sz w:val="17"/>
              </w:rPr>
              <w:t>Sensitivity constrained</w:t>
            </w:r>
          </w:p>
        </w:tc>
        <w:tc>
          <w:tcPr>
            <w:tcW w:type="dxa" w:w="2527"/>
            <w:tcMar>
              <w:top w:w="100" w:type="dxa"/>
              <w:start w:w="120" w:type="dxa"/>
              <w:bottom w:w="100" w:type="dxa"/>
              <w:end w:w="120" w:type="dxa"/>
            </w:tcMar>
            <w:vAlign w:val="center"/>
          </w:tcPr>
          <w:p>
            <w:pPr>
              <w:spacing w:after="0" w:line="252" w:lineRule="auto"/>
              <w:jc w:val="left"/>
            </w:pPr>
            <w:r>
              <w:rPr>
                <w:rFonts w:ascii="Arial" w:hAnsi="Arial"/>
                <w:sz w:val="17"/>
              </w:rPr>
              <w:t>Development predictions</w:t>
            </w:r>
          </w:p>
        </w:tc>
        <w:tc>
          <w:tcPr>
            <w:tcW w:type="dxa" w:w="4867"/>
            <w:tcMar>
              <w:top w:w="100" w:type="dxa"/>
              <w:start w:w="120" w:type="dxa"/>
              <w:bottom w:w="100" w:type="dxa"/>
              <w:end w:w="120" w:type="dxa"/>
            </w:tcMar>
            <w:vAlign w:val="center"/>
          </w:tcPr>
          <w:p>
            <w:pPr>
              <w:spacing w:after="0" w:line="252" w:lineRule="auto"/>
              <w:jc w:val="left"/>
            </w:pPr>
            <w:r>
              <w:rPr>
                <w:rFonts w:ascii="Arial" w:hAnsi="Arial"/>
                <w:sz w:val="17"/>
              </w:rPr>
              <w:t>Targets at least 80% development sensitivity; outer/test sensitivity may differ</w:t>
            </w:r>
          </w:p>
        </w:tc>
      </w:tr>
    </w:tbl>
    <w:p>
      <w:pPr>
        <w:spacing w:after="20"/>
      </w:pPr>
    </w:p>
    <w:p>
      <w:pPr>
        <w:pStyle w:val="Heading2"/>
      </w:pPr>
      <w:r>
        <w:t>3.6 Metrics and statistical analysis</w:t>
      </w:r>
    </w:p>
    <w:tbl>
      <w:tblPr>
        <w:tblStyle w:val="TableGrid"/>
        <w:tblW w:type="dxa" w:w="9360"/>
        <w:jc w:val="left"/>
        <w:tblLayout w:type="fixed"/>
        <w:tblLook w:firstColumn="1" w:firstRow="1" w:lastColumn="0" w:lastRow="0" w:noHBand="0" w:noVBand="1" w:val="04A0"/>
        <w:tblInd w:w="120" w:type="dxa"/>
      </w:tblPr>
      <w:tblGrid>
        <w:gridCol w:w="1685"/>
        <w:gridCol w:w="3276"/>
        <w:gridCol w:w="4399"/>
      </w:tblGrid>
      <w:tr>
        <w:trPr>
          <w:tblHeader w:val="true"/>
        </w:trPr>
        <w:tc>
          <w:tcPr>
            <w:tcW w:type="dxa" w:w="1685"/>
            <w:shd w:fill="17324D"/>
            <w:tcMar>
              <w:top w:w="115" w:type="dxa"/>
              <w:start w:w="120" w:type="dxa"/>
              <w:bottom w:w="115" w:type="dxa"/>
              <w:end w:w="120" w:type="dxa"/>
            </w:tcMar>
            <w:vAlign w:val="center"/>
          </w:tcPr>
          <w:p>
            <w:pPr>
              <w:spacing w:after="0"/>
              <w:jc w:val="center"/>
            </w:pPr>
            <w:r>
              <w:rPr>
                <w:rFonts w:ascii="Arial" w:hAnsi="Arial"/>
                <w:b/>
                <w:color w:val="FFFFFF"/>
                <w:sz w:val="16"/>
              </w:rPr>
              <w:t>Metric family</w:t>
            </w:r>
          </w:p>
        </w:tc>
        <w:tc>
          <w:tcPr>
            <w:tcW w:type="dxa" w:w="3276"/>
            <w:shd w:fill="17324D"/>
            <w:tcMar>
              <w:top w:w="115" w:type="dxa"/>
              <w:start w:w="120" w:type="dxa"/>
              <w:bottom w:w="115" w:type="dxa"/>
              <w:end w:w="120" w:type="dxa"/>
            </w:tcMar>
            <w:vAlign w:val="center"/>
          </w:tcPr>
          <w:p>
            <w:pPr>
              <w:spacing w:after="0"/>
              <w:jc w:val="center"/>
            </w:pPr>
            <w:r>
              <w:rPr>
                <w:rFonts w:ascii="Arial" w:hAnsi="Arial"/>
                <w:b/>
                <w:color w:val="FFFFFF"/>
                <w:sz w:val="16"/>
              </w:rPr>
              <w:t>Reported measures</w:t>
            </w:r>
          </w:p>
        </w:tc>
        <w:tc>
          <w:tcPr>
            <w:tcW w:type="dxa" w:w="4399"/>
            <w:shd w:fill="17324D"/>
            <w:tcMar>
              <w:top w:w="115" w:type="dxa"/>
              <w:start w:w="120" w:type="dxa"/>
              <w:bottom w:w="115" w:type="dxa"/>
              <w:end w:w="120" w:type="dxa"/>
            </w:tcMar>
            <w:vAlign w:val="center"/>
          </w:tcPr>
          <w:p>
            <w:pPr>
              <w:spacing w:after="0"/>
              <w:jc w:val="center"/>
            </w:pPr>
            <w:r>
              <w:rPr>
                <w:rFonts w:ascii="Arial" w:hAnsi="Arial"/>
                <w:b/>
                <w:color w:val="FFFFFF"/>
                <w:sz w:val="16"/>
              </w:rPr>
              <w:t>Purpose</w:t>
            </w:r>
          </w:p>
        </w:tc>
      </w:tr>
      <w:tr>
        <w:trPr>
          <w:cantSplit/>
        </w:trPr>
        <w:tc>
          <w:tcPr>
            <w:tcW w:type="dxa" w:w="1685"/>
            <w:tcMar>
              <w:top w:w="100" w:type="dxa"/>
              <w:start w:w="120" w:type="dxa"/>
              <w:bottom w:w="100" w:type="dxa"/>
              <w:end w:w="120" w:type="dxa"/>
            </w:tcMar>
            <w:vAlign w:val="center"/>
          </w:tcPr>
          <w:p>
            <w:pPr>
              <w:spacing w:after="0" w:line="252" w:lineRule="auto"/>
              <w:jc w:val="left"/>
            </w:pPr>
            <w:r>
              <w:rPr>
                <w:rFonts w:ascii="Arial" w:hAnsi="Arial"/>
                <w:b/>
                <w:color w:val="17324D"/>
                <w:sz w:val="16"/>
              </w:rPr>
              <w:t>Discrimination</w:t>
            </w:r>
          </w:p>
        </w:tc>
        <w:tc>
          <w:tcPr>
            <w:tcW w:type="dxa" w:w="3276"/>
            <w:tcMar>
              <w:top w:w="100" w:type="dxa"/>
              <w:start w:w="120" w:type="dxa"/>
              <w:bottom w:w="100" w:type="dxa"/>
              <w:end w:w="120" w:type="dxa"/>
            </w:tcMar>
            <w:vAlign w:val="center"/>
          </w:tcPr>
          <w:p>
            <w:pPr>
              <w:spacing w:after="0" w:line="252" w:lineRule="auto"/>
              <w:jc w:val="left"/>
            </w:pPr>
            <w:r>
              <w:rPr>
                <w:rFonts w:ascii="Arial" w:hAnsi="Arial"/>
                <w:sz w:val="16"/>
              </w:rPr>
              <w:t>AUROC, average precision</w:t>
            </w:r>
          </w:p>
        </w:tc>
        <w:tc>
          <w:tcPr>
            <w:tcW w:type="dxa" w:w="4399"/>
            <w:tcMar>
              <w:top w:w="100" w:type="dxa"/>
              <w:start w:w="120" w:type="dxa"/>
              <w:bottom w:w="100" w:type="dxa"/>
              <w:end w:w="120" w:type="dxa"/>
            </w:tcMar>
            <w:vAlign w:val="center"/>
          </w:tcPr>
          <w:p>
            <w:pPr>
              <w:spacing w:after="0" w:line="252" w:lineRule="auto"/>
              <w:jc w:val="left"/>
            </w:pPr>
            <w:r>
              <w:rPr>
                <w:rFonts w:ascii="Arial" w:hAnsi="Arial"/>
                <w:sz w:val="16"/>
              </w:rPr>
              <w:t>Ranking and performance under imbalance</w:t>
            </w:r>
          </w:p>
        </w:tc>
      </w:tr>
      <w:tr>
        <w:trPr>
          <w:cantSplit/>
        </w:trPr>
        <w:tc>
          <w:tcPr>
            <w:tcW w:type="dxa" w:w="1685"/>
            <w:shd w:fill="F3F5F7"/>
            <w:tcMar>
              <w:top w:w="100" w:type="dxa"/>
              <w:start w:w="120" w:type="dxa"/>
              <w:bottom w:w="100" w:type="dxa"/>
              <w:end w:w="120" w:type="dxa"/>
            </w:tcMar>
            <w:vAlign w:val="center"/>
          </w:tcPr>
          <w:p>
            <w:pPr>
              <w:spacing w:after="0" w:line="252" w:lineRule="auto"/>
              <w:jc w:val="left"/>
            </w:pPr>
            <w:r>
              <w:rPr>
                <w:rFonts w:ascii="Arial" w:hAnsi="Arial"/>
                <w:b/>
                <w:color w:val="17324D"/>
                <w:sz w:val="16"/>
              </w:rPr>
              <w:t>Probability quality</w:t>
            </w:r>
          </w:p>
        </w:tc>
        <w:tc>
          <w:tcPr>
            <w:tcW w:type="dxa" w:w="3276"/>
            <w:shd w:fill="F3F5F7"/>
            <w:tcMar>
              <w:top w:w="100" w:type="dxa"/>
              <w:start w:w="120" w:type="dxa"/>
              <w:bottom w:w="100" w:type="dxa"/>
              <w:end w:w="120" w:type="dxa"/>
            </w:tcMar>
            <w:vAlign w:val="center"/>
          </w:tcPr>
          <w:p>
            <w:pPr>
              <w:spacing w:after="0" w:line="252" w:lineRule="auto"/>
              <w:jc w:val="left"/>
            </w:pPr>
            <w:r>
              <w:rPr>
                <w:rFonts w:ascii="Arial" w:hAnsi="Arial"/>
                <w:sz w:val="16"/>
              </w:rPr>
              <w:t>Brier, scaled Brier, log loss</w:t>
            </w:r>
          </w:p>
        </w:tc>
        <w:tc>
          <w:tcPr>
            <w:tcW w:type="dxa" w:w="4399"/>
            <w:shd w:fill="F3F5F7"/>
            <w:tcMar>
              <w:top w:w="100" w:type="dxa"/>
              <w:start w:w="120" w:type="dxa"/>
              <w:bottom w:w="100" w:type="dxa"/>
              <w:end w:w="120" w:type="dxa"/>
            </w:tcMar>
            <w:vAlign w:val="center"/>
          </w:tcPr>
          <w:p>
            <w:pPr>
              <w:spacing w:after="0" w:line="252" w:lineRule="auto"/>
              <w:jc w:val="left"/>
            </w:pPr>
            <w:r>
              <w:rPr>
                <w:rFonts w:ascii="Arial" w:hAnsi="Arial"/>
                <w:sz w:val="16"/>
              </w:rPr>
              <w:t>Accuracy and sharpness of probability estimates</w:t>
            </w:r>
          </w:p>
        </w:tc>
      </w:tr>
      <w:tr>
        <w:trPr>
          <w:cantSplit/>
        </w:trPr>
        <w:tc>
          <w:tcPr>
            <w:tcW w:type="dxa" w:w="1685"/>
            <w:tcMar>
              <w:top w:w="100" w:type="dxa"/>
              <w:start w:w="120" w:type="dxa"/>
              <w:bottom w:w="100" w:type="dxa"/>
              <w:end w:w="120" w:type="dxa"/>
            </w:tcMar>
            <w:vAlign w:val="center"/>
          </w:tcPr>
          <w:p>
            <w:pPr>
              <w:spacing w:after="0" w:line="252" w:lineRule="auto"/>
              <w:jc w:val="left"/>
            </w:pPr>
            <w:r>
              <w:rPr>
                <w:rFonts w:ascii="Arial" w:hAnsi="Arial"/>
                <w:b/>
                <w:color w:val="17324D"/>
                <w:sz w:val="16"/>
              </w:rPr>
              <w:t>Calibration</w:t>
            </w:r>
          </w:p>
        </w:tc>
        <w:tc>
          <w:tcPr>
            <w:tcW w:type="dxa" w:w="3276"/>
            <w:tcMar>
              <w:top w:w="100" w:type="dxa"/>
              <w:start w:w="120" w:type="dxa"/>
              <w:bottom w:w="100" w:type="dxa"/>
              <w:end w:w="120" w:type="dxa"/>
            </w:tcMar>
            <w:vAlign w:val="center"/>
          </w:tcPr>
          <w:p>
            <w:pPr>
              <w:spacing w:after="0" w:line="252" w:lineRule="auto"/>
              <w:jc w:val="left"/>
            </w:pPr>
            <w:r>
              <w:rPr>
                <w:rFonts w:ascii="Arial" w:hAnsi="Arial"/>
                <w:sz w:val="16"/>
              </w:rPr>
              <w:t>Intercept, slope, O:E ratio, ECE</w:t>
            </w:r>
          </w:p>
        </w:tc>
        <w:tc>
          <w:tcPr>
            <w:tcW w:type="dxa" w:w="4399"/>
            <w:tcMar>
              <w:top w:w="100" w:type="dxa"/>
              <w:start w:w="120" w:type="dxa"/>
              <w:bottom w:w="100" w:type="dxa"/>
              <w:end w:w="120" w:type="dxa"/>
            </w:tcMar>
            <w:vAlign w:val="center"/>
          </w:tcPr>
          <w:p>
            <w:pPr>
              <w:spacing w:after="0" w:line="252" w:lineRule="auto"/>
              <w:jc w:val="left"/>
            </w:pPr>
            <w:r>
              <w:rPr>
                <w:rFonts w:ascii="Arial" w:hAnsi="Arial"/>
                <w:sz w:val="16"/>
              </w:rPr>
              <w:t>Agreement between predicted and observed risk</w:t>
            </w:r>
          </w:p>
        </w:tc>
      </w:tr>
      <w:tr>
        <w:trPr>
          <w:cantSplit/>
        </w:trPr>
        <w:tc>
          <w:tcPr>
            <w:tcW w:type="dxa" w:w="1685"/>
            <w:shd w:fill="F3F5F7"/>
            <w:tcMar>
              <w:top w:w="100" w:type="dxa"/>
              <w:start w:w="120" w:type="dxa"/>
              <w:bottom w:w="100" w:type="dxa"/>
              <w:end w:w="120" w:type="dxa"/>
            </w:tcMar>
            <w:vAlign w:val="center"/>
          </w:tcPr>
          <w:p>
            <w:pPr>
              <w:spacing w:after="0" w:line="252" w:lineRule="auto"/>
              <w:jc w:val="left"/>
            </w:pPr>
            <w:r>
              <w:rPr>
                <w:rFonts w:ascii="Arial" w:hAnsi="Arial"/>
                <w:b/>
                <w:color w:val="17324D"/>
                <w:sz w:val="16"/>
              </w:rPr>
              <w:t>Operating point</w:t>
            </w:r>
          </w:p>
        </w:tc>
        <w:tc>
          <w:tcPr>
            <w:tcW w:type="dxa" w:w="3276"/>
            <w:shd w:fill="F3F5F7"/>
            <w:tcMar>
              <w:top w:w="100" w:type="dxa"/>
              <w:start w:w="120" w:type="dxa"/>
              <w:bottom w:w="100" w:type="dxa"/>
              <w:end w:w="120" w:type="dxa"/>
            </w:tcMar>
            <w:vAlign w:val="center"/>
          </w:tcPr>
          <w:p>
            <w:pPr>
              <w:spacing w:after="0" w:line="252" w:lineRule="auto"/>
              <w:jc w:val="left"/>
            </w:pPr>
            <w:r>
              <w:rPr>
                <w:rFonts w:ascii="Arial" w:hAnsi="Arial"/>
                <w:sz w:val="16"/>
              </w:rPr>
              <w:t>Sensitivity, specificity, PPV, NPV, F1, MCC, likelihood ratios, DOR</w:t>
            </w:r>
          </w:p>
        </w:tc>
        <w:tc>
          <w:tcPr>
            <w:tcW w:type="dxa" w:w="4399"/>
            <w:shd w:fill="F3F5F7"/>
            <w:tcMar>
              <w:top w:w="100" w:type="dxa"/>
              <w:start w:w="120" w:type="dxa"/>
              <w:bottom w:w="100" w:type="dxa"/>
              <w:end w:w="120" w:type="dxa"/>
            </w:tcMar>
            <w:vAlign w:val="center"/>
          </w:tcPr>
          <w:p>
            <w:pPr>
              <w:spacing w:after="0" w:line="252" w:lineRule="auto"/>
              <w:jc w:val="left"/>
            </w:pPr>
            <w:r>
              <w:rPr>
                <w:rFonts w:ascii="Arial" w:hAnsi="Arial"/>
                <w:sz w:val="16"/>
              </w:rPr>
              <w:t>Consequences of a selected threshold</w:t>
            </w:r>
          </w:p>
        </w:tc>
      </w:tr>
      <w:tr>
        <w:trPr>
          <w:cantSplit/>
        </w:trPr>
        <w:tc>
          <w:tcPr>
            <w:tcW w:type="dxa" w:w="1685"/>
            <w:tcMar>
              <w:top w:w="100" w:type="dxa"/>
              <w:start w:w="120" w:type="dxa"/>
              <w:bottom w:w="100" w:type="dxa"/>
              <w:end w:w="120" w:type="dxa"/>
            </w:tcMar>
            <w:vAlign w:val="center"/>
          </w:tcPr>
          <w:p>
            <w:pPr>
              <w:spacing w:after="0" w:line="252" w:lineRule="auto"/>
              <w:jc w:val="left"/>
            </w:pPr>
            <w:r>
              <w:rPr>
                <w:rFonts w:ascii="Arial" w:hAnsi="Arial"/>
                <w:b/>
                <w:color w:val="17324D"/>
                <w:sz w:val="16"/>
              </w:rPr>
              <w:t>Clinical utility</w:t>
            </w:r>
          </w:p>
        </w:tc>
        <w:tc>
          <w:tcPr>
            <w:tcW w:type="dxa" w:w="3276"/>
            <w:tcMar>
              <w:top w:w="100" w:type="dxa"/>
              <w:start w:w="120" w:type="dxa"/>
              <w:bottom w:w="100" w:type="dxa"/>
              <w:end w:w="120" w:type="dxa"/>
            </w:tcMar>
            <w:vAlign w:val="center"/>
          </w:tcPr>
          <w:p>
            <w:pPr>
              <w:spacing w:after="0" w:line="252" w:lineRule="auto"/>
              <w:jc w:val="left"/>
            </w:pPr>
            <w:r>
              <w:rPr>
                <w:rFonts w:ascii="Arial" w:hAnsi="Arial"/>
                <w:sz w:val="16"/>
              </w:rPr>
              <w:t>Decision-curve net benefit</w:t>
            </w:r>
          </w:p>
        </w:tc>
        <w:tc>
          <w:tcPr>
            <w:tcW w:type="dxa" w:w="4399"/>
            <w:tcMar>
              <w:top w:w="100" w:type="dxa"/>
              <w:start w:w="120" w:type="dxa"/>
              <w:bottom w:w="100" w:type="dxa"/>
              <w:end w:w="120" w:type="dxa"/>
            </w:tcMar>
            <w:vAlign w:val="center"/>
          </w:tcPr>
          <w:p>
            <w:pPr>
              <w:spacing w:after="0" w:line="252" w:lineRule="auto"/>
              <w:jc w:val="left"/>
            </w:pPr>
            <w:r>
              <w:rPr>
                <w:rFonts w:ascii="Arial" w:hAnsi="Arial"/>
                <w:sz w:val="16"/>
              </w:rPr>
              <w:t>Comparison with treat-all and treat-none strategies</w:t>
            </w:r>
          </w:p>
        </w:tc>
      </w:tr>
      <w:tr>
        <w:trPr>
          <w:cantSplit/>
        </w:trPr>
        <w:tc>
          <w:tcPr>
            <w:tcW w:type="dxa" w:w="1685"/>
            <w:shd w:fill="F3F5F7"/>
            <w:tcMar>
              <w:top w:w="100" w:type="dxa"/>
              <w:start w:w="120" w:type="dxa"/>
              <w:bottom w:w="100" w:type="dxa"/>
              <w:end w:w="120" w:type="dxa"/>
            </w:tcMar>
            <w:vAlign w:val="center"/>
          </w:tcPr>
          <w:p>
            <w:pPr>
              <w:spacing w:after="0" w:line="252" w:lineRule="auto"/>
              <w:jc w:val="left"/>
            </w:pPr>
            <w:r>
              <w:rPr>
                <w:rFonts w:ascii="Arial" w:hAnsi="Arial"/>
                <w:b/>
                <w:color w:val="17324D"/>
                <w:sz w:val="16"/>
              </w:rPr>
              <w:t>Uncertainty</w:t>
            </w:r>
          </w:p>
        </w:tc>
        <w:tc>
          <w:tcPr>
            <w:tcW w:type="dxa" w:w="3276"/>
            <w:shd w:fill="F3F5F7"/>
            <w:tcMar>
              <w:top w:w="100" w:type="dxa"/>
              <w:start w:w="120" w:type="dxa"/>
              <w:bottom w:w="100" w:type="dxa"/>
              <w:end w:w="120" w:type="dxa"/>
            </w:tcMar>
            <w:vAlign w:val="center"/>
          </w:tcPr>
          <w:p>
            <w:pPr>
              <w:spacing w:after="0" w:line="252" w:lineRule="auto"/>
              <w:jc w:val="left"/>
            </w:pPr>
            <w:r>
              <w:rPr>
                <w:rFonts w:ascii="Arial" w:hAnsi="Arial"/>
                <w:sz w:val="16"/>
              </w:rPr>
              <w:t>95% bootstrap CIs; paired comparisons with Holm correction</w:t>
            </w:r>
          </w:p>
        </w:tc>
        <w:tc>
          <w:tcPr>
            <w:tcW w:type="dxa" w:w="4399"/>
            <w:shd w:fill="F3F5F7"/>
            <w:tcMar>
              <w:top w:w="100" w:type="dxa"/>
              <w:start w:w="120" w:type="dxa"/>
              <w:bottom w:w="100" w:type="dxa"/>
              <w:end w:w="120" w:type="dxa"/>
            </w:tcMar>
            <w:vAlign w:val="center"/>
          </w:tcPr>
          <w:p>
            <w:pPr>
              <w:spacing w:after="0" w:line="252" w:lineRule="auto"/>
              <w:jc w:val="left"/>
            </w:pPr>
            <w:r>
              <w:rPr>
                <w:rFonts w:ascii="Arial" w:hAnsi="Arial"/>
                <w:sz w:val="16"/>
              </w:rPr>
              <w:t>Precision and controlled multiple testing</w:t>
            </w:r>
          </w:p>
        </w:tc>
      </w:tr>
    </w:tbl>
    <w:p>
      <w:pPr>
        <w:spacing w:after="20"/>
      </w:pPr>
    </w:p>
    <w:p>
      <w:r>
        <w:br w:type="page"/>
      </w:r>
    </w:p>
    <w:p>
      <w:pPr>
        <w:pStyle w:val="Heading1"/>
      </w:pPr>
      <w:r>
        <w:t>4. Results</w:t>
      </w:r>
    </w:p>
    <w:p>
      <w:pPr>
        <w:shd w:fill="FFF4D9"/>
        <w:keepLines/>
        <w:pBdr>
          <w:left w:val="single" w:sz="20" w:space="8" w:color="D99A2B"/>
        </w:pBdr>
        <w:spacing w:before="100" w:after="160"/>
        <w:ind w:left="173" w:right="115"/>
      </w:pPr>
      <w:r>
        <w:rPr>
          <w:b/>
          <w:color w:val="D99A2B"/>
        </w:rPr>
        <w:t xml:space="preserve">How to read this section  </w:t>
      </w:r>
      <w:r>
        <w:t>PIDD and Sylhet are complete development pilots with 5 outer folds, 5 inner folds, 5 tuning trials per model/fold and 200 bootstrap resamples. BRFSS and Hospital130 are 10,000-development/10,000-test smoke studies with 2 trials and 50 bootstraps. None is the final locked paper run.</w:t>
      </w:r>
    </w:p>
    <w:p>
      <w:pPr>
        <w:pStyle w:val="Heading2"/>
      </w:pPr>
      <w:r>
        <w:t>4.1 PIDD probability performance</w:t>
      </w:r>
    </w:p>
    <w:p>
      <w:r>
        <w:t>The PIDD pilot produced one held-out prediction per patient for each model. CatBoost had the best AUROC, Brier score and log loss, while XGBoost had the best average precision. All five models were close and no paired comparison survived Holm adjustment.</w:t>
      </w:r>
    </w:p>
    <w:tbl>
      <w:tblPr>
        <w:tblStyle w:val="TableGrid"/>
        <w:tblW w:type="dxa" w:w="9360"/>
        <w:jc w:val="left"/>
        <w:tblLayout w:type="fixed"/>
        <w:tblLook w:firstColumn="1" w:firstRow="1" w:lastColumn="0" w:lastRow="0" w:noHBand="0" w:noVBand="1" w:val="04A0"/>
        <w:tblInd w:w="120" w:type="dxa"/>
      </w:tblPr>
      <w:tblGrid>
        <w:gridCol w:w="1685"/>
        <w:gridCol w:w="1919"/>
        <w:gridCol w:w="1919"/>
        <w:gridCol w:w="1919"/>
        <w:gridCol w:w="1918"/>
      </w:tblGrid>
      <w:tr>
        <w:trPr>
          <w:tblHeader w:val="true"/>
        </w:trPr>
        <w:tc>
          <w:tcPr>
            <w:tcW w:type="dxa" w:w="1685"/>
            <w:shd w:fill="17324D"/>
            <w:tcMar>
              <w:top w:w="115" w:type="dxa"/>
              <w:start w:w="120" w:type="dxa"/>
              <w:bottom w:w="115" w:type="dxa"/>
              <w:end w:w="120" w:type="dxa"/>
            </w:tcMar>
            <w:vAlign w:val="center"/>
          </w:tcPr>
          <w:p>
            <w:pPr>
              <w:spacing w:after="0"/>
              <w:jc w:val="center"/>
            </w:pPr>
            <w:r>
              <w:rPr>
                <w:rFonts w:ascii="Arial" w:hAnsi="Arial"/>
                <w:b/>
                <w:color w:val="FFFFFF"/>
                <w:sz w:val="14"/>
              </w:rPr>
              <w:t>Model</w:t>
            </w:r>
          </w:p>
        </w:tc>
        <w:tc>
          <w:tcPr>
            <w:tcW w:type="dxa" w:w="1919"/>
            <w:shd w:fill="17324D"/>
            <w:tcMar>
              <w:top w:w="115" w:type="dxa"/>
              <w:start w:w="120" w:type="dxa"/>
              <w:bottom w:w="115" w:type="dxa"/>
              <w:end w:w="120" w:type="dxa"/>
            </w:tcMar>
            <w:vAlign w:val="center"/>
          </w:tcPr>
          <w:p>
            <w:pPr>
              <w:spacing w:after="0"/>
              <w:jc w:val="center"/>
            </w:pPr>
            <w:r>
              <w:rPr>
                <w:rFonts w:ascii="Arial" w:hAnsi="Arial"/>
                <w:b/>
                <w:color w:val="FFFFFF"/>
                <w:sz w:val="14"/>
              </w:rPr>
              <w:t>AUROC (95% CI)</w:t>
            </w:r>
          </w:p>
        </w:tc>
        <w:tc>
          <w:tcPr>
            <w:tcW w:type="dxa" w:w="1919"/>
            <w:shd w:fill="17324D"/>
            <w:tcMar>
              <w:top w:w="115" w:type="dxa"/>
              <w:start w:w="120" w:type="dxa"/>
              <w:bottom w:w="115" w:type="dxa"/>
              <w:end w:w="120" w:type="dxa"/>
            </w:tcMar>
            <w:vAlign w:val="center"/>
          </w:tcPr>
          <w:p>
            <w:pPr>
              <w:spacing w:after="0"/>
              <w:jc w:val="center"/>
            </w:pPr>
            <w:r>
              <w:rPr>
                <w:rFonts w:ascii="Arial" w:hAnsi="Arial"/>
                <w:b/>
                <w:color w:val="FFFFFF"/>
                <w:sz w:val="14"/>
              </w:rPr>
              <w:t>Average precision (95% CI)</w:t>
            </w:r>
          </w:p>
        </w:tc>
        <w:tc>
          <w:tcPr>
            <w:tcW w:type="dxa" w:w="1919"/>
            <w:shd w:fill="17324D"/>
            <w:tcMar>
              <w:top w:w="115" w:type="dxa"/>
              <w:start w:w="120" w:type="dxa"/>
              <w:bottom w:w="115" w:type="dxa"/>
              <w:end w:w="120" w:type="dxa"/>
            </w:tcMar>
            <w:vAlign w:val="center"/>
          </w:tcPr>
          <w:p>
            <w:pPr>
              <w:spacing w:after="0"/>
              <w:jc w:val="center"/>
            </w:pPr>
            <w:r>
              <w:rPr>
                <w:rFonts w:ascii="Arial" w:hAnsi="Arial"/>
                <w:b/>
                <w:color w:val="FFFFFF"/>
                <w:sz w:val="14"/>
              </w:rPr>
              <w:t>Brier (95% CI)</w:t>
            </w:r>
          </w:p>
        </w:tc>
        <w:tc>
          <w:tcPr>
            <w:tcW w:type="dxa" w:w="1918"/>
            <w:shd w:fill="17324D"/>
            <w:tcMar>
              <w:top w:w="115" w:type="dxa"/>
              <w:start w:w="120" w:type="dxa"/>
              <w:bottom w:w="115" w:type="dxa"/>
              <w:end w:w="120" w:type="dxa"/>
            </w:tcMar>
            <w:vAlign w:val="center"/>
          </w:tcPr>
          <w:p>
            <w:pPr>
              <w:spacing w:after="0"/>
              <w:jc w:val="center"/>
            </w:pPr>
            <w:r>
              <w:rPr>
                <w:rFonts w:ascii="Arial" w:hAnsi="Arial"/>
                <w:b/>
                <w:color w:val="FFFFFF"/>
                <w:sz w:val="14"/>
              </w:rPr>
              <w:t>Log loss (95% CI)</w:t>
            </w:r>
          </w:p>
        </w:tc>
      </w:tr>
      <w:tr>
        <w:trPr>
          <w:cantSplit/>
        </w:trPr>
        <w:tc>
          <w:tcPr>
            <w:tcW w:type="dxa" w:w="1685"/>
            <w:tcMar>
              <w:top w:w="100" w:type="dxa"/>
              <w:start w:w="120" w:type="dxa"/>
              <w:bottom w:w="100" w:type="dxa"/>
              <w:end w:w="120" w:type="dxa"/>
            </w:tcMar>
            <w:vAlign w:val="center"/>
          </w:tcPr>
          <w:p>
            <w:pPr>
              <w:spacing w:after="0" w:line="252" w:lineRule="auto"/>
              <w:jc w:val="left"/>
            </w:pPr>
            <w:r>
              <w:rPr>
                <w:rFonts w:ascii="Arial" w:hAnsi="Arial"/>
                <w:b/>
                <w:color w:val="17324D"/>
                <w:sz w:val="14"/>
              </w:rPr>
              <w:t>CatBoost</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0.8394 [0.8113–0.8626]</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0.7097 [0.6586–0.7622]</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0.1540 [0.1425–0.1671]</w:t>
            </w:r>
          </w:p>
        </w:tc>
        <w:tc>
          <w:tcPr>
            <w:tcW w:type="dxa" w:w="1918"/>
            <w:tcMar>
              <w:top w:w="100" w:type="dxa"/>
              <w:start w:w="120" w:type="dxa"/>
              <w:bottom w:w="100" w:type="dxa"/>
              <w:end w:w="120" w:type="dxa"/>
            </w:tcMar>
            <w:vAlign w:val="center"/>
          </w:tcPr>
          <w:p>
            <w:pPr>
              <w:spacing w:after="0" w:line="252" w:lineRule="auto"/>
              <w:jc w:val="center"/>
            </w:pPr>
            <w:r>
              <w:rPr>
                <w:rFonts w:ascii="Arial" w:hAnsi="Arial"/>
                <w:sz w:val="14"/>
              </w:rPr>
              <w:t>0.4688 [0.4402–0.5021]</w:t>
            </w:r>
          </w:p>
        </w:tc>
      </w:tr>
      <w:tr>
        <w:trPr>
          <w:cantSplit/>
        </w:trPr>
        <w:tc>
          <w:tcPr>
            <w:tcW w:type="dxa" w:w="1685"/>
            <w:shd w:fill="F3F5F7"/>
            <w:tcMar>
              <w:top w:w="100" w:type="dxa"/>
              <w:start w:w="120" w:type="dxa"/>
              <w:bottom w:w="100" w:type="dxa"/>
              <w:end w:w="120" w:type="dxa"/>
            </w:tcMar>
            <w:vAlign w:val="center"/>
          </w:tcPr>
          <w:p>
            <w:pPr>
              <w:spacing w:after="0" w:line="252" w:lineRule="auto"/>
              <w:jc w:val="left"/>
            </w:pPr>
            <w:r>
              <w:rPr>
                <w:rFonts w:ascii="Arial" w:hAnsi="Arial"/>
                <w:b/>
                <w:color w:val="17324D"/>
                <w:sz w:val="14"/>
              </w:rPr>
              <w:t>XGBoost</w:t>
            </w:r>
          </w:p>
        </w:tc>
        <w:tc>
          <w:tcPr>
            <w:tcW w:type="dxa" w:w="1919"/>
            <w:shd w:fill="F3F5F7"/>
            <w:tcMar>
              <w:top w:w="100" w:type="dxa"/>
              <w:start w:w="120" w:type="dxa"/>
              <w:bottom w:w="100" w:type="dxa"/>
              <w:end w:w="120" w:type="dxa"/>
            </w:tcMar>
            <w:vAlign w:val="center"/>
          </w:tcPr>
          <w:p>
            <w:pPr>
              <w:spacing w:after="0" w:line="252" w:lineRule="auto"/>
              <w:jc w:val="center"/>
            </w:pPr>
            <w:r>
              <w:rPr>
                <w:rFonts w:ascii="Arial" w:hAnsi="Arial"/>
                <w:sz w:val="14"/>
              </w:rPr>
              <w:t>0.8376 [0.8089–0.8667]</w:t>
            </w:r>
          </w:p>
        </w:tc>
        <w:tc>
          <w:tcPr>
            <w:tcW w:type="dxa" w:w="1919"/>
            <w:shd w:fill="F3F5F7"/>
            <w:tcMar>
              <w:top w:w="100" w:type="dxa"/>
              <w:start w:w="120" w:type="dxa"/>
              <w:bottom w:w="100" w:type="dxa"/>
              <w:end w:w="120" w:type="dxa"/>
            </w:tcMar>
            <w:vAlign w:val="center"/>
          </w:tcPr>
          <w:p>
            <w:pPr>
              <w:spacing w:after="0" w:line="252" w:lineRule="auto"/>
              <w:jc w:val="center"/>
            </w:pPr>
            <w:r>
              <w:rPr>
                <w:rFonts w:ascii="Arial" w:hAnsi="Arial"/>
                <w:sz w:val="14"/>
              </w:rPr>
              <w:t>0.7158 [0.6638–0.7698]</w:t>
            </w:r>
          </w:p>
        </w:tc>
        <w:tc>
          <w:tcPr>
            <w:tcW w:type="dxa" w:w="1919"/>
            <w:shd w:fill="F3F5F7"/>
            <w:tcMar>
              <w:top w:w="100" w:type="dxa"/>
              <w:start w:w="120" w:type="dxa"/>
              <w:bottom w:w="100" w:type="dxa"/>
              <w:end w:w="120" w:type="dxa"/>
            </w:tcMar>
            <w:vAlign w:val="center"/>
          </w:tcPr>
          <w:p>
            <w:pPr>
              <w:spacing w:after="0" w:line="252" w:lineRule="auto"/>
              <w:jc w:val="center"/>
            </w:pPr>
            <w:r>
              <w:rPr>
                <w:rFonts w:ascii="Arial" w:hAnsi="Arial"/>
                <w:sz w:val="14"/>
              </w:rPr>
              <w:t>0.1547 [0.1413–0.1680]</w:t>
            </w:r>
          </w:p>
        </w:tc>
        <w:tc>
          <w:tcPr>
            <w:tcW w:type="dxa" w:w="1918"/>
            <w:shd w:fill="F3F5F7"/>
            <w:tcMar>
              <w:top w:w="100" w:type="dxa"/>
              <w:start w:w="120" w:type="dxa"/>
              <w:bottom w:w="100" w:type="dxa"/>
              <w:end w:w="120" w:type="dxa"/>
            </w:tcMar>
            <w:vAlign w:val="center"/>
          </w:tcPr>
          <w:p>
            <w:pPr>
              <w:spacing w:after="0" w:line="252" w:lineRule="auto"/>
              <w:jc w:val="center"/>
            </w:pPr>
            <w:r>
              <w:rPr>
                <w:rFonts w:ascii="Arial" w:hAnsi="Arial"/>
                <w:sz w:val="14"/>
              </w:rPr>
              <w:t>0.4692 [0.4335–0.5036]</w:t>
            </w:r>
          </w:p>
        </w:tc>
      </w:tr>
      <w:tr>
        <w:trPr>
          <w:cantSplit/>
        </w:trPr>
        <w:tc>
          <w:tcPr>
            <w:tcW w:type="dxa" w:w="1685"/>
            <w:tcMar>
              <w:top w:w="100" w:type="dxa"/>
              <w:start w:w="120" w:type="dxa"/>
              <w:bottom w:w="100" w:type="dxa"/>
              <w:end w:w="120" w:type="dxa"/>
            </w:tcMar>
            <w:vAlign w:val="center"/>
          </w:tcPr>
          <w:p>
            <w:pPr>
              <w:spacing w:after="0" w:line="252" w:lineRule="auto"/>
              <w:jc w:val="left"/>
            </w:pPr>
            <w:r>
              <w:rPr>
                <w:rFonts w:ascii="Arial" w:hAnsi="Arial"/>
                <w:b/>
                <w:color w:val="17324D"/>
                <w:sz w:val="14"/>
              </w:rPr>
              <w:t>Random Forest</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0.8360 [0.8099–0.8660]</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0.6989 [0.6583–0.7495]</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0.1557 [0.1422–0.1672]</w:t>
            </w:r>
          </w:p>
        </w:tc>
        <w:tc>
          <w:tcPr>
            <w:tcW w:type="dxa" w:w="1918"/>
            <w:tcMar>
              <w:top w:w="100" w:type="dxa"/>
              <w:start w:w="120" w:type="dxa"/>
              <w:bottom w:w="100" w:type="dxa"/>
              <w:end w:w="120" w:type="dxa"/>
            </w:tcMar>
            <w:vAlign w:val="center"/>
          </w:tcPr>
          <w:p>
            <w:pPr>
              <w:spacing w:after="0" w:line="252" w:lineRule="auto"/>
              <w:jc w:val="center"/>
            </w:pPr>
            <w:r>
              <w:rPr>
                <w:rFonts w:ascii="Arial" w:hAnsi="Arial"/>
                <w:sz w:val="14"/>
              </w:rPr>
              <w:t>0.4735 [0.4396–0.5076]</w:t>
            </w:r>
          </w:p>
        </w:tc>
      </w:tr>
      <w:tr>
        <w:trPr>
          <w:cantSplit/>
        </w:trPr>
        <w:tc>
          <w:tcPr>
            <w:tcW w:type="dxa" w:w="1685"/>
            <w:shd w:fill="F3F5F7"/>
            <w:tcMar>
              <w:top w:w="100" w:type="dxa"/>
              <w:start w:w="120" w:type="dxa"/>
              <w:bottom w:w="100" w:type="dxa"/>
              <w:end w:w="120" w:type="dxa"/>
            </w:tcMar>
            <w:vAlign w:val="center"/>
          </w:tcPr>
          <w:p>
            <w:pPr>
              <w:spacing w:after="0" w:line="252" w:lineRule="auto"/>
              <w:jc w:val="left"/>
            </w:pPr>
            <w:r>
              <w:rPr>
                <w:rFonts w:ascii="Arial" w:hAnsi="Arial"/>
                <w:b/>
                <w:color w:val="17324D"/>
                <w:sz w:val="14"/>
              </w:rPr>
              <w:t>LightGBM</w:t>
            </w:r>
          </w:p>
        </w:tc>
        <w:tc>
          <w:tcPr>
            <w:tcW w:type="dxa" w:w="1919"/>
            <w:shd w:fill="F3F5F7"/>
            <w:tcMar>
              <w:top w:w="100" w:type="dxa"/>
              <w:start w:w="120" w:type="dxa"/>
              <w:bottom w:w="100" w:type="dxa"/>
              <w:end w:w="120" w:type="dxa"/>
            </w:tcMar>
            <w:vAlign w:val="center"/>
          </w:tcPr>
          <w:p>
            <w:pPr>
              <w:spacing w:after="0" w:line="252" w:lineRule="auto"/>
              <w:jc w:val="center"/>
            </w:pPr>
            <w:r>
              <w:rPr>
                <w:rFonts w:ascii="Arial" w:hAnsi="Arial"/>
                <w:sz w:val="14"/>
              </w:rPr>
              <w:t>0.8353 [0.8079–0.8625]</w:t>
            </w:r>
          </w:p>
        </w:tc>
        <w:tc>
          <w:tcPr>
            <w:tcW w:type="dxa" w:w="1919"/>
            <w:shd w:fill="F3F5F7"/>
            <w:tcMar>
              <w:top w:w="100" w:type="dxa"/>
              <w:start w:w="120" w:type="dxa"/>
              <w:bottom w:w="100" w:type="dxa"/>
              <w:end w:w="120" w:type="dxa"/>
            </w:tcMar>
            <w:vAlign w:val="center"/>
          </w:tcPr>
          <w:p>
            <w:pPr>
              <w:spacing w:after="0" w:line="252" w:lineRule="auto"/>
              <w:jc w:val="center"/>
            </w:pPr>
            <w:r>
              <w:rPr>
                <w:rFonts w:ascii="Arial" w:hAnsi="Arial"/>
                <w:sz w:val="14"/>
              </w:rPr>
              <w:t>0.7074 [0.6510–0.7605]</w:t>
            </w:r>
          </w:p>
        </w:tc>
        <w:tc>
          <w:tcPr>
            <w:tcW w:type="dxa" w:w="1919"/>
            <w:shd w:fill="F3F5F7"/>
            <w:tcMar>
              <w:top w:w="100" w:type="dxa"/>
              <w:start w:w="120" w:type="dxa"/>
              <w:bottom w:w="100" w:type="dxa"/>
              <w:end w:w="120" w:type="dxa"/>
            </w:tcMar>
            <w:vAlign w:val="center"/>
          </w:tcPr>
          <w:p>
            <w:pPr>
              <w:spacing w:after="0" w:line="252" w:lineRule="auto"/>
              <w:jc w:val="center"/>
            </w:pPr>
            <w:r>
              <w:rPr>
                <w:rFonts w:ascii="Arial" w:hAnsi="Arial"/>
                <w:sz w:val="14"/>
              </w:rPr>
              <w:t>0.1553 [0.1423–0.1682]</w:t>
            </w:r>
          </w:p>
        </w:tc>
        <w:tc>
          <w:tcPr>
            <w:tcW w:type="dxa" w:w="1918"/>
            <w:shd w:fill="F3F5F7"/>
            <w:tcMar>
              <w:top w:w="100" w:type="dxa"/>
              <w:start w:w="120" w:type="dxa"/>
              <w:bottom w:w="100" w:type="dxa"/>
              <w:end w:w="120" w:type="dxa"/>
            </w:tcMar>
            <w:vAlign w:val="center"/>
          </w:tcPr>
          <w:p>
            <w:pPr>
              <w:spacing w:after="0" w:line="252" w:lineRule="auto"/>
              <w:jc w:val="center"/>
            </w:pPr>
            <w:r>
              <w:rPr>
                <w:rFonts w:ascii="Arial" w:hAnsi="Arial"/>
                <w:sz w:val="14"/>
              </w:rPr>
              <w:t>0.4718 [0.4396–0.5058]</w:t>
            </w:r>
          </w:p>
        </w:tc>
      </w:tr>
      <w:tr>
        <w:trPr>
          <w:cantSplit/>
        </w:trPr>
        <w:tc>
          <w:tcPr>
            <w:tcW w:type="dxa" w:w="1685"/>
            <w:tcMar>
              <w:top w:w="100" w:type="dxa"/>
              <w:start w:w="120" w:type="dxa"/>
              <w:bottom w:w="100" w:type="dxa"/>
              <w:end w:w="120" w:type="dxa"/>
            </w:tcMar>
            <w:vAlign w:val="center"/>
          </w:tcPr>
          <w:p>
            <w:pPr>
              <w:spacing w:after="0" w:line="252" w:lineRule="auto"/>
              <w:jc w:val="left"/>
            </w:pPr>
            <w:r>
              <w:rPr>
                <w:rFonts w:ascii="Arial" w:hAnsi="Arial"/>
                <w:b/>
                <w:color w:val="17324D"/>
                <w:sz w:val="14"/>
              </w:rPr>
              <w:t>Logistic Regression</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0.8352 [0.8084–0.8626]</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0.7093 [0.6626–0.7667]</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0.1563 [0.1427–0.1682]</w:t>
            </w:r>
          </w:p>
        </w:tc>
        <w:tc>
          <w:tcPr>
            <w:tcW w:type="dxa" w:w="1918"/>
            <w:tcMar>
              <w:top w:w="100" w:type="dxa"/>
              <w:start w:w="120" w:type="dxa"/>
              <w:bottom w:w="100" w:type="dxa"/>
              <w:end w:w="120" w:type="dxa"/>
            </w:tcMar>
            <w:vAlign w:val="center"/>
          </w:tcPr>
          <w:p>
            <w:pPr>
              <w:spacing w:after="0" w:line="252" w:lineRule="auto"/>
              <w:jc w:val="center"/>
            </w:pPr>
            <w:r>
              <w:rPr>
                <w:rFonts w:ascii="Arial" w:hAnsi="Arial"/>
                <w:sz w:val="14"/>
              </w:rPr>
              <w:t>0.4775 [0.4428–0.5074]</w:t>
            </w:r>
          </w:p>
        </w:tc>
      </w:tr>
    </w:tbl>
    <w:p>
      <w:pPr>
        <w:spacing w:after="20"/>
      </w:pPr>
    </w:p>
    <w:p>
      <w:pPr>
        <w:keepNext/>
        <w:jc w:val="center"/>
      </w:pPr>
      <w:r>
        <w:drawing>
          <wp:inline xmlns:a="http://schemas.openxmlformats.org/drawingml/2006/main" xmlns:pic="http://schemas.openxmlformats.org/drawingml/2006/picture">
            <wp:extent cx="5669280" cy="4586418"/>
            <wp:docPr id="2" name="Picture 2" descr="Figure 2. PIDD pooled held-out ROC curves across five outer folds."/>
            <wp:cNvGraphicFramePr>
              <a:graphicFrameLocks noChangeAspect="1"/>
            </wp:cNvGraphicFramePr>
            <a:graphic>
              <a:graphicData uri="http://schemas.openxmlformats.org/drawingml/2006/picture">
                <pic:pic>
                  <pic:nvPicPr>
                    <pic:cNvPr id="0" name="roc_curves.png"/>
                    <pic:cNvPicPr/>
                  </pic:nvPicPr>
                  <pic:blipFill>
                    <a:blip r:embed="rId12"/>
                    <a:stretch>
                      <a:fillRect/>
                    </a:stretch>
                  </pic:blipFill>
                  <pic:spPr>
                    <a:xfrm>
                      <a:off x="0" y="0"/>
                      <a:ext cx="5669280" cy="4586418"/>
                    </a:xfrm>
                    <a:prstGeom prst="rect"/>
                  </pic:spPr>
                </pic:pic>
              </a:graphicData>
            </a:graphic>
          </wp:inline>
        </w:drawing>
      </w:r>
    </w:p>
    <w:p>
      <w:pPr>
        <w:pStyle w:val="CaptionCustom"/>
        <w:jc w:val="center"/>
      </w:pPr>
      <w:r>
        <w:t>Figure 2. PIDD pooled held-out ROC curves across five outer folds.</w:t>
      </w:r>
    </w:p>
    <w:p>
      <w:pPr>
        <w:pStyle w:val="Heading3"/>
      </w:pPr>
      <w:r>
        <w:t>PIDD sensitivity-constrained policy</w:t>
      </w:r>
    </w:p>
    <w:p>
      <w:r>
        <w:t>At the fixed 0.5 threshold, sensitivity was only 0.575–0.619 while specificity was 0.850–0.876. The development-selected 80%-sensitivity policy lowered the mean threshold to approximately 0.29–0.34 and provided the following held-out behavior:</w:t>
      </w:r>
    </w:p>
    <w:tbl>
      <w:tblPr>
        <w:tblStyle w:val="TableGrid"/>
        <w:tblW w:type="dxa" w:w="9360"/>
        <w:jc w:val="left"/>
        <w:tblLayout w:type="fixed"/>
        <w:tblLook w:firstColumn="1" w:firstRow="1" w:lastColumn="0" w:lastRow="0" w:noHBand="0" w:noVBand="1" w:val="04A0"/>
        <w:tblInd w:w="120" w:type="dxa"/>
      </w:tblPr>
      <w:tblGrid>
        <w:gridCol w:w="1591"/>
        <w:gridCol w:w="1498"/>
        <w:gridCol w:w="1685"/>
        <w:gridCol w:w="1685"/>
        <w:gridCol w:w="936"/>
        <w:gridCol w:w="936"/>
        <w:gridCol w:w="1029"/>
      </w:tblGrid>
      <w:tr>
        <w:trPr>
          <w:tblHeader w:val="true"/>
        </w:trPr>
        <w:tc>
          <w:tcPr>
            <w:tcW w:type="dxa" w:w="1591"/>
            <w:shd w:fill="17324D"/>
            <w:tcMar>
              <w:top w:w="115" w:type="dxa"/>
              <w:start w:w="120" w:type="dxa"/>
              <w:bottom w:w="115" w:type="dxa"/>
              <w:end w:w="120" w:type="dxa"/>
            </w:tcMar>
            <w:vAlign w:val="center"/>
          </w:tcPr>
          <w:p>
            <w:pPr>
              <w:spacing w:after="0"/>
              <w:jc w:val="center"/>
            </w:pPr>
            <w:r>
              <w:rPr>
                <w:rFonts w:ascii="Arial" w:hAnsi="Arial"/>
                <w:b/>
                <w:color w:val="FFFFFF"/>
                <w:sz w:val="14"/>
              </w:rPr>
              <w:t>Model</w:t>
            </w:r>
          </w:p>
        </w:tc>
        <w:tc>
          <w:tcPr>
            <w:tcW w:type="dxa" w:w="1498"/>
            <w:shd w:fill="17324D"/>
            <w:tcMar>
              <w:top w:w="115" w:type="dxa"/>
              <w:start w:w="120" w:type="dxa"/>
              <w:bottom w:w="115" w:type="dxa"/>
              <w:end w:w="120" w:type="dxa"/>
            </w:tcMar>
            <w:vAlign w:val="center"/>
          </w:tcPr>
          <w:p>
            <w:pPr>
              <w:spacing w:after="0"/>
              <w:jc w:val="center"/>
            </w:pPr>
            <w:r>
              <w:rPr>
                <w:rFonts w:ascii="Arial" w:hAnsi="Arial"/>
                <w:b/>
                <w:color w:val="FFFFFF"/>
                <w:sz w:val="14"/>
              </w:rPr>
              <w:t>Mean threshold [range]</w:t>
            </w:r>
          </w:p>
        </w:tc>
        <w:tc>
          <w:tcPr>
            <w:tcW w:type="dxa" w:w="1685"/>
            <w:shd w:fill="17324D"/>
            <w:tcMar>
              <w:top w:w="115" w:type="dxa"/>
              <w:start w:w="120" w:type="dxa"/>
              <w:bottom w:w="115" w:type="dxa"/>
              <w:end w:w="120" w:type="dxa"/>
            </w:tcMar>
            <w:vAlign w:val="center"/>
          </w:tcPr>
          <w:p>
            <w:pPr>
              <w:spacing w:after="0"/>
              <w:jc w:val="center"/>
            </w:pPr>
            <w:r>
              <w:rPr>
                <w:rFonts w:ascii="Arial" w:hAnsi="Arial"/>
                <w:b/>
                <w:color w:val="FFFFFF"/>
                <w:sz w:val="14"/>
              </w:rPr>
              <w:t>Sensitivity (95% CI)</w:t>
            </w:r>
          </w:p>
        </w:tc>
        <w:tc>
          <w:tcPr>
            <w:tcW w:type="dxa" w:w="1685"/>
            <w:shd w:fill="17324D"/>
            <w:tcMar>
              <w:top w:w="115" w:type="dxa"/>
              <w:start w:w="120" w:type="dxa"/>
              <w:bottom w:w="115" w:type="dxa"/>
              <w:end w:w="120" w:type="dxa"/>
            </w:tcMar>
            <w:vAlign w:val="center"/>
          </w:tcPr>
          <w:p>
            <w:pPr>
              <w:spacing w:after="0"/>
              <w:jc w:val="center"/>
            </w:pPr>
            <w:r>
              <w:rPr>
                <w:rFonts w:ascii="Arial" w:hAnsi="Arial"/>
                <w:b/>
                <w:color w:val="FFFFFF"/>
                <w:sz w:val="14"/>
              </w:rPr>
              <w:t>Specificity (95% CI)</w:t>
            </w:r>
          </w:p>
        </w:tc>
        <w:tc>
          <w:tcPr>
            <w:tcW w:type="dxa" w:w="936"/>
            <w:shd w:fill="17324D"/>
            <w:tcMar>
              <w:top w:w="115" w:type="dxa"/>
              <w:start w:w="120" w:type="dxa"/>
              <w:bottom w:w="115" w:type="dxa"/>
              <w:end w:w="120" w:type="dxa"/>
            </w:tcMar>
            <w:vAlign w:val="center"/>
          </w:tcPr>
          <w:p>
            <w:pPr>
              <w:spacing w:after="0"/>
              <w:jc w:val="center"/>
            </w:pPr>
            <w:r>
              <w:rPr>
                <w:rFonts w:ascii="Arial" w:hAnsi="Arial"/>
                <w:b/>
                <w:color w:val="FFFFFF"/>
                <w:sz w:val="14"/>
              </w:rPr>
              <w:t>PPV</w:t>
            </w:r>
          </w:p>
        </w:tc>
        <w:tc>
          <w:tcPr>
            <w:tcW w:type="dxa" w:w="936"/>
            <w:shd w:fill="17324D"/>
            <w:tcMar>
              <w:top w:w="115" w:type="dxa"/>
              <w:start w:w="120" w:type="dxa"/>
              <w:bottom w:w="115" w:type="dxa"/>
              <w:end w:w="120" w:type="dxa"/>
            </w:tcMar>
            <w:vAlign w:val="center"/>
          </w:tcPr>
          <w:p>
            <w:pPr>
              <w:spacing w:after="0"/>
              <w:jc w:val="center"/>
            </w:pPr>
            <w:r>
              <w:rPr>
                <w:rFonts w:ascii="Arial" w:hAnsi="Arial"/>
                <w:b/>
                <w:color w:val="FFFFFF"/>
                <w:sz w:val="14"/>
              </w:rPr>
              <w:t>NPV</w:t>
            </w:r>
          </w:p>
        </w:tc>
        <w:tc>
          <w:tcPr>
            <w:tcW w:type="dxa" w:w="1029"/>
            <w:shd w:fill="17324D"/>
            <w:tcMar>
              <w:top w:w="115" w:type="dxa"/>
              <w:start w:w="120" w:type="dxa"/>
              <w:bottom w:w="115" w:type="dxa"/>
              <w:end w:w="120" w:type="dxa"/>
            </w:tcMar>
            <w:vAlign w:val="center"/>
          </w:tcPr>
          <w:p>
            <w:pPr>
              <w:spacing w:after="0"/>
              <w:jc w:val="center"/>
            </w:pPr>
            <w:r>
              <w:rPr>
                <w:rFonts w:ascii="Arial" w:hAnsi="Arial"/>
                <w:b/>
                <w:color w:val="FFFFFF"/>
                <w:sz w:val="14"/>
              </w:rPr>
              <w:t>F1</w:t>
            </w:r>
          </w:p>
        </w:tc>
      </w:tr>
      <w:tr>
        <w:trPr>
          <w:cantSplit/>
        </w:trPr>
        <w:tc>
          <w:tcPr>
            <w:tcW w:type="dxa" w:w="1591"/>
            <w:tcMar>
              <w:top w:w="100" w:type="dxa"/>
              <w:start w:w="120" w:type="dxa"/>
              <w:bottom w:w="100" w:type="dxa"/>
              <w:end w:w="120" w:type="dxa"/>
            </w:tcMar>
            <w:vAlign w:val="center"/>
          </w:tcPr>
          <w:p>
            <w:pPr>
              <w:spacing w:after="0" w:line="252" w:lineRule="auto"/>
              <w:jc w:val="left"/>
            </w:pPr>
            <w:r>
              <w:rPr>
                <w:rFonts w:ascii="Arial" w:hAnsi="Arial"/>
                <w:b/>
                <w:color w:val="17324D"/>
                <w:sz w:val="14"/>
              </w:rPr>
              <w:t>XGBoost</w:t>
            </w:r>
          </w:p>
        </w:tc>
        <w:tc>
          <w:tcPr>
            <w:tcW w:type="dxa" w:w="1498"/>
            <w:tcMar>
              <w:top w:w="100" w:type="dxa"/>
              <w:start w:w="120" w:type="dxa"/>
              <w:bottom w:w="100" w:type="dxa"/>
              <w:end w:w="120" w:type="dxa"/>
            </w:tcMar>
            <w:vAlign w:val="center"/>
          </w:tcPr>
          <w:p>
            <w:pPr>
              <w:spacing w:after="0" w:line="252" w:lineRule="auto"/>
              <w:jc w:val="center"/>
            </w:pPr>
            <w:r>
              <w:rPr>
                <w:rFonts w:ascii="Arial" w:hAnsi="Arial"/>
                <w:sz w:val="14"/>
              </w:rPr>
              <w:t>0.317 [0.290–0.369]</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4"/>
              </w:rPr>
              <w:t>0.813 [0.769–0.855]</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4"/>
              </w:rPr>
              <w:t>0.710 [0.670–0.746]</w:t>
            </w:r>
          </w:p>
        </w:tc>
        <w:tc>
          <w:tcPr>
            <w:tcW w:type="dxa" w:w="936"/>
            <w:tcMar>
              <w:top w:w="100" w:type="dxa"/>
              <w:start w:w="120" w:type="dxa"/>
              <w:bottom w:w="100" w:type="dxa"/>
              <w:end w:w="120" w:type="dxa"/>
            </w:tcMar>
            <w:vAlign w:val="center"/>
          </w:tcPr>
          <w:p>
            <w:pPr>
              <w:spacing w:after="0" w:line="252" w:lineRule="auto"/>
              <w:jc w:val="center"/>
            </w:pPr>
            <w:r>
              <w:rPr>
                <w:rFonts w:ascii="Arial" w:hAnsi="Arial"/>
                <w:sz w:val="14"/>
              </w:rPr>
              <w:t>0.601</w:t>
            </w:r>
          </w:p>
        </w:tc>
        <w:tc>
          <w:tcPr>
            <w:tcW w:type="dxa" w:w="936"/>
            <w:tcMar>
              <w:top w:w="100" w:type="dxa"/>
              <w:start w:w="120" w:type="dxa"/>
              <w:bottom w:w="100" w:type="dxa"/>
              <w:end w:w="120" w:type="dxa"/>
            </w:tcMar>
            <w:vAlign w:val="center"/>
          </w:tcPr>
          <w:p>
            <w:pPr>
              <w:spacing w:after="0" w:line="252" w:lineRule="auto"/>
              <w:jc w:val="center"/>
            </w:pPr>
            <w:r>
              <w:rPr>
                <w:rFonts w:ascii="Arial" w:hAnsi="Arial"/>
                <w:sz w:val="14"/>
              </w:rPr>
              <w:t>0.877</w:t>
            </w:r>
          </w:p>
        </w:tc>
        <w:tc>
          <w:tcPr>
            <w:tcW w:type="dxa" w:w="1029"/>
            <w:tcMar>
              <w:top w:w="100" w:type="dxa"/>
              <w:start w:w="120" w:type="dxa"/>
              <w:bottom w:w="100" w:type="dxa"/>
              <w:end w:w="120" w:type="dxa"/>
            </w:tcMar>
            <w:vAlign w:val="center"/>
          </w:tcPr>
          <w:p>
            <w:pPr>
              <w:spacing w:after="0" w:line="252" w:lineRule="auto"/>
              <w:jc w:val="center"/>
            </w:pPr>
            <w:r>
              <w:rPr>
                <w:rFonts w:ascii="Arial" w:hAnsi="Arial"/>
                <w:sz w:val="14"/>
              </w:rPr>
              <w:t>0.691</w:t>
            </w:r>
          </w:p>
        </w:tc>
      </w:tr>
      <w:tr>
        <w:trPr>
          <w:cantSplit/>
        </w:trPr>
        <w:tc>
          <w:tcPr>
            <w:tcW w:type="dxa" w:w="1591"/>
            <w:shd w:fill="F3F5F7"/>
            <w:tcMar>
              <w:top w:w="100" w:type="dxa"/>
              <w:start w:w="120" w:type="dxa"/>
              <w:bottom w:w="100" w:type="dxa"/>
              <w:end w:w="120" w:type="dxa"/>
            </w:tcMar>
            <w:vAlign w:val="center"/>
          </w:tcPr>
          <w:p>
            <w:pPr>
              <w:spacing w:after="0" w:line="252" w:lineRule="auto"/>
              <w:jc w:val="left"/>
            </w:pPr>
            <w:r>
              <w:rPr>
                <w:rFonts w:ascii="Arial" w:hAnsi="Arial"/>
                <w:b/>
                <w:color w:val="17324D"/>
                <w:sz w:val="14"/>
              </w:rPr>
              <w:t>CatBoost</w:t>
            </w:r>
          </w:p>
        </w:tc>
        <w:tc>
          <w:tcPr>
            <w:tcW w:type="dxa" w:w="1498"/>
            <w:shd w:fill="F3F5F7"/>
            <w:tcMar>
              <w:top w:w="100" w:type="dxa"/>
              <w:start w:w="120" w:type="dxa"/>
              <w:bottom w:w="100" w:type="dxa"/>
              <w:end w:w="120" w:type="dxa"/>
            </w:tcMar>
            <w:vAlign w:val="center"/>
          </w:tcPr>
          <w:p>
            <w:pPr>
              <w:spacing w:after="0" w:line="252" w:lineRule="auto"/>
              <w:jc w:val="center"/>
            </w:pPr>
            <w:r>
              <w:rPr>
                <w:rFonts w:ascii="Arial" w:hAnsi="Arial"/>
                <w:sz w:val="14"/>
              </w:rPr>
              <w:t>0.318 [0.304–0.344]</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4"/>
              </w:rPr>
              <w:t>0.817 [0.772–0.858]</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4"/>
              </w:rPr>
              <w:t>0.700 [0.660–0.748]</w:t>
            </w:r>
          </w:p>
        </w:tc>
        <w:tc>
          <w:tcPr>
            <w:tcW w:type="dxa" w:w="936"/>
            <w:shd w:fill="F3F5F7"/>
            <w:tcMar>
              <w:top w:w="100" w:type="dxa"/>
              <w:start w:w="120" w:type="dxa"/>
              <w:bottom w:w="100" w:type="dxa"/>
              <w:end w:w="120" w:type="dxa"/>
            </w:tcMar>
            <w:vAlign w:val="center"/>
          </w:tcPr>
          <w:p>
            <w:pPr>
              <w:spacing w:after="0" w:line="252" w:lineRule="auto"/>
              <w:jc w:val="center"/>
            </w:pPr>
            <w:r>
              <w:rPr>
                <w:rFonts w:ascii="Arial" w:hAnsi="Arial"/>
                <w:sz w:val="14"/>
              </w:rPr>
              <w:t>0.594</w:t>
            </w:r>
          </w:p>
        </w:tc>
        <w:tc>
          <w:tcPr>
            <w:tcW w:type="dxa" w:w="936"/>
            <w:shd w:fill="F3F5F7"/>
            <w:tcMar>
              <w:top w:w="100" w:type="dxa"/>
              <w:start w:w="120" w:type="dxa"/>
              <w:bottom w:w="100" w:type="dxa"/>
              <w:end w:w="120" w:type="dxa"/>
            </w:tcMar>
            <w:vAlign w:val="center"/>
          </w:tcPr>
          <w:p>
            <w:pPr>
              <w:spacing w:after="0" w:line="252" w:lineRule="auto"/>
              <w:jc w:val="center"/>
            </w:pPr>
            <w:r>
              <w:rPr>
                <w:rFonts w:ascii="Arial" w:hAnsi="Arial"/>
                <w:sz w:val="14"/>
              </w:rPr>
              <w:t>0.877</w:t>
            </w:r>
          </w:p>
        </w:tc>
        <w:tc>
          <w:tcPr>
            <w:tcW w:type="dxa" w:w="1029"/>
            <w:shd w:fill="F3F5F7"/>
            <w:tcMar>
              <w:top w:w="100" w:type="dxa"/>
              <w:start w:w="120" w:type="dxa"/>
              <w:bottom w:w="100" w:type="dxa"/>
              <w:end w:w="120" w:type="dxa"/>
            </w:tcMar>
            <w:vAlign w:val="center"/>
          </w:tcPr>
          <w:p>
            <w:pPr>
              <w:spacing w:after="0" w:line="252" w:lineRule="auto"/>
              <w:jc w:val="center"/>
            </w:pPr>
            <w:r>
              <w:rPr>
                <w:rFonts w:ascii="Arial" w:hAnsi="Arial"/>
                <w:sz w:val="14"/>
              </w:rPr>
              <w:t>0.688</w:t>
            </w:r>
          </w:p>
        </w:tc>
      </w:tr>
      <w:tr>
        <w:trPr>
          <w:cantSplit/>
        </w:trPr>
        <w:tc>
          <w:tcPr>
            <w:tcW w:type="dxa" w:w="1591"/>
            <w:tcMar>
              <w:top w:w="100" w:type="dxa"/>
              <w:start w:w="120" w:type="dxa"/>
              <w:bottom w:w="100" w:type="dxa"/>
              <w:end w:w="120" w:type="dxa"/>
            </w:tcMar>
            <w:vAlign w:val="center"/>
          </w:tcPr>
          <w:p>
            <w:pPr>
              <w:spacing w:after="0" w:line="252" w:lineRule="auto"/>
              <w:jc w:val="left"/>
            </w:pPr>
            <w:r>
              <w:rPr>
                <w:rFonts w:ascii="Arial" w:hAnsi="Arial"/>
                <w:b/>
                <w:color w:val="17324D"/>
                <w:sz w:val="14"/>
              </w:rPr>
              <w:t>LightGBM</w:t>
            </w:r>
          </w:p>
        </w:tc>
        <w:tc>
          <w:tcPr>
            <w:tcW w:type="dxa" w:w="1498"/>
            <w:tcMar>
              <w:top w:w="100" w:type="dxa"/>
              <w:start w:w="120" w:type="dxa"/>
              <w:bottom w:w="100" w:type="dxa"/>
              <w:end w:w="120" w:type="dxa"/>
            </w:tcMar>
            <w:vAlign w:val="center"/>
          </w:tcPr>
          <w:p>
            <w:pPr>
              <w:spacing w:after="0" w:line="252" w:lineRule="auto"/>
              <w:jc w:val="center"/>
            </w:pPr>
            <w:r>
              <w:rPr>
                <w:rFonts w:ascii="Arial" w:hAnsi="Arial"/>
                <w:sz w:val="14"/>
              </w:rPr>
              <w:t>0.315 [0.295–0.347]</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4"/>
              </w:rPr>
              <w:t>0.806 [0.754–0.851]</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4"/>
              </w:rPr>
              <w:t>0.710 [0.668–0.746]</w:t>
            </w:r>
          </w:p>
        </w:tc>
        <w:tc>
          <w:tcPr>
            <w:tcW w:type="dxa" w:w="936"/>
            <w:tcMar>
              <w:top w:w="100" w:type="dxa"/>
              <w:start w:w="120" w:type="dxa"/>
              <w:bottom w:w="100" w:type="dxa"/>
              <w:end w:w="120" w:type="dxa"/>
            </w:tcMar>
            <w:vAlign w:val="center"/>
          </w:tcPr>
          <w:p>
            <w:pPr>
              <w:spacing w:after="0" w:line="252" w:lineRule="auto"/>
              <w:jc w:val="center"/>
            </w:pPr>
            <w:r>
              <w:rPr>
                <w:rFonts w:ascii="Arial" w:hAnsi="Arial"/>
                <w:sz w:val="14"/>
              </w:rPr>
              <w:t>0.598</w:t>
            </w:r>
          </w:p>
        </w:tc>
        <w:tc>
          <w:tcPr>
            <w:tcW w:type="dxa" w:w="936"/>
            <w:tcMar>
              <w:top w:w="100" w:type="dxa"/>
              <w:start w:w="120" w:type="dxa"/>
              <w:bottom w:w="100" w:type="dxa"/>
              <w:end w:w="120" w:type="dxa"/>
            </w:tcMar>
            <w:vAlign w:val="center"/>
          </w:tcPr>
          <w:p>
            <w:pPr>
              <w:spacing w:after="0" w:line="252" w:lineRule="auto"/>
              <w:jc w:val="center"/>
            </w:pPr>
            <w:r>
              <w:rPr>
                <w:rFonts w:ascii="Arial" w:hAnsi="Arial"/>
                <w:sz w:val="14"/>
              </w:rPr>
              <w:t>0.872</w:t>
            </w:r>
          </w:p>
        </w:tc>
        <w:tc>
          <w:tcPr>
            <w:tcW w:type="dxa" w:w="1029"/>
            <w:tcMar>
              <w:top w:w="100" w:type="dxa"/>
              <w:start w:w="120" w:type="dxa"/>
              <w:bottom w:w="100" w:type="dxa"/>
              <w:end w:w="120" w:type="dxa"/>
            </w:tcMar>
            <w:vAlign w:val="center"/>
          </w:tcPr>
          <w:p>
            <w:pPr>
              <w:spacing w:after="0" w:line="252" w:lineRule="auto"/>
              <w:jc w:val="center"/>
            </w:pPr>
            <w:r>
              <w:rPr>
                <w:rFonts w:ascii="Arial" w:hAnsi="Arial"/>
                <w:sz w:val="14"/>
              </w:rPr>
              <w:t>0.687</w:t>
            </w:r>
          </w:p>
        </w:tc>
      </w:tr>
      <w:tr>
        <w:trPr>
          <w:cantSplit/>
        </w:trPr>
        <w:tc>
          <w:tcPr>
            <w:tcW w:type="dxa" w:w="1591"/>
            <w:shd w:fill="F3F5F7"/>
            <w:tcMar>
              <w:top w:w="100" w:type="dxa"/>
              <w:start w:w="120" w:type="dxa"/>
              <w:bottom w:w="100" w:type="dxa"/>
              <w:end w:w="120" w:type="dxa"/>
            </w:tcMar>
            <w:vAlign w:val="center"/>
          </w:tcPr>
          <w:p>
            <w:pPr>
              <w:spacing w:after="0" w:line="252" w:lineRule="auto"/>
              <w:jc w:val="left"/>
            </w:pPr>
            <w:r>
              <w:rPr>
                <w:rFonts w:ascii="Arial" w:hAnsi="Arial"/>
                <w:b/>
                <w:color w:val="17324D"/>
                <w:sz w:val="14"/>
              </w:rPr>
              <w:t>Random Forest</w:t>
            </w:r>
          </w:p>
        </w:tc>
        <w:tc>
          <w:tcPr>
            <w:tcW w:type="dxa" w:w="1498"/>
            <w:shd w:fill="F3F5F7"/>
            <w:tcMar>
              <w:top w:w="100" w:type="dxa"/>
              <w:start w:w="120" w:type="dxa"/>
              <w:bottom w:w="100" w:type="dxa"/>
              <w:end w:w="120" w:type="dxa"/>
            </w:tcMar>
            <w:vAlign w:val="center"/>
          </w:tcPr>
          <w:p>
            <w:pPr>
              <w:spacing w:after="0" w:line="252" w:lineRule="auto"/>
              <w:jc w:val="center"/>
            </w:pPr>
            <w:r>
              <w:rPr>
                <w:rFonts w:ascii="Arial" w:hAnsi="Arial"/>
                <w:sz w:val="14"/>
              </w:rPr>
              <w:t>0.336 [0.312–0.381]</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4"/>
              </w:rPr>
              <w:t>0.806 [0.765–0.855]</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4"/>
              </w:rPr>
              <w:t>0.708 [0.666–0.750]</w:t>
            </w:r>
          </w:p>
        </w:tc>
        <w:tc>
          <w:tcPr>
            <w:tcW w:type="dxa" w:w="936"/>
            <w:shd w:fill="F3F5F7"/>
            <w:tcMar>
              <w:top w:w="100" w:type="dxa"/>
              <w:start w:w="120" w:type="dxa"/>
              <w:bottom w:w="100" w:type="dxa"/>
              <w:end w:w="120" w:type="dxa"/>
            </w:tcMar>
            <w:vAlign w:val="center"/>
          </w:tcPr>
          <w:p>
            <w:pPr>
              <w:spacing w:after="0" w:line="252" w:lineRule="auto"/>
              <w:jc w:val="center"/>
            </w:pPr>
            <w:r>
              <w:rPr>
                <w:rFonts w:ascii="Arial" w:hAnsi="Arial"/>
                <w:sz w:val="14"/>
              </w:rPr>
              <w:t>0.597</w:t>
            </w:r>
          </w:p>
        </w:tc>
        <w:tc>
          <w:tcPr>
            <w:tcW w:type="dxa" w:w="936"/>
            <w:shd w:fill="F3F5F7"/>
            <w:tcMar>
              <w:top w:w="100" w:type="dxa"/>
              <w:start w:w="120" w:type="dxa"/>
              <w:bottom w:w="100" w:type="dxa"/>
              <w:end w:w="120" w:type="dxa"/>
            </w:tcMar>
            <w:vAlign w:val="center"/>
          </w:tcPr>
          <w:p>
            <w:pPr>
              <w:spacing w:after="0" w:line="252" w:lineRule="auto"/>
              <w:jc w:val="center"/>
            </w:pPr>
            <w:r>
              <w:rPr>
                <w:rFonts w:ascii="Arial" w:hAnsi="Arial"/>
                <w:sz w:val="14"/>
              </w:rPr>
              <w:t>0.872</w:t>
            </w:r>
          </w:p>
        </w:tc>
        <w:tc>
          <w:tcPr>
            <w:tcW w:type="dxa" w:w="1029"/>
            <w:shd w:fill="F3F5F7"/>
            <w:tcMar>
              <w:top w:w="100" w:type="dxa"/>
              <w:start w:w="120" w:type="dxa"/>
              <w:bottom w:w="100" w:type="dxa"/>
              <w:end w:w="120" w:type="dxa"/>
            </w:tcMar>
            <w:vAlign w:val="center"/>
          </w:tcPr>
          <w:p>
            <w:pPr>
              <w:spacing w:after="0" w:line="252" w:lineRule="auto"/>
              <w:jc w:val="center"/>
            </w:pPr>
            <w:r>
              <w:rPr>
                <w:rFonts w:ascii="Arial" w:hAnsi="Arial"/>
                <w:sz w:val="14"/>
              </w:rPr>
              <w:t>0.686</w:t>
            </w:r>
          </w:p>
        </w:tc>
      </w:tr>
      <w:tr>
        <w:trPr>
          <w:cantSplit/>
        </w:trPr>
        <w:tc>
          <w:tcPr>
            <w:tcW w:type="dxa" w:w="1591"/>
            <w:tcMar>
              <w:top w:w="100" w:type="dxa"/>
              <w:start w:w="120" w:type="dxa"/>
              <w:bottom w:w="100" w:type="dxa"/>
              <w:end w:w="120" w:type="dxa"/>
            </w:tcMar>
            <w:vAlign w:val="center"/>
          </w:tcPr>
          <w:p>
            <w:pPr>
              <w:spacing w:after="0" w:line="252" w:lineRule="auto"/>
              <w:jc w:val="left"/>
            </w:pPr>
            <w:r>
              <w:rPr>
                <w:rFonts w:ascii="Arial" w:hAnsi="Arial"/>
                <w:b/>
                <w:color w:val="17324D"/>
                <w:sz w:val="14"/>
              </w:rPr>
              <w:t>Logistic Regression</w:t>
            </w:r>
          </w:p>
        </w:tc>
        <w:tc>
          <w:tcPr>
            <w:tcW w:type="dxa" w:w="1498"/>
            <w:tcMar>
              <w:top w:w="100" w:type="dxa"/>
              <w:start w:w="120" w:type="dxa"/>
              <w:bottom w:w="100" w:type="dxa"/>
              <w:end w:w="120" w:type="dxa"/>
            </w:tcMar>
            <w:vAlign w:val="center"/>
          </w:tcPr>
          <w:p>
            <w:pPr>
              <w:spacing w:after="0" w:line="252" w:lineRule="auto"/>
              <w:jc w:val="center"/>
            </w:pPr>
            <w:r>
              <w:rPr>
                <w:rFonts w:ascii="Arial" w:hAnsi="Arial"/>
                <w:sz w:val="14"/>
              </w:rPr>
              <w:t>0.295 [0.273–0.339]</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4"/>
              </w:rPr>
              <w:t>0.802 [0.765–0.847]</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4"/>
              </w:rPr>
              <w:t>0.686 [0.652–0.726]</w:t>
            </w:r>
          </w:p>
        </w:tc>
        <w:tc>
          <w:tcPr>
            <w:tcW w:type="dxa" w:w="936"/>
            <w:tcMar>
              <w:top w:w="100" w:type="dxa"/>
              <w:start w:w="120" w:type="dxa"/>
              <w:bottom w:w="100" w:type="dxa"/>
              <w:end w:w="120" w:type="dxa"/>
            </w:tcMar>
            <w:vAlign w:val="center"/>
          </w:tcPr>
          <w:p>
            <w:pPr>
              <w:spacing w:after="0" w:line="252" w:lineRule="auto"/>
              <w:jc w:val="center"/>
            </w:pPr>
            <w:r>
              <w:rPr>
                <w:rFonts w:ascii="Arial" w:hAnsi="Arial"/>
                <w:sz w:val="14"/>
              </w:rPr>
              <w:t>0.578</w:t>
            </w:r>
          </w:p>
        </w:tc>
        <w:tc>
          <w:tcPr>
            <w:tcW w:type="dxa" w:w="936"/>
            <w:tcMar>
              <w:top w:w="100" w:type="dxa"/>
              <w:start w:w="120" w:type="dxa"/>
              <w:bottom w:w="100" w:type="dxa"/>
              <w:end w:w="120" w:type="dxa"/>
            </w:tcMar>
            <w:vAlign w:val="center"/>
          </w:tcPr>
          <w:p>
            <w:pPr>
              <w:spacing w:after="0" w:line="252" w:lineRule="auto"/>
              <w:jc w:val="center"/>
            </w:pPr>
            <w:r>
              <w:rPr>
                <w:rFonts w:ascii="Arial" w:hAnsi="Arial"/>
                <w:sz w:val="14"/>
              </w:rPr>
              <w:t>0.866</w:t>
            </w:r>
          </w:p>
        </w:tc>
        <w:tc>
          <w:tcPr>
            <w:tcW w:type="dxa" w:w="1029"/>
            <w:tcMar>
              <w:top w:w="100" w:type="dxa"/>
              <w:start w:w="120" w:type="dxa"/>
              <w:bottom w:w="100" w:type="dxa"/>
              <w:end w:w="120" w:type="dxa"/>
            </w:tcMar>
            <w:vAlign w:val="center"/>
          </w:tcPr>
          <w:p>
            <w:pPr>
              <w:spacing w:after="0" w:line="252" w:lineRule="auto"/>
              <w:jc w:val="center"/>
            </w:pPr>
            <w:r>
              <w:rPr>
                <w:rFonts w:ascii="Arial" w:hAnsi="Arial"/>
                <w:sz w:val="14"/>
              </w:rPr>
              <w:t>0.672</w:t>
            </w:r>
          </w:p>
        </w:tc>
      </w:tr>
    </w:tbl>
    <w:p>
      <w:pPr>
        <w:spacing w:after="20"/>
      </w:pPr>
    </w:p>
    <w:p>
      <w:pPr>
        <w:pStyle w:val="Heading3"/>
      </w:pPr>
      <w:r>
        <w:t>PIDD calibration behavior</w:t>
      </w:r>
    </w:p>
    <w:p>
      <w:r>
        <w:t>Across five folds, identity versus sigmoid selection varied by model: Logistic Regression 2/3, Random Forest 1/4, XGBoost 3/2, LightGBM 2/3 and CatBoost 3/2. This supports selecting calibration per development fold rather than forcing one method. Isotonic was correctly ineligible because the calibration sample was below 1,000.</w:t>
      </w:r>
    </w:p>
    <w:p>
      <w:r>
        <w:br w:type="page"/>
      </w:r>
    </w:p>
    <w:p>
      <w:pPr>
        <w:pStyle w:val="Heading2"/>
      </w:pPr>
      <w:r>
        <w:t>4.2 PIDD feature-availability routing</w:t>
      </w:r>
    </w:p>
    <w:p>
      <w:r>
        <w:t>Six predeclared panels tested how predictions behave when measurements are unavailable. Each fold selected a model from inner masked predictions only. The largest result is that removal of insulin and skin thickness caused almost no degradation, while the absence of glucose caused a substantial decline.</w:t>
      </w:r>
    </w:p>
    <w:tbl>
      <w:tblPr>
        <w:tblStyle w:val="TableGrid"/>
        <w:tblW w:type="dxa" w:w="9360"/>
        <w:jc w:val="left"/>
        <w:tblLayout w:type="fixed"/>
        <w:tblLook w:firstColumn="1" w:firstRow="1" w:lastColumn="0" w:lastRow="0" w:noHBand="0" w:noVBand="1" w:val="04A0"/>
        <w:tblInd w:w="120" w:type="dxa"/>
      </w:tblPr>
      <w:tblGrid>
        <w:gridCol w:w="1685"/>
        <w:gridCol w:w="749"/>
        <w:gridCol w:w="1778"/>
        <w:gridCol w:w="1778"/>
        <w:gridCol w:w="1778"/>
        <w:gridCol w:w="1592"/>
      </w:tblGrid>
      <w:tr>
        <w:trPr>
          <w:tblHeader w:val="true"/>
        </w:trPr>
        <w:tc>
          <w:tcPr>
            <w:tcW w:type="dxa" w:w="1685"/>
            <w:shd w:fill="17324D"/>
            <w:tcMar>
              <w:top w:w="115" w:type="dxa"/>
              <w:start w:w="120" w:type="dxa"/>
              <w:bottom w:w="115" w:type="dxa"/>
              <w:end w:w="120" w:type="dxa"/>
            </w:tcMar>
            <w:vAlign w:val="center"/>
          </w:tcPr>
          <w:p>
            <w:pPr>
              <w:spacing w:after="0"/>
              <w:jc w:val="center"/>
            </w:pPr>
            <w:r>
              <w:rPr>
                <w:rFonts w:ascii="Arial" w:hAnsi="Arial"/>
                <w:b/>
                <w:color w:val="FFFFFF"/>
                <w:sz w:val="14"/>
              </w:rPr>
              <w:t>Available panel</w:t>
            </w:r>
          </w:p>
        </w:tc>
        <w:tc>
          <w:tcPr>
            <w:tcW w:type="dxa" w:w="749"/>
            <w:shd w:fill="17324D"/>
            <w:tcMar>
              <w:top w:w="115" w:type="dxa"/>
              <w:start w:w="120" w:type="dxa"/>
              <w:bottom w:w="115" w:type="dxa"/>
              <w:end w:w="120" w:type="dxa"/>
            </w:tcMar>
            <w:vAlign w:val="center"/>
          </w:tcPr>
          <w:p>
            <w:pPr>
              <w:spacing w:after="0"/>
              <w:jc w:val="center"/>
            </w:pPr>
            <w:r>
              <w:rPr>
                <w:rFonts w:ascii="Arial" w:hAnsi="Arial"/>
                <w:b/>
                <w:color w:val="FFFFFF"/>
                <w:sz w:val="14"/>
              </w:rPr>
              <w:t>Features</w:t>
            </w:r>
          </w:p>
        </w:tc>
        <w:tc>
          <w:tcPr>
            <w:tcW w:type="dxa" w:w="1778"/>
            <w:shd w:fill="17324D"/>
            <w:tcMar>
              <w:top w:w="115" w:type="dxa"/>
              <w:start w:w="120" w:type="dxa"/>
              <w:bottom w:w="115" w:type="dxa"/>
              <w:end w:w="120" w:type="dxa"/>
            </w:tcMar>
            <w:vAlign w:val="center"/>
          </w:tcPr>
          <w:p>
            <w:pPr>
              <w:spacing w:after="0"/>
              <w:jc w:val="center"/>
            </w:pPr>
            <w:r>
              <w:rPr>
                <w:rFonts w:ascii="Arial" w:hAnsi="Arial"/>
                <w:b/>
                <w:color w:val="FFFFFF"/>
                <w:sz w:val="14"/>
              </w:rPr>
              <w:t>AUROC (95% CI)</w:t>
            </w:r>
          </w:p>
        </w:tc>
        <w:tc>
          <w:tcPr>
            <w:tcW w:type="dxa" w:w="1778"/>
            <w:shd w:fill="17324D"/>
            <w:tcMar>
              <w:top w:w="115" w:type="dxa"/>
              <w:start w:w="120" w:type="dxa"/>
              <w:bottom w:w="115" w:type="dxa"/>
              <w:end w:w="120" w:type="dxa"/>
            </w:tcMar>
            <w:vAlign w:val="center"/>
          </w:tcPr>
          <w:p>
            <w:pPr>
              <w:spacing w:after="0"/>
              <w:jc w:val="center"/>
            </w:pPr>
            <w:r>
              <w:rPr>
                <w:rFonts w:ascii="Arial" w:hAnsi="Arial"/>
                <w:b/>
                <w:color w:val="FFFFFF"/>
                <w:sz w:val="14"/>
              </w:rPr>
              <w:t>AP (95% CI)</w:t>
            </w:r>
          </w:p>
        </w:tc>
        <w:tc>
          <w:tcPr>
            <w:tcW w:type="dxa" w:w="1778"/>
            <w:shd w:fill="17324D"/>
            <w:tcMar>
              <w:top w:w="115" w:type="dxa"/>
              <w:start w:w="120" w:type="dxa"/>
              <w:bottom w:w="115" w:type="dxa"/>
              <w:end w:w="120" w:type="dxa"/>
            </w:tcMar>
            <w:vAlign w:val="center"/>
          </w:tcPr>
          <w:p>
            <w:pPr>
              <w:spacing w:after="0"/>
              <w:jc w:val="center"/>
            </w:pPr>
            <w:r>
              <w:rPr>
                <w:rFonts w:ascii="Arial" w:hAnsi="Arial"/>
                <w:b/>
                <w:color w:val="FFFFFF"/>
                <w:sz w:val="14"/>
              </w:rPr>
              <w:t>Brier (95% CI)</w:t>
            </w:r>
          </w:p>
        </w:tc>
        <w:tc>
          <w:tcPr>
            <w:tcW w:type="dxa" w:w="1592"/>
            <w:shd w:fill="17324D"/>
            <w:tcMar>
              <w:top w:w="115" w:type="dxa"/>
              <w:start w:w="120" w:type="dxa"/>
              <w:bottom w:w="115" w:type="dxa"/>
              <w:end w:w="120" w:type="dxa"/>
            </w:tcMar>
            <w:vAlign w:val="center"/>
          </w:tcPr>
          <w:p>
            <w:pPr>
              <w:spacing w:after="0"/>
              <w:jc w:val="center"/>
            </w:pPr>
            <w:r>
              <w:rPr>
                <w:rFonts w:ascii="Arial" w:hAnsi="Arial"/>
                <w:b/>
                <w:color w:val="FFFFFF"/>
                <w:sz w:val="14"/>
              </w:rPr>
              <w:t>Log loss</w:t>
            </w:r>
          </w:p>
        </w:tc>
      </w:tr>
      <w:tr>
        <w:trPr>
          <w:cantSplit/>
        </w:trPr>
        <w:tc>
          <w:tcPr>
            <w:tcW w:type="dxa" w:w="1685"/>
            <w:tcMar>
              <w:top w:w="100" w:type="dxa"/>
              <w:start w:w="120" w:type="dxa"/>
              <w:bottom w:w="100" w:type="dxa"/>
              <w:end w:w="120" w:type="dxa"/>
            </w:tcMar>
            <w:vAlign w:val="center"/>
          </w:tcPr>
          <w:p>
            <w:pPr>
              <w:spacing w:after="0" w:line="252" w:lineRule="auto"/>
              <w:jc w:val="left"/>
            </w:pPr>
            <w:r>
              <w:rPr>
                <w:rFonts w:ascii="Arial" w:hAnsi="Arial"/>
                <w:b/>
                <w:color w:val="17324D"/>
                <w:sz w:val="14"/>
              </w:rPr>
              <w:t>Full</w:t>
            </w:r>
          </w:p>
        </w:tc>
        <w:tc>
          <w:tcPr>
            <w:tcW w:type="dxa" w:w="749"/>
            <w:tcMar>
              <w:top w:w="100" w:type="dxa"/>
              <w:start w:w="120" w:type="dxa"/>
              <w:bottom w:w="100" w:type="dxa"/>
              <w:end w:w="120" w:type="dxa"/>
            </w:tcMar>
            <w:vAlign w:val="center"/>
          </w:tcPr>
          <w:p>
            <w:pPr>
              <w:spacing w:after="0" w:line="252" w:lineRule="auto"/>
              <w:jc w:val="center"/>
            </w:pPr>
            <w:r>
              <w:rPr>
                <w:rFonts w:ascii="Arial" w:hAnsi="Arial"/>
                <w:sz w:val="14"/>
              </w:rPr>
              <w:t>8</w:t>
            </w:r>
          </w:p>
        </w:tc>
        <w:tc>
          <w:tcPr>
            <w:tcW w:type="dxa" w:w="1778"/>
            <w:tcMar>
              <w:top w:w="100" w:type="dxa"/>
              <w:start w:w="120" w:type="dxa"/>
              <w:bottom w:w="100" w:type="dxa"/>
              <w:end w:w="120" w:type="dxa"/>
            </w:tcMar>
            <w:vAlign w:val="center"/>
          </w:tcPr>
          <w:p>
            <w:pPr>
              <w:spacing w:after="0" w:line="252" w:lineRule="auto"/>
              <w:jc w:val="center"/>
            </w:pPr>
            <w:r>
              <w:rPr>
                <w:rFonts w:ascii="Arial" w:hAnsi="Arial"/>
                <w:sz w:val="14"/>
              </w:rPr>
              <w:t>0.8394 [0.8088–0.8675]</w:t>
            </w:r>
          </w:p>
        </w:tc>
        <w:tc>
          <w:tcPr>
            <w:tcW w:type="dxa" w:w="1778"/>
            <w:tcMar>
              <w:top w:w="100" w:type="dxa"/>
              <w:start w:w="120" w:type="dxa"/>
              <w:bottom w:w="100" w:type="dxa"/>
              <w:end w:w="120" w:type="dxa"/>
            </w:tcMar>
            <w:vAlign w:val="center"/>
          </w:tcPr>
          <w:p>
            <w:pPr>
              <w:spacing w:after="0" w:line="252" w:lineRule="auto"/>
              <w:jc w:val="center"/>
            </w:pPr>
            <w:r>
              <w:rPr>
                <w:rFonts w:ascii="Arial" w:hAnsi="Arial"/>
                <w:sz w:val="14"/>
              </w:rPr>
              <w:t>0.7068 [0.6522–0.7663]</w:t>
            </w:r>
          </w:p>
        </w:tc>
        <w:tc>
          <w:tcPr>
            <w:tcW w:type="dxa" w:w="1778"/>
            <w:tcMar>
              <w:top w:w="100" w:type="dxa"/>
              <w:start w:w="120" w:type="dxa"/>
              <w:bottom w:w="100" w:type="dxa"/>
              <w:end w:w="120" w:type="dxa"/>
            </w:tcMar>
            <w:vAlign w:val="center"/>
          </w:tcPr>
          <w:p>
            <w:pPr>
              <w:spacing w:after="0" w:line="252" w:lineRule="auto"/>
              <w:jc w:val="center"/>
            </w:pPr>
            <w:r>
              <w:rPr>
                <w:rFonts w:ascii="Arial" w:hAnsi="Arial"/>
                <w:sz w:val="14"/>
              </w:rPr>
              <w:t>0.1540 [0.1406–0.1678]</w:t>
            </w:r>
          </w:p>
        </w:tc>
        <w:tc>
          <w:tcPr>
            <w:tcW w:type="dxa" w:w="1592"/>
            <w:tcMar>
              <w:top w:w="100" w:type="dxa"/>
              <w:start w:w="120" w:type="dxa"/>
              <w:bottom w:w="100" w:type="dxa"/>
              <w:end w:w="120" w:type="dxa"/>
            </w:tcMar>
            <w:vAlign w:val="center"/>
          </w:tcPr>
          <w:p>
            <w:pPr>
              <w:spacing w:after="0" w:line="252" w:lineRule="auto"/>
              <w:jc w:val="center"/>
            </w:pPr>
            <w:r>
              <w:rPr>
                <w:rFonts w:ascii="Arial" w:hAnsi="Arial"/>
                <w:sz w:val="14"/>
              </w:rPr>
              <w:t>0.4686</w:t>
            </w:r>
          </w:p>
        </w:tc>
      </w:tr>
      <w:tr>
        <w:trPr>
          <w:cantSplit/>
        </w:trPr>
        <w:tc>
          <w:tcPr>
            <w:tcW w:type="dxa" w:w="1685"/>
            <w:shd w:fill="F3F5F7"/>
            <w:tcMar>
              <w:top w:w="100" w:type="dxa"/>
              <w:start w:w="120" w:type="dxa"/>
              <w:bottom w:w="100" w:type="dxa"/>
              <w:end w:w="120" w:type="dxa"/>
            </w:tcMar>
            <w:vAlign w:val="center"/>
          </w:tcPr>
          <w:p>
            <w:pPr>
              <w:spacing w:after="0" w:line="252" w:lineRule="auto"/>
              <w:jc w:val="left"/>
            </w:pPr>
            <w:r>
              <w:rPr>
                <w:rFonts w:ascii="Arial" w:hAnsi="Arial"/>
                <w:b/>
                <w:color w:val="17324D"/>
                <w:sz w:val="14"/>
              </w:rPr>
              <w:t>No insulin/skinfold</w:t>
            </w:r>
          </w:p>
        </w:tc>
        <w:tc>
          <w:tcPr>
            <w:tcW w:type="dxa" w:w="749"/>
            <w:shd w:fill="F3F5F7"/>
            <w:tcMar>
              <w:top w:w="100" w:type="dxa"/>
              <w:start w:w="120" w:type="dxa"/>
              <w:bottom w:w="100" w:type="dxa"/>
              <w:end w:w="120" w:type="dxa"/>
            </w:tcMar>
            <w:vAlign w:val="center"/>
          </w:tcPr>
          <w:p>
            <w:pPr>
              <w:spacing w:after="0" w:line="252" w:lineRule="auto"/>
              <w:jc w:val="center"/>
            </w:pPr>
            <w:r>
              <w:rPr>
                <w:rFonts w:ascii="Arial" w:hAnsi="Arial"/>
                <w:sz w:val="14"/>
              </w:rPr>
              <w:t>6</w:t>
            </w:r>
          </w:p>
        </w:tc>
        <w:tc>
          <w:tcPr>
            <w:tcW w:type="dxa" w:w="1778"/>
            <w:shd w:fill="F3F5F7"/>
            <w:tcMar>
              <w:top w:w="100" w:type="dxa"/>
              <w:start w:w="120" w:type="dxa"/>
              <w:bottom w:w="100" w:type="dxa"/>
              <w:end w:w="120" w:type="dxa"/>
            </w:tcMar>
            <w:vAlign w:val="center"/>
          </w:tcPr>
          <w:p>
            <w:pPr>
              <w:spacing w:after="0" w:line="252" w:lineRule="auto"/>
              <w:jc w:val="center"/>
            </w:pPr>
            <w:r>
              <w:rPr>
                <w:rFonts w:ascii="Arial" w:hAnsi="Arial"/>
                <w:sz w:val="14"/>
              </w:rPr>
              <w:t>0.8389 [0.8135–0.8649]</w:t>
            </w:r>
          </w:p>
        </w:tc>
        <w:tc>
          <w:tcPr>
            <w:tcW w:type="dxa" w:w="1778"/>
            <w:shd w:fill="F3F5F7"/>
            <w:tcMar>
              <w:top w:w="100" w:type="dxa"/>
              <w:start w:w="120" w:type="dxa"/>
              <w:bottom w:w="100" w:type="dxa"/>
              <w:end w:w="120" w:type="dxa"/>
            </w:tcMar>
            <w:vAlign w:val="center"/>
          </w:tcPr>
          <w:p>
            <w:pPr>
              <w:spacing w:after="0" w:line="252" w:lineRule="auto"/>
              <w:jc w:val="center"/>
            </w:pPr>
            <w:r>
              <w:rPr>
                <w:rFonts w:ascii="Arial" w:hAnsi="Arial"/>
                <w:sz w:val="14"/>
              </w:rPr>
              <w:t>0.7144 [0.6615–0.7698]</w:t>
            </w:r>
          </w:p>
        </w:tc>
        <w:tc>
          <w:tcPr>
            <w:tcW w:type="dxa" w:w="1778"/>
            <w:shd w:fill="F3F5F7"/>
            <w:tcMar>
              <w:top w:w="100" w:type="dxa"/>
              <w:start w:w="120" w:type="dxa"/>
              <w:bottom w:w="100" w:type="dxa"/>
              <w:end w:w="120" w:type="dxa"/>
            </w:tcMar>
            <w:vAlign w:val="center"/>
          </w:tcPr>
          <w:p>
            <w:pPr>
              <w:spacing w:after="0" w:line="252" w:lineRule="auto"/>
              <w:jc w:val="center"/>
            </w:pPr>
            <w:r>
              <w:rPr>
                <w:rFonts w:ascii="Arial" w:hAnsi="Arial"/>
                <w:sz w:val="14"/>
              </w:rPr>
              <w:t>0.1539 [0.1418–0.1652]</w:t>
            </w:r>
          </w:p>
        </w:tc>
        <w:tc>
          <w:tcPr>
            <w:tcW w:type="dxa" w:w="1592"/>
            <w:shd w:fill="F3F5F7"/>
            <w:tcMar>
              <w:top w:w="100" w:type="dxa"/>
              <w:start w:w="120" w:type="dxa"/>
              <w:bottom w:w="100" w:type="dxa"/>
              <w:end w:w="120" w:type="dxa"/>
            </w:tcMar>
            <w:vAlign w:val="center"/>
          </w:tcPr>
          <w:p>
            <w:pPr>
              <w:spacing w:after="0" w:line="252" w:lineRule="auto"/>
              <w:jc w:val="center"/>
            </w:pPr>
            <w:r>
              <w:rPr>
                <w:rFonts w:ascii="Arial" w:hAnsi="Arial"/>
                <w:sz w:val="14"/>
              </w:rPr>
              <w:t>0.4682</w:t>
            </w:r>
          </w:p>
        </w:tc>
      </w:tr>
      <w:tr>
        <w:trPr>
          <w:cantSplit/>
        </w:trPr>
        <w:tc>
          <w:tcPr>
            <w:tcW w:type="dxa" w:w="1685"/>
            <w:tcMar>
              <w:top w:w="100" w:type="dxa"/>
              <w:start w:w="120" w:type="dxa"/>
              <w:bottom w:w="100" w:type="dxa"/>
              <w:end w:w="120" w:type="dxa"/>
            </w:tcMar>
            <w:vAlign w:val="center"/>
          </w:tcPr>
          <w:p>
            <w:pPr>
              <w:spacing w:after="0" w:line="252" w:lineRule="auto"/>
              <w:jc w:val="left"/>
            </w:pPr>
            <w:r>
              <w:rPr>
                <w:rFonts w:ascii="Arial" w:hAnsi="Arial"/>
                <w:b/>
                <w:color w:val="17324D"/>
                <w:sz w:val="14"/>
              </w:rPr>
              <w:t>Routine clinic</w:t>
            </w:r>
          </w:p>
        </w:tc>
        <w:tc>
          <w:tcPr>
            <w:tcW w:type="dxa" w:w="749"/>
            <w:tcMar>
              <w:top w:w="100" w:type="dxa"/>
              <w:start w:w="120" w:type="dxa"/>
              <w:bottom w:w="100" w:type="dxa"/>
              <w:end w:w="120" w:type="dxa"/>
            </w:tcMar>
            <w:vAlign w:val="center"/>
          </w:tcPr>
          <w:p>
            <w:pPr>
              <w:spacing w:after="0" w:line="252" w:lineRule="auto"/>
              <w:jc w:val="center"/>
            </w:pPr>
            <w:r>
              <w:rPr>
                <w:rFonts w:ascii="Arial" w:hAnsi="Arial"/>
                <w:sz w:val="14"/>
              </w:rPr>
              <w:t>5</w:t>
            </w:r>
          </w:p>
        </w:tc>
        <w:tc>
          <w:tcPr>
            <w:tcW w:type="dxa" w:w="1778"/>
            <w:tcMar>
              <w:top w:w="100" w:type="dxa"/>
              <w:start w:w="120" w:type="dxa"/>
              <w:bottom w:w="100" w:type="dxa"/>
              <w:end w:w="120" w:type="dxa"/>
            </w:tcMar>
            <w:vAlign w:val="center"/>
          </w:tcPr>
          <w:p>
            <w:pPr>
              <w:spacing w:after="0" w:line="252" w:lineRule="auto"/>
              <w:jc w:val="center"/>
            </w:pPr>
            <w:r>
              <w:rPr>
                <w:rFonts w:ascii="Arial" w:hAnsi="Arial"/>
                <w:sz w:val="14"/>
              </w:rPr>
              <w:t>0.8346 [0.7984–0.8639]</w:t>
            </w:r>
          </w:p>
        </w:tc>
        <w:tc>
          <w:tcPr>
            <w:tcW w:type="dxa" w:w="1778"/>
            <w:tcMar>
              <w:top w:w="100" w:type="dxa"/>
              <w:start w:w="120" w:type="dxa"/>
              <w:bottom w:w="100" w:type="dxa"/>
              <w:end w:w="120" w:type="dxa"/>
            </w:tcMar>
            <w:vAlign w:val="center"/>
          </w:tcPr>
          <w:p>
            <w:pPr>
              <w:spacing w:after="0" w:line="252" w:lineRule="auto"/>
              <w:jc w:val="center"/>
            </w:pPr>
            <w:r>
              <w:rPr>
                <w:rFonts w:ascii="Arial" w:hAnsi="Arial"/>
                <w:sz w:val="14"/>
              </w:rPr>
              <w:t>0.6980 [0.6465–0.7612]</w:t>
            </w:r>
          </w:p>
        </w:tc>
        <w:tc>
          <w:tcPr>
            <w:tcW w:type="dxa" w:w="1778"/>
            <w:tcMar>
              <w:top w:w="100" w:type="dxa"/>
              <w:start w:w="120" w:type="dxa"/>
              <w:bottom w:w="100" w:type="dxa"/>
              <w:end w:w="120" w:type="dxa"/>
            </w:tcMar>
            <w:vAlign w:val="center"/>
          </w:tcPr>
          <w:p>
            <w:pPr>
              <w:spacing w:after="0" w:line="252" w:lineRule="auto"/>
              <w:jc w:val="center"/>
            </w:pPr>
            <w:r>
              <w:rPr>
                <w:rFonts w:ascii="Arial" w:hAnsi="Arial"/>
                <w:sz w:val="14"/>
              </w:rPr>
              <w:t>0.1563 [0.1423–0.1711]</w:t>
            </w:r>
          </w:p>
        </w:tc>
        <w:tc>
          <w:tcPr>
            <w:tcW w:type="dxa" w:w="1592"/>
            <w:tcMar>
              <w:top w:w="100" w:type="dxa"/>
              <w:start w:w="120" w:type="dxa"/>
              <w:bottom w:w="100" w:type="dxa"/>
              <w:end w:w="120" w:type="dxa"/>
            </w:tcMar>
            <w:vAlign w:val="center"/>
          </w:tcPr>
          <w:p>
            <w:pPr>
              <w:spacing w:after="0" w:line="252" w:lineRule="auto"/>
              <w:jc w:val="center"/>
            </w:pPr>
            <w:r>
              <w:rPr>
                <w:rFonts w:ascii="Arial" w:hAnsi="Arial"/>
                <w:sz w:val="14"/>
              </w:rPr>
              <w:t>0.4755</w:t>
            </w:r>
          </w:p>
        </w:tc>
      </w:tr>
      <w:tr>
        <w:trPr>
          <w:cantSplit/>
        </w:trPr>
        <w:tc>
          <w:tcPr>
            <w:tcW w:type="dxa" w:w="1685"/>
            <w:shd w:fill="F3F5F7"/>
            <w:tcMar>
              <w:top w:w="100" w:type="dxa"/>
              <w:start w:w="120" w:type="dxa"/>
              <w:bottom w:w="100" w:type="dxa"/>
              <w:end w:w="120" w:type="dxa"/>
            </w:tcMar>
            <w:vAlign w:val="center"/>
          </w:tcPr>
          <w:p>
            <w:pPr>
              <w:spacing w:after="0" w:line="252" w:lineRule="auto"/>
              <w:jc w:val="left"/>
            </w:pPr>
            <w:r>
              <w:rPr>
                <w:rFonts w:ascii="Arial" w:hAnsi="Arial"/>
                <w:b/>
                <w:color w:val="17324D"/>
                <w:sz w:val="14"/>
              </w:rPr>
              <w:t>Core metabolic</w:t>
            </w:r>
          </w:p>
        </w:tc>
        <w:tc>
          <w:tcPr>
            <w:tcW w:type="dxa" w:w="749"/>
            <w:shd w:fill="F3F5F7"/>
            <w:tcMar>
              <w:top w:w="100" w:type="dxa"/>
              <w:start w:w="120" w:type="dxa"/>
              <w:bottom w:w="100" w:type="dxa"/>
              <w:end w:w="120" w:type="dxa"/>
            </w:tcMar>
            <w:vAlign w:val="center"/>
          </w:tcPr>
          <w:p>
            <w:pPr>
              <w:spacing w:after="0" w:line="252" w:lineRule="auto"/>
              <w:jc w:val="center"/>
            </w:pPr>
            <w:r>
              <w:rPr>
                <w:rFonts w:ascii="Arial" w:hAnsi="Arial"/>
                <w:sz w:val="14"/>
              </w:rPr>
              <w:t>4</w:t>
            </w:r>
          </w:p>
        </w:tc>
        <w:tc>
          <w:tcPr>
            <w:tcW w:type="dxa" w:w="1778"/>
            <w:shd w:fill="F3F5F7"/>
            <w:tcMar>
              <w:top w:w="100" w:type="dxa"/>
              <w:start w:w="120" w:type="dxa"/>
              <w:bottom w:w="100" w:type="dxa"/>
              <w:end w:w="120" w:type="dxa"/>
            </w:tcMar>
            <w:vAlign w:val="center"/>
          </w:tcPr>
          <w:p>
            <w:pPr>
              <w:spacing w:after="0" w:line="252" w:lineRule="auto"/>
              <w:jc w:val="center"/>
            </w:pPr>
            <w:r>
              <w:rPr>
                <w:rFonts w:ascii="Arial" w:hAnsi="Arial"/>
                <w:sz w:val="14"/>
              </w:rPr>
              <w:t>0.8357 [0.8053–0.8633]</w:t>
            </w:r>
          </w:p>
        </w:tc>
        <w:tc>
          <w:tcPr>
            <w:tcW w:type="dxa" w:w="1778"/>
            <w:shd w:fill="F3F5F7"/>
            <w:tcMar>
              <w:top w:w="100" w:type="dxa"/>
              <w:start w:w="120" w:type="dxa"/>
              <w:bottom w:w="100" w:type="dxa"/>
              <w:end w:w="120" w:type="dxa"/>
            </w:tcMar>
            <w:vAlign w:val="center"/>
          </w:tcPr>
          <w:p>
            <w:pPr>
              <w:spacing w:after="0" w:line="252" w:lineRule="auto"/>
              <w:jc w:val="center"/>
            </w:pPr>
            <w:r>
              <w:rPr>
                <w:rFonts w:ascii="Arial" w:hAnsi="Arial"/>
                <w:sz w:val="14"/>
              </w:rPr>
              <w:t>0.7209 [0.6706–0.7640]</w:t>
            </w:r>
          </w:p>
        </w:tc>
        <w:tc>
          <w:tcPr>
            <w:tcW w:type="dxa" w:w="1778"/>
            <w:shd w:fill="F3F5F7"/>
            <w:tcMar>
              <w:top w:w="100" w:type="dxa"/>
              <w:start w:w="120" w:type="dxa"/>
              <w:bottom w:w="100" w:type="dxa"/>
              <w:end w:w="120" w:type="dxa"/>
            </w:tcMar>
            <w:vAlign w:val="center"/>
          </w:tcPr>
          <w:p>
            <w:pPr>
              <w:spacing w:after="0" w:line="252" w:lineRule="auto"/>
              <w:jc w:val="center"/>
            </w:pPr>
            <w:r>
              <w:rPr>
                <w:rFonts w:ascii="Arial" w:hAnsi="Arial"/>
                <w:sz w:val="14"/>
              </w:rPr>
              <w:t>0.1550 [0.1420–0.1687]</w:t>
            </w:r>
          </w:p>
        </w:tc>
        <w:tc>
          <w:tcPr>
            <w:tcW w:type="dxa" w:w="1592"/>
            <w:shd w:fill="F3F5F7"/>
            <w:tcMar>
              <w:top w:w="100" w:type="dxa"/>
              <w:start w:w="120" w:type="dxa"/>
              <w:bottom w:w="100" w:type="dxa"/>
              <w:end w:w="120" w:type="dxa"/>
            </w:tcMar>
            <w:vAlign w:val="center"/>
          </w:tcPr>
          <w:p>
            <w:pPr>
              <w:spacing w:after="0" w:line="252" w:lineRule="auto"/>
              <w:jc w:val="center"/>
            </w:pPr>
            <w:r>
              <w:rPr>
                <w:rFonts w:ascii="Arial" w:hAnsi="Arial"/>
                <w:sz w:val="14"/>
              </w:rPr>
              <w:t>0.4705</w:t>
            </w:r>
          </w:p>
        </w:tc>
      </w:tr>
      <w:tr>
        <w:trPr>
          <w:cantSplit/>
        </w:trPr>
        <w:tc>
          <w:tcPr>
            <w:tcW w:type="dxa" w:w="1685"/>
            <w:tcMar>
              <w:top w:w="100" w:type="dxa"/>
              <w:start w:w="120" w:type="dxa"/>
              <w:bottom w:w="100" w:type="dxa"/>
              <w:end w:w="120" w:type="dxa"/>
            </w:tcMar>
            <w:vAlign w:val="center"/>
          </w:tcPr>
          <w:p>
            <w:pPr>
              <w:spacing w:after="0" w:line="252" w:lineRule="auto"/>
              <w:jc w:val="left"/>
            </w:pPr>
            <w:r>
              <w:rPr>
                <w:rFonts w:ascii="Arial" w:hAnsi="Arial"/>
                <w:b/>
                <w:color w:val="17324D"/>
                <w:sz w:val="14"/>
              </w:rPr>
              <w:t>Glucose + age</w:t>
            </w:r>
          </w:p>
        </w:tc>
        <w:tc>
          <w:tcPr>
            <w:tcW w:type="dxa" w:w="749"/>
            <w:tcMar>
              <w:top w:w="100" w:type="dxa"/>
              <w:start w:w="120" w:type="dxa"/>
              <w:bottom w:w="100" w:type="dxa"/>
              <w:end w:w="120" w:type="dxa"/>
            </w:tcMar>
            <w:vAlign w:val="center"/>
          </w:tcPr>
          <w:p>
            <w:pPr>
              <w:spacing w:after="0" w:line="252" w:lineRule="auto"/>
              <w:jc w:val="center"/>
            </w:pPr>
            <w:r>
              <w:rPr>
                <w:rFonts w:ascii="Arial" w:hAnsi="Arial"/>
                <w:sz w:val="14"/>
              </w:rPr>
              <w:t>2</w:t>
            </w:r>
          </w:p>
        </w:tc>
        <w:tc>
          <w:tcPr>
            <w:tcW w:type="dxa" w:w="1778"/>
            <w:tcMar>
              <w:top w:w="100" w:type="dxa"/>
              <w:start w:w="120" w:type="dxa"/>
              <w:bottom w:w="100" w:type="dxa"/>
              <w:end w:w="120" w:type="dxa"/>
            </w:tcMar>
            <w:vAlign w:val="center"/>
          </w:tcPr>
          <w:p>
            <w:pPr>
              <w:spacing w:after="0" w:line="252" w:lineRule="auto"/>
              <w:jc w:val="center"/>
            </w:pPr>
            <w:r>
              <w:rPr>
                <w:rFonts w:ascii="Arial" w:hAnsi="Arial"/>
                <w:sz w:val="14"/>
              </w:rPr>
              <w:t>0.8048 [0.7743–0.8384]</w:t>
            </w:r>
          </w:p>
        </w:tc>
        <w:tc>
          <w:tcPr>
            <w:tcW w:type="dxa" w:w="1778"/>
            <w:tcMar>
              <w:top w:w="100" w:type="dxa"/>
              <w:start w:w="120" w:type="dxa"/>
              <w:bottom w:w="100" w:type="dxa"/>
              <w:end w:w="120" w:type="dxa"/>
            </w:tcMar>
            <w:vAlign w:val="center"/>
          </w:tcPr>
          <w:p>
            <w:pPr>
              <w:spacing w:after="0" w:line="252" w:lineRule="auto"/>
              <w:jc w:val="center"/>
            </w:pPr>
            <w:r>
              <w:rPr>
                <w:rFonts w:ascii="Arial" w:hAnsi="Arial"/>
                <w:sz w:val="14"/>
              </w:rPr>
              <w:t>0.6847 [0.6301–0.7410]</w:t>
            </w:r>
          </w:p>
        </w:tc>
        <w:tc>
          <w:tcPr>
            <w:tcW w:type="dxa" w:w="1778"/>
            <w:tcMar>
              <w:top w:w="100" w:type="dxa"/>
              <w:start w:w="120" w:type="dxa"/>
              <w:bottom w:w="100" w:type="dxa"/>
              <w:end w:w="120" w:type="dxa"/>
            </w:tcMar>
            <w:vAlign w:val="center"/>
          </w:tcPr>
          <w:p>
            <w:pPr>
              <w:spacing w:after="0" w:line="252" w:lineRule="auto"/>
              <w:jc w:val="center"/>
            </w:pPr>
            <w:r>
              <w:rPr>
                <w:rFonts w:ascii="Arial" w:hAnsi="Arial"/>
                <w:sz w:val="14"/>
              </w:rPr>
              <w:t>0.1676 [0.1545–0.1808]</w:t>
            </w:r>
          </w:p>
        </w:tc>
        <w:tc>
          <w:tcPr>
            <w:tcW w:type="dxa" w:w="1592"/>
            <w:tcMar>
              <w:top w:w="100" w:type="dxa"/>
              <w:start w:w="120" w:type="dxa"/>
              <w:bottom w:w="100" w:type="dxa"/>
              <w:end w:w="120" w:type="dxa"/>
            </w:tcMar>
            <w:vAlign w:val="center"/>
          </w:tcPr>
          <w:p>
            <w:pPr>
              <w:spacing w:after="0" w:line="252" w:lineRule="auto"/>
              <w:jc w:val="center"/>
            </w:pPr>
            <w:r>
              <w:rPr>
                <w:rFonts w:ascii="Arial" w:hAnsi="Arial"/>
                <w:sz w:val="14"/>
              </w:rPr>
              <w:t>0.5054</w:t>
            </w:r>
          </w:p>
        </w:tc>
      </w:tr>
      <w:tr>
        <w:trPr>
          <w:cantSplit/>
        </w:trPr>
        <w:tc>
          <w:tcPr>
            <w:tcW w:type="dxa" w:w="1685"/>
            <w:shd w:fill="F3F5F7"/>
            <w:tcMar>
              <w:top w:w="100" w:type="dxa"/>
              <w:start w:w="120" w:type="dxa"/>
              <w:bottom w:w="100" w:type="dxa"/>
              <w:end w:w="120" w:type="dxa"/>
            </w:tcMar>
            <w:vAlign w:val="center"/>
          </w:tcPr>
          <w:p>
            <w:pPr>
              <w:spacing w:after="0" w:line="252" w:lineRule="auto"/>
              <w:jc w:val="left"/>
            </w:pPr>
            <w:r>
              <w:rPr>
                <w:rFonts w:ascii="Arial" w:hAnsi="Arial"/>
                <w:b/>
                <w:color w:val="17324D"/>
                <w:sz w:val="14"/>
              </w:rPr>
              <w:t>Non-laboratory</w:t>
            </w:r>
          </w:p>
        </w:tc>
        <w:tc>
          <w:tcPr>
            <w:tcW w:type="dxa" w:w="749"/>
            <w:shd w:fill="F3F5F7"/>
            <w:tcMar>
              <w:top w:w="100" w:type="dxa"/>
              <w:start w:w="120" w:type="dxa"/>
              <w:bottom w:w="100" w:type="dxa"/>
              <w:end w:w="120" w:type="dxa"/>
            </w:tcMar>
            <w:vAlign w:val="center"/>
          </w:tcPr>
          <w:p>
            <w:pPr>
              <w:spacing w:after="0" w:line="252" w:lineRule="auto"/>
              <w:jc w:val="center"/>
            </w:pPr>
            <w:r>
              <w:rPr>
                <w:rFonts w:ascii="Arial" w:hAnsi="Arial"/>
                <w:sz w:val="14"/>
              </w:rPr>
              <w:t>4</w:t>
            </w:r>
          </w:p>
        </w:tc>
        <w:tc>
          <w:tcPr>
            <w:tcW w:type="dxa" w:w="1778"/>
            <w:shd w:fill="F3F5F7"/>
            <w:tcMar>
              <w:top w:w="100" w:type="dxa"/>
              <w:start w:w="120" w:type="dxa"/>
              <w:bottom w:w="100" w:type="dxa"/>
              <w:end w:w="120" w:type="dxa"/>
            </w:tcMar>
            <w:vAlign w:val="center"/>
          </w:tcPr>
          <w:p>
            <w:pPr>
              <w:spacing w:after="0" w:line="252" w:lineRule="auto"/>
              <w:jc w:val="center"/>
            </w:pPr>
            <w:r>
              <w:rPr>
                <w:rFonts w:ascii="Arial" w:hAnsi="Arial"/>
                <w:sz w:val="14"/>
              </w:rPr>
              <w:t>0.7393 [0.7037–0.7746]</w:t>
            </w:r>
          </w:p>
        </w:tc>
        <w:tc>
          <w:tcPr>
            <w:tcW w:type="dxa" w:w="1778"/>
            <w:shd w:fill="F3F5F7"/>
            <w:tcMar>
              <w:top w:w="100" w:type="dxa"/>
              <w:start w:w="120" w:type="dxa"/>
              <w:bottom w:w="100" w:type="dxa"/>
              <w:end w:w="120" w:type="dxa"/>
            </w:tcMar>
            <w:vAlign w:val="center"/>
          </w:tcPr>
          <w:p>
            <w:pPr>
              <w:spacing w:after="0" w:line="252" w:lineRule="auto"/>
              <w:jc w:val="center"/>
            </w:pPr>
            <w:r>
              <w:rPr>
                <w:rFonts w:ascii="Arial" w:hAnsi="Arial"/>
                <w:sz w:val="14"/>
              </w:rPr>
              <w:t>0.5750 [0.5294–0.6305]</w:t>
            </w:r>
          </w:p>
        </w:tc>
        <w:tc>
          <w:tcPr>
            <w:tcW w:type="dxa" w:w="1778"/>
            <w:shd w:fill="F3F5F7"/>
            <w:tcMar>
              <w:top w:w="100" w:type="dxa"/>
              <w:start w:w="120" w:type="dxa"/>
              <w:bottom w:w="100" w:type="dxa"/>
              <w:end w:w="120" w:type="dxa"/>
            </w:tcMar>
            <w:vAlign w:val="center"/>
          </w:tcPr>
          <w:p>
            <w:pPr>
              <w:spacing w:after="0" w:line="252" w:lineRule="auto"/>
              <w:jc w:val="center"/>
            </w:pPr>
            <w:r>
              <w:rPr>
                <w:rFonts w:ascii="Arial" w:hAnsi="Arial"/>
                <w:sz w:val="14"/>
              </w:rPr>
              <w:t>0.1913 [0.1803–0.2027]</w:t>
            </w:r>
          </w:p>
        </w:tc>
        <w:tc>
          <w:tcPr>
            <w:tcW w:type="dxa" w:w="1592"/>
            <w:shd w:fill="F3F5F7"/>
            <w:tcMar>
              <w:top w:w="100" w:type="dxa"/>
              <w:start w:w="120" w:type="dxa"/>
              <w:bottom w:w="100" w:type="dxa"/>
              <w:end w:w="120" w:type="dxa"/>
            </w:tcMar>
            <w:vAlign w:val="center"/>
          </w:tcPr>
          <w:p>
            <w:pPr>
              <w:spacing w:after="0" w:line="252" w:lineRule="auto"/>
              <w:jc w:val="center"/>
            </w:pPr>
            <w:r>
              <w:rPr>
                <w:rFonts w:ascii="Arial" w:hAnsi="Arial"/>
                <w:sz w:val="14"/>
              </w:rPr>
              <w:t>0.5626</w:t>
            </w:r>
          </w:p>
        </w:tc>
      </w:tr>
    </w:tbl>
    <w:p>
      <w:pPr>
        <w:spacing w:after="20"/>
      </w:pPr>
    </w:p>
    <w:p>
      <w:pPr>
        <w:keepNext/>
        <w:jc w:val="center"/>
      </w:pPr>
      <w:r>
        <w:drawing>
          <wp:inline xmlns:a="http://schemas.openxmlformats.org/drawingml/2006/main" xmlns:pic="http://schemas.openxmlformats.org/drawingml/2006/picture">
            <wp:extent cx="5623560" cy="3355927"/>
            <wp:docPr id="3" name="Picture 3" descr="Figure 3. PIDD probability error across feature-availability scenarios and model-selection systems."/>
            <wp:cNvGraphicFramePr>
              <a:graphicFrameLocks noChangeAspect="1"/>
            </wp:cNvGraphicFramePr>
            <a:graphic>
              <a:graphicData uri="http://schemas.openxmlformats.org/drawingml/2006/picture">
                <pic:pic>
                  <pic:nvPicPr>
                    <pic:cNvPr id="0" name="routing_brier_score.png"/>
                    <pic:cNvPicPr/>
                  </pic:nvPicPr>
                  <pic:blipFill>
                    <a:blip r:embed="rId13"/>
                    <a:stretch>
                      <a:fillRect/>
                    </a:stretch>
                  </pic:blipFill>
                  <pic:spPr>
                    <a:xfrm>
                      <a:off x="0" y="0"/>
                      <a:ext cx="5623560" cy="3355927"/>
                    </a:xfrm>
                    <a:prstGeom prst="rect"/>
                  </pic:spPr>
                </pic:pic>
              </a:graphicData>
            </a:graphic>
          </wp:inline>
        </w:drawing>
      </w:r>
    </w:p>
    <w:p>
      <w:pPr>
        <w:pStyle w:val="CaptionCustom"/>
        <w:jc w:val="center"/>
      </w:pPr>
      <w:r>
        <w:t>Figure 3. PIDD probability error across feature-availability scenarios and model-selection systems.</w:t>
      </w:r>
    </w:p>
    <w:p>
      <w:pPr>
        <w:pStyle w:val="Heading3"/>
      </w:pPr>
      <w:r>
        <w:t>Does switching algorithms help?</w:t>
      </w:r>
    </w:p>
    <w:p>
      <w:r>
        <w:t>Only marginally and inconsistently. Compared with the full-panel champion, mean fold-average Brier reductions were 0.00274 for the core panel, 0.00056 for glucose–age, 0.00053 for routine clinic and 0.00068 for the non-laboratory panel. No router-versus-baseline comparison was significant after Holm correction. Model selections also varied across folds: the core panel selected every model at least once, and the non-laboratory panel selected XGBoost in three folds plus two other models in the remaining folds.</w:t>
      </w:r>
    </w:p>
    <w:p>
      <w:pPr>
        <w:shd w:fill="E8F3F2"/>
        <w:keepLines/>
        <w:pBdr>
          <w:left w:val="single" w:sz="20" w:space="8" w:color="157A7B"/>
        </w:pBdr>
        <w:spacing w:before="100" w:after="160"/>
        <w:ind w:left="173" w:right="115"/>
      </w:pPr>
      <w:r>
        <w:rPr>
          <w:b/>
          <w:color w:val="157A7B"/>
        </w:rPr>
        <w:t xml:space="preserve">Routing conclusion  </w:t>
      </w:r>
      <w:r>
        <w:t>Keep dynamic routing as a tested component and ablation result. The current publishable claim is that feature availability changes reliability and the system can restrict itself to evaluated panels—not that switching among the four algorithms is already proven superior.</w:t>
      </w:r>
    </w:p>
    <w:p>
      <w:pPr>
        <w:keepNext/>
        <w:jc w:val="center"/>
      </w:pPr>
      <w:r>
        <w:drawing>
          <wp:inline xmlns:a="http://schemas.openxmlformats.org/drawingml/2006/main" xmlns:pic="http://schemas.openxmlformats.org/drawingml/2006/picture">
            <wp:extent cx="5623560" cy="3775635"/>
            <wp:docPr id="4" name="Picture 4" descr="Figure 4. Development-only model selections by PIDD feature panel and outer fold."/>
            <wp:cNvGraphicFramePr>
              <a:graphicFrameLocks noChangeAspect="1"/>
            </wp:cNvGraphicFramePr>
            <a:graphic>
              <a:graphicData uri="http://schemas.openxmlformats.org/drawingml/2006/picture">
                <pic:pic>
                  <pic:nvPicPr>
                    <pic:cNvPr id="0" name="routing_selection_heatmap.png"/>
                    <pic:cNvPicPr/>
                  </pic:nvPicPr>
                  <pic:blipFill>
                    <a:blip r:embed="rId14"/>
                    <a:stretch>
                      <a:fillRect/>
                    </a:stretch>
                  </pic:blipFill>
                  <pic:spPr>
                    <a:xfrm>
                      <a:off x="0" y="0"/>
                      <a:ext cx="5623560" cy="3775635"/>
                    </a:xfrm>
                    <a:prstGeom prst="rect"/>
                  </pic:spPr>
                </pic:pic>
              </a:graphicData>
            </a:graphic>
          </wp:inline>
        </w:drawing>
      </w:r>
    </w:p>
    <w:p>
      <w:pPr>
        <w:pStyle w:val="CaptionCustom"/>
        <w:jc w:val="center"/>
      </w:pPr>
      <w:r>
        <w:t>Figure 4. Development-only model selections by PIDD feature panel and outer fold.</w:t>
      </w:r>
    </w:p>
    <w:p>
      <w:pPr>
        <w:pStyle w:val="Heading3"/>
      </w:pPr>
      <w:r>
        <w:t>Inference and abstention</w:t>
      </w:r>
    </w:p>
    <w:p>
      <w:r>
        <w:t>At inference, the router first identifies the largest evaluated panel fully supported by the observed features. It reproduces that panel’s masking, applies the fold-selected model and scenario calibrator, and reports calibrated probability plus provenance. If no panel is supported, a required value is invalid, or an in-use value is outside the reference range, the system abstains instead of fabricating a probability.</w:t>
      </w:r>
    </w:p>
    <w:p>
      <w:r>
        <w:br w:type="page"/>
      </w:r>
    </w:p>
    <w:p>
      <w:pPr>
        <w:pStyle w:val="Heading2"/>
      </w:pPr>
      <w:r>
        <w:t>4.3 Detailed patient probability report</w:t>
      </w:r>
    </w:p>
    <w:p>
      <w:r>
        <w:t>Because the PIDD pilot did not identify a stable algorithm, the patient formatter uses all five independently developed outer-fold routers as a research ensemble. It reports the mean calibrated probability, minimum/maximum/standard deviation across folds, the count above the research threshold, selected-model counts, calibrator counts, normalized SHAP factors and observational cohort context. The fold range is model-development variability, not a statistical confidence interval.</w:t>
      </w:r>
    </w:p>
    <w:tbl>
      <w:tblPr>
        <w:tblStyle w:val="TableGrid"/>
        <w:tblW w:type="dxa" w:w="9360"/>
        <w:jc w:val="left"/>
        <w:tblLayout w:type="fixed"/>
        <w:tblLook w:firstColumn="1" w:firstRow="1" w:lastColumn="0" w:lastRow="0" w:noHBand="0" w:noVBand="1" w:val="04A0"/>
        <w:tblInd w:w="120" w:type="dxa"/>
      </w:tblPr>
      <w:tblGrid>
        <w:gridCol w:w="3182"/>
        <w:gridCol w:w="6178"/>
      </w:tblGrid>
      <w:tr>
        <w:trPr>
          <w:tblHeader w:val="true"/>
        </w:trPr>
        <w:tc>
          <w:tcPr>
            <w:tcW w:type="dxa" w:w="3182"/>
            <w:shd w:fill="17324D"/>
            <w:tcMar>
              <w:top w:w="115" w:type="dxa"/>
              <w:start w:w="120" w:type="dxa"/>
              <w:bottom w:w="115" w:type="dxa"/>
              <w:end w:w="120" w:type="dxa"/>
            </w:tcMar>
            <w:vAlign w:val="center"/>
          </w:tcPr>
          <w:p>
            <w:pPr>
              <w:spacing w:after="0"/>
              <w:jc w:val="center"/>
            </w:pPr>
            <w:r>
              <w:rPr>
                <w:rFonts w:ascii="Arial" w:hAnsi="Arial"/>
                <w:b/>
                <w:color w:val="FFFFFF"/>
                <w:sz w:val="17"/>
              </w:rPr>
              <w:t>Synthetic example field</w:t>
            </w:r>
          </w:p>
        </w:tc>
        <w:tc>
          <w:tcPr>
            <w:tcW w:type="dxa" w:w="6178"/>
            <w:shd w:fill="17324D"/>
            <w:tcMar>
              <w:top w:w="115" w:type="dxa"/>
              <w:start w:w="120" w:type="dxa"/>
              <w:bottom w:w="115" w:type="dxa"/>
              <w:end w:w="120" w:type="dxa"/>
            </w:tcMar>
            <w:vAlign w:val="center"/>
          </w:tcPr>
          <w:p>
            <w:pPr>
              <w:spacing w:after="0"/>
              <w:jc w:val="center"/>
            </w:pPr>
            <w:r>
              <w:rPr>
                <w:rFonts w:ascii="Arial" w:hAnsi="Arial"/>
                <w:b/>
                <w:color w:val="FFFFFF"/>
                <w:sz w:val="17"/>
              </w:rPr>
              <w:t>Result</w:t>
            </w:r>
          </w:p>
        </w:tc>
      </w:tr>
      <w:tr>
        <w:trPr>
          <w:cantSplit/>
        </w:trPr>
        <w:tc>
          <w:tcPr>
            <w:tcW w:type="dxa" w:w="3182"/>
            <w:tcMar>
              <w:top w:w="100" w:type="dxa"/>
              <w:start w:w="120" w:type="dxa"/>
              <w:bottom w:w="100" w:type="dxa"/>
              <w:end w:w="120" w:type="dxa"/>
            </w:tcMar>
            <w:vAlign w:val="center"/>
          </w:tcPr>
          <w:p>
            <w:pPr>
              <w:spacing w:after="0" w:line="252" w:lineRule="auto"/>
              <w:jc w:val="left"/>
            </w:pPr>
            <w:r>
              <w:rPr>
                <w:rFonts w:ascii="Arial" w:hAnsi="Arial"/>
                <w:b/>
                <w:color w:val="17324D"/>
                <w:sz w:val="17"/>
              </w:rPr>
              <w:t>Available panel</w:t>
            </w:r>
          </w:p>
        </w:tc>
        <w:tc>
          <w:tcPr>
            <w:tcW w:type="dxa" w:w="6178"/>
            <w:tcMar>
              <w:top w:w="100" w:type="dxa"/>
              <w:start w:w="120" w:type="dxa"/>
              <w:bottom w:w="100" w:type="dxa"/>
              <w:end w:w="120" w:type="dxa"/>
            </w:tcMar>
            <w:vAlign w:val="center"/>
          </w:tcPr>
          <w:p>
            <w:pPr>
              <w:spacing w:after="0" w:line="252" w:lineRule="auto"/>
              <w:jc w:val="left"/>
            </w:pPr>
            <w:r>
              <w:rPr>
                <w:rFonts w:ascii="Arial" w:hAnsi="Arial"/>
                <w:sz w:val="17"/>
              </w:rPr>
              <w:t>No insulin or skinfold (6 predictors)</w:t>
            </w:r>
          </w:p>
        </w:tc>
      </w:tr>
      <w:tr>
        <w:trPr>
          <w:cantSplit/>
        </w:trPr>
        <w:tc>
          <w:tcPr>
            <w:tcW w:type="dxa" w:w="3182"/>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Mean calibrated probability</w:t>
            </w:r>
          </w:p>
        </w:tc>
        <w:tc>
          <w:tcPr>
            <w:tcW w:type="dxa" w:w="6178"/>
            <w:shd w:fill="F3F5F7"/>
            <w:tcMar>
              <w:top w:w="100" w:type="dxa"/>
              <w:start w:w="120" w:type="dxa"/>
              <w:bottom w:w="100" w:type="dxa"/>
              <w:end w:w="120" w:type="dxa"/>
            </w:tcMar>
            <w:vAlign w:val="center"/>
          </w:tcPr>
          <w:p>
            <w:pPr>
              <w:spacing w:after="0" w:line="252" w:lineRule="auto"/>
              <w:jc w:val="left"/>
            </w:pPr>
            <w:r>
              <w:rPr>
                <w:rFonts w:ascii="Arial" w:hAnsi="Arial"/>
                <w:sz w:val="17"/>
              </w:rPr>
              <w:t>0.6605</w:t>
            </w:r>
          </w:p>
        </w:tc>
      </w:tr>
      <w:tr>
        <w:trPr>
          <w:cantSplit/>
        </w:trPr>
        <w:tc>
          <w:tcPr>
            <w:tcW w:type="dxa" w:w="3182"/>
            <w:tcMar>
              <w:top w:w="100" w:type="dxa"/>
              <w:start w:w="120" w:type="dxa"/>
              <w:bottom w:w="100" w:type="dxa"/>
              <w:end w:w="120" w:type="dxa"/>
            </w:tcMar>
            <w:vAlign w:val="center"/>
          </w:tcPr>
          <w:p>
            <w:pPr>
              <w:spacing w:after="0" w:line="252" w:lineRule="auto"/>
              <w:jc w:val="left"/>
            </w:pPr>
            <w:r>
              <w:rPr>
                <w:rFonts w:ascii="Arial" w:hAnsi="Arial"/>
                <w:b/>
                <w:color w:val="17324D"/>
                <w:sz w:val="17"/>
              </w:rPr>
              <w:t>Model-fold range</w:t>
            </w:r>
          </w:p>
        </w:tc>
        <w:tc>
          <w:tcPr>
            <w:tcW w:type="dxa" w:w="6178"/>
            <w:tcMar>
              <w:top w:w="100" w:type="dxa"/>
              <w:start w:w="120" w:type="dxa"/>
              <w:bottom w:w="100" w:type="dxa"/>
              <w:end w:w="120" w:type="dxa"/>
            </w:tcMar>
            <w:vAlign w:val="center"/>
          </w:tcPr>
          <w:p>
            <w:pPr>
              <w:spacing w:after="0" w:line="252" w:lineRule="auto"/>
              <w:jc w:val="left"/>
            </w:pPr>
            <w:r>
              <w:rPr>
                <w:rFonts w:ascii="Arial" w:hAnsi="Arial"/>
                <w:sz w:val="17"/>
              </w:rPr>
              <w:t>0.5954–0.7838</w:t>
            </w:r>
          </w:p>
        </w:tc>
      </w:tr>
      <w:tr>
        <w:trPr>
          <w:cantSplit/>
        </w:trPr>
        <w:tc>
          <w:tcPr>
            <w:tcW w:type="dxa" w:w="3182"/>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Model-fold standard deviation</w:t>
            </w:r>
          </w:p>
        </w:tc>
        <w:tc>
          <w:tcPr>
            <w:tcW w:type="dxa" w:w="6178"/>
            <w:shd w:fill="F3F5F7"/>
            <w:tcMar>
              <w:top w:w="100" w:type="dxa"/>
              <w:start w:w="120" w:type="dxa"/>
              <w:bottom w:w="100" w:type="dxa"/>
              <w:end w:w="120" w:type="dxa"/>
            </w:tcMar>
            <w:vAlign w:val="center"/>
          </w:tcPr>
          <w:p>
            <w:pPr>
              <w:spacing w:after="0" w:line="252" w:lineRule="auto"/>
              <w:jc w:val="left"/>
            </w:pPr>
            <w:r>
              <w:rPr>
                <w:rFonts w:ascii="Arial" w:hAnsi="Arial"/>
                <w:sz w:val="17"/>
              </w:rPr>
              <w:t>0.0660</w:t>
            </w:r>
          </w:p>
        </w:tc>
      </w:tr>
      <w:tr>
        <w:trPr>
          <w:cantSplit/>
        </w:trPr>
        <w:tc>
          <w:tcPr>
            <w:tcW w:type="dxa" w:w="3182"/>
            <w:tcMar>
              <w:top w:w="100" w:type="dxa"/>
              <w:start w:w="120" w:type="dxa"/>
              <w:bottom w:w="100" w:type="dxa"/>
              <w:end w:w="120" w:type="dxa"/>
            </w:tcMar>
            <w:vAlign w:val="center"/>
          </w:tcPr>
          <w:p>
            <w:pPr>
              <w:spacing w:after="0" w:line="252" w:lineRule="auto"/>
              <w:jc w:val="left"/>
            </w:pPr>
            <w:r>
              <w:rPr>
                <w:rFonts w:ascii="Arial" w:hAnsi="Arial"/>
                <w:b/>
                <w:color w:val="17324D"/>
                <w:sz w:val="17"/>
              </w:rPr>
              <w:t>Folds at/above 0.5</w:t>
            </w:r>
          </w:p>
        </w:tc>
        <w:tc>
          <w:tcPr>
            <w:tcW w:type="dxa" w:w="6178"/>
            <w:tcMar>
              <w:top w:w="100" w:type="dxa"/>
              <w:start w:w="120" w:type="dxa"/>
              <w:bottom w:w="100" w:type="dxa"/>
              <w:end w:w="120" w:type="dxa"/>
            </w:tcMar>
            <w:vAlign w:val="center"/>
          </w:tcPr>
          <w:p>
            <w:pPr>
              <w:spacing w:after="0" w:line="252" w:lineRule="auto"/>
              <w:jc w:val="left"/>
            </w:pPr>
            <w:r>
              <w:rPr>
                <w:rFonts w:ascii="Arial" w:hAnsi="Arial"/>
                <w:sz w:val="17"/>
              </w:rPr>
              <w:t>5 of 5</w:t>
            </w:r>
          </w:p>
        </w:tc>
      </w:tr>
      <w:tr>
        <w:trPr>
          <w:cantSplit/>
        </w:trPr>
        <w:tc>
          <w:tcPr>
            <w:tcW w:type="dxa" w:w="3182"/>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Selected models</w:t>
            </w:r>
          </w:p>
        </w:tc>
        <w:tc>
          <w:tcPr>
            <w:tcW w:type="dxa" w:w="6178"/>
            <w:shd w:fill="F3F5F7"/>
            <w:tcMar>
              <w:top w:w="100" w:type="dxa"/>
              <w:start w:w="120" w:type="dxa"/>
              <w:bottom w:w="100" w:type="dxa"/>
              <w:end w:w="120" w:type="dxa"/>
            </w:tcMar>
            <w:vAlign w:val="center"/>
          </w:tcPr>
          <w:p>
            <w:pPr>
              <w:spacing w:after="0" w:line="252" w:lineRule="auto"/>
              <w:jc w:val="left"/>
            </w:pPr>
            <w:r>
              <w:rPr>
                <w:rFonts w:ascii="Arial" w:hAnsi="Arial"/>
                <w:sz w:val="17"/>
              </w:rPr>
              <w:t>CatBoost 3 folds; Random Forest 2 folds</w:t>
            </w:r>
          </w:p>
        </w:tc>
      </w:tr>
      <w:tr>
        <w:trPr>
          <w:cantSplit/>
        </w:trPr>
        <w:tc>
          <w:tcPr>
            <w:tcW w:type="dxa" w:w="3182"/>
            <w:tcMar>
              <w:top w:w="100" w:type="dxa"/>
              <w:start w:w="120" w:type="dxa"/>
              <w:bottom w:w="100" w:type="dxa"/>
              <w:end w:w="120" w:type="dxa"/>
            </w:tcMar>
            <w:vAlign w:val="center"/>
          </w:tcPr>
          <w:p>
            <w:pPr>
              <w:spacing w:after="0" w:line="252" w:lineRule="auto"/>
              <w:jc w:val="left"/>
            </w:pPr>
            <w:r>
              <w:rPr>
                <w:rFonts w:ascii="Arial" w:hAnsi="Arial"/>
                <w:b/>
                <w:color w:val="17324D"/>
                <w:sz w:val="17"/>
              </w:rPr>
              <w:t>Leading SHAP factors</w:t>
            </w:r>
          </w:p>
        </w:tc>
        <w:tc>
          <w:tcPr>
            <w:tcW w:type="dxa" w:w="6178"/>
            <w:tcMar>
              <w:top w:w="100" w:type="dxa"/>
              <w:start w:w="120" w:type="dxa"/>
              <w:bottom w:w="100" w:type="dxa"/>
              <w:end w:w="120" w:type="dxa"/>
            </w:tcMar>
            <w:vAlign w:val="center"/>
          </w:tcPr>
          <w:p>
            <w:pPr>
              <w:spacing w:after="0" w:line="252" w:lineRule="auto"/>
              <w:jc w:val="left"/>
            </w:pPr>
            <w:r>
              <w:rPr>
                <w:rFonts w:ascii="Arial" w:hAnsi="Arial"/>
                <w:sz w:val="17"/>
              </w:rPr>
              <w:t>Glucose, age, BMI, pregnancies, diabetes pedigree</w:t>
            </w:r>
          </w:p>
        </w:tc>
      </w:tr>
      <w:tr>
        <w:trPr>
          <w:cantSplit/>
        </w:trPr>
        <w:tc>
          <w:tcPr>
            <w:tcW w:type="dxa" w:w="3182"/>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Explanation agreement</w:t>
            </w:r>
          </w:p>
        </w:tc>
        <w:tc>
          <w:tcPr>
            <w:tcW w:type="dxa" w:w="6178"/>
            <w:shd w:fill="F3F5F7"/>
            <w:tcMar>
              <w:top w:w="100" w:type="dxa"/>
              <w:start w:w="120" w:type="dxa"/>
              <w:bottom w:w="100" w:type="dxa"/>
              <w:end w:w="120" w:type="dxa"/>
            </w:tcMar>
            <w:vAlign w:val="center"/>
          </w:tcPr>
          <w:p>
            <w:pPr>
              <w:spacing w:after="0" w:line="252" w:lineRule="auto"/>
              <w:jc w:val="left"/>
            </w:pPr>
            <w:r>
              <w:rPr>
                <w:rFonts w:ascii="Arial" w:hAnsi="Arial"/>
                <w:sz w:val="17"/>
              </w:rPr>
              <w:t>Direction agreed across all five folds for the five leading factors</w:t>
            </w:r>
          </w:p>
        </w:tc>
      </w:tr>
    </w:tbl>
    <w:p>
      <w:pPr>
        <w:spacing w:after="20"/>
      </w:pPr>
    </w:p>
    <w:p>
      <w:pPr>
        <w:shd w:fill="FFF4D9"/>
        <w:keepLines/>
        <w:pBdr>
          <w:left w:val="single" w:sz="20" w:space="8" w:color="D99A2B"/>
        </w:pBdr>
        <w:spacing w:before="100" w:after="160"/>
        <w:ind w:left="173" w:right="115"/>
      </w:pPr>
      <w:r>
        <w:rPr>
          <w:b/>
          <w:color w:val="D99A2B"/>
        </w:rPr>
        <w:t xml:space="preserve">Safety note  </w:t>
      </w:r>
      <w:r>
        <w:t>The example is synthetic and demonstrates the formatter only. The output is explicitly labelled research validation, not diagnosis or treatment advice.</w:t>
      </w:r>
    </w:p>
    <w:p>
      <w:pPr>
        <w:pStyle w:val="Heading2"/>
      </w:pPr>
      <w:r>
        <w:t>4.4 PIDD SHAP findings</w:t>
      </w:r>
    </w:p>
    <w:p>
      <w:r>
        <w:t>SHAP explanations were generated only for held-out patients using each fold’s saved preprocessing and fitted model. Because Random Forest is explained on probability scale while boosted trees are explained on margin scales, absolute SHAP magnitudes are not compared between model families. Valid comparisons are within-model feature ranking, direction and stability.</w:t>
      </w:r>
    </w:p>
    <w:tbl>
      <w:tblPr>
        <w:tblStyle w:val="TableGrid"/>
        <w:tblW w:type="dxa" w:w="9360"/>
        <w:jc w:val="left"/>
        <w:tblLayout w:type="fixed"/>
        <w:tblLook w:firstColumn="1" w:firstRow="1" w:lastColumn="0" w:lastRow="0" w:noHBand="0" w:noVBand="1" w:val="04A0"/>
        <w:tblInd w:w="120" w:type="dxa"/>
      </w:tblPr>
      <w:tblGrid>
        <w:gridCol w:w="2153"/>
        <w:gridCol w:w="7207"/>
      </w:tblGrid>
      <w:tr>
        <w:trPr>
          <w:tblHeader w:val="true"/>
        </w:trPr>
        <w:tc>
          <w:tcPr>
            <w:tcW w:type="dxa" w:w="2153"/>
            <w:shd w:fill="17324D"/>
            <w:tcMar>
              <w:top w:w="115" w:type="dxa"/>
              <w:start w:w="120" w:type="dxa"/>
              <w:bottom w:w="115" w:type="dxa"/>
              <w:end w:w="120" w:type="dxa"/>
            </w:tcMar>
            <w:vAlign w:val="center"/>
          </w:tcPr>
          <w:p>
            <w:pPr>
              <w:spacing w:after="0"/>
              <w:jc w:val="center"/>
            </w:pPr>
            <w:r>
              <w:rPr>
                <w:rFonts w:ascii="Arial" w:hAnsi="Arial"/>
                <w:b/>
                <w:color w:val="FFFFFF"/>
                <w:sz w:val="17"/>
              </w:rPr>
              <w:t>Model</w:t>
            </w:r>
          </w:p>
        </w:tc>
        <w:tc>
          <w:tcPr>
            <w:tcW w:type="dxa" w:w="7207"/>
            <w:shd w:fill="17324D"/>
            <w:tcMar>
              <w:top w:w="115" w:type="dxa"/>
              <w:start w:w="120" w:type="dxa"/>
              <w:bottom w:w="115" w:type="dxa"/>
              <w:end w:w="120" w:type="dxa"/>
            </w:tcMar>
            <w:vAlign w:val="center"/>
          </w:tcPr>
          <w:p>
            <w:pPr>
              <w:spacing w:after="0"/>
              <w:jc w:val="center"/>
            </w:pPr>
            <w:r>
              <w:rPr>
                <w:rFonts w:ascii="Arial" w:hAnsi="Arial"/>
                <w:b/>
                <w:color w:val="FFFFFF"/>
                <w:sz w:val="17"/>
              </w:rPr>
              <w:t>Top five held-out features</w:t>
            </w:r>
          </w:p>
        </w:tc>
      </w:tr>
      <w:tr>
        <w:trPr>
          <w:cantSplit/>
        </w:trPr>
        <w:tc>
          <w:tcPr>
            <w:tcW w:type="dxa" w:w="2153"/>
            <w:tcMar>
              <w:top w:w="100" w:type="dxa"/>
              <w:start w:w="120" w:type="dxa"/>
              <w:bottom w:w="100" w:type="dxa"/>
              <w:end w:w="120" w:type="dxa"/>
            </w:tcMar>
            <w:vAlign w:val="center"/>
          </w:tcPr>
          <w:p>
            <w:pPr>
              <w:spacing w:after="0" w:line="252" w:lineRule="auto"/>
              <w:jc w:val="left"/>
            </w:pPr>
            <w:r>
              <w:rPr>
                <w:rFonts w:ascii="Arial" w:hAnsi="Arial"/>
                <w:b/>
                <w:color w:val="17324D"/>
                <w:sz w:val="17"/>
              </w:rPr>
              <w:t>CatBoost</w:t>
            </w:r>
          </w:p>
        </w:tc>
        <w:tc>
          <w:tcPr>
            <w:tcW w:type="dxa" w:w="7207"/>
            <w:tcMar>
              <w:top w:w="100" w:type="dxa"/>
              <w:start w:w="120" w:type="dxa"/>
              <w:bottom w:w="100" w:type="dxa"/>
              <w:end w:w="120" w:type="dxa"/>
            </w:tcMar>
            <w:vAlign w:val="center"/>
          </w:tcPr>
          <w:p>
            <w:pPr>
              <w:spacing w:after="0" w:line="252" w:lineRule="auto"/>
              <w:jc w:val="left"/>
            </w:pPr>
            <w:r>
              <w:rPr>
                <w:rFonts w:ascii="Arial" w:hAnsi="Arial"/>
                <w:sz w:val="17"/>
              </w:rPr>
              <w:t>Glucose; BMI; age; diabetes pedigree; pregnancies</w:t>
            </w:r>
          </w:p>
        </w:tc>
      </w:tr>
      <w:tr>
        <w:trPr>
          <w:cantSplit/>
        </w:trPr>
        <w:tc>
          <w:tcPr>
            <w:tcW w:type="dxa" w:w="2153"/>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LightGBM</w:t>
            </w:r>
          </w:p>
        </w:tc>
        <w:tc>
          <w:tcPr>
            <w:tcW w:type="dxa" w:w="7207"/>
            <w:shd w:fill="F3F5F7"/>
            <w:tcMar>
              <w:top w:w="100" w:type="dxa"/>
              <w:start w:w="120" w:type="dxa"/>
              <w:bottom w:w="100" w:type="dxa"/>
              <w:end w:w="120" w:type="dxa"/>
            </w:tcMar>
            <w:vAlign w:val="center"/>
          </w:tcPr>
          <w:p>
            <w:pPr>
              <w:spacing w:after="0" w:line="252" w:lineRule="auto"/>
              <w:jc w:val="left"/>
            </w:pPr>
            <w:r>
              <w:rPr>
                <w:rFonts w:ascii="Arial" w:hAnsi="Arial"/>
                <w:sz w:val="17"/>
              </w:rPr>
              <w:t>Glucose; BMI; age; diabetes pedigree; pregnancies</w:t>
            </w:r>
          </w:p>
        </w:tc>
      </w:tr>
      <w:tr>
        <w:trPr>
          <w:cantSplit/>
        </w:trPr>
        <w:tc>
          <w:tcPr>
            <w:tcW w:type="dxa" w:w="2153"/>
            <w:tcMar>
              <w:top w:w="100" w:type="dxa"/>
              <w:start w:w="120" w:type="dxa"/>
              <w:bottom w:w="100" w:type="dxa"/>
              <w:end w:w="120" w:type="dxa"/>
            </w:tcMar>
            <w:vAlign w:val="center"/>
          </w:tcPr>
          <w:p>
            <w:pPr>
              <w:spacing w:after="0" w:line="252" w:lineRule="auto"/>
              <w:jc w:val="left"/>
            </w:pPr>
            <w:r>
              <w:rPr>
                <w:rFonts w:ascii="Arial" w:hAnsi="Arial"/>
                <w:b/>
                <w:color w:val="17324D"/>
                <w:sz w:val="17"/>
              </w:rPr>
              <w:t>Random Forest</w:t>
            </w:r>
          </w:p>
        </w:tc>
        <w:tc>
          <w:tcPr>
            <w:tcW w:type="dxa" w:w="7207"/>
            <w:tcMar>
              <w:top w:w="100" w:type="dxa"/>
              <w:start w:w="120" w:type="dxa"/>
              <w:bottom w:w="100" w:type="dxa"/>
              <w:end w:w="120" w:type="dxa"/>
            </w:tcMar>
            <w:vAlign w:val="center"/>
          </w:tcPr>
          <w:p>
            <w:pPr>
              <w:spacing w:after="0" w:line="252" w:lineRule="auto"/>
              <w:jc w:val="left"/>
            </w:pPr>
            <w:r>
              <w:rPr>
                <w:rFonts w:ascii="Arial" w:hAnsi="Arial"/>
                <w:sz w:val="17"/>
              </w:rPr>
              <w:t>Glucose; BMI; age; diabetes pedigree; pregnancies</w:t>
            </w:r>
          </w:p>
        </w:tc>
      </w:tr>
      <w:tr>
        <w:trPr>
          <w:cantSplit/>
        </w:trPr>
        <w:tc>
          <w:tcPr>
            <w:tcW w:type="dxa" w:w="2153"/>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XGBoost</w:t>
            </w:r>
          </w:p>
        </w:tc>
        <w:tc>
          <w:tcPr>
            <w:tcW w:type="dxa" w:w="7207"/>
            <w:shd w:fill="F3F5F7"/>
            <w:tcMar>
              <w:top w:w="100" w:type="dxa"/>
              <w:start w:w="120" w:type="dxa"/>
              <w:bottom w:w="100" w:type="dxa"/>
              <w:end w:w="120" w:type="dxa"/>
            </w:tcMar>
            <w:vAlign w:val="center"/>
          </w:tcPr>
          <w:p>
            <w:pPr>
              <w:spacing w:after="0" w:line="252" w:lineRule="auto"/>
              <w:jc w:val="left"/>
            </w:pPr>
            <w:r>
              <w:rPr>
                <w:rFonts w:ascii="Arial" w:hAnsi="Arial"/>
                <w:sz w:val="17"/>
              </w:rPr>
              <w:t>Glucose; BMI; age; diabetes pedigree; insulin</w:t>
            </w:r>
          </w:p>
        </w:tc>
      </w:tr>
      <w:tr>
        <w:trPr>
          <w:cantSplit/>
        </w:trPr>
        <w:tc>
          <w:tcPr>
            <w:tcW w:type="dxa" w:w="2153"/>
            <w:tcMar>
              <w:top w:w="100" w:type="dxa"/>
              <w:start w:w="120" w:type="dxa"/>
              <w:bottom w:w="100" w:type="dxa"/>
              <w:end w:w="120" w:type="dxa"/>
            </w:tcMar>
            <w:vAlign w:val="center"/>
          </w:tcPr>
          <w:p>
            <w:pPr>
              <w:spacing w:after="0" w:line="252" w:lineRule="auto"/>
              <w:jc w:val="left"/>
            </w:pPr>
            <w:r>
              <w:rPr>
                <w:rFonts w:ascii="Arial" w:hAnsi="Arial"/>
                <w:b/>
                <w:color w:val="17324D"/>
                <w:sz w:val="17"/>
              </w:rPr>
              <w:t>Logistic Regression</w:t>
            </w:r>
          </w:p>
        </w:tc>
        <w:tc>
          <w:tcPr>
            <w:tcW w:type="dxa" w:w="7207"/>
            <w:tcMar>
              <w:top w:w="100" w:type="dxa"/>
              <w:start w:w="120" w:type="dxa"/>
              <w:bottom w:w="100" w:type="dxa"/>
              <w:end w:w="120" w:type="dxa"/>
            </w:tcMar>
            <w:vAlign w:val="center"/>
          </w:tcPr>
          <w:p>
            <w:pPr>
              <w:spacing w:after="0" w:line="252" w:lineRule="auto"/>
              <w:jc w:val="left"/>
            </w:pPr>
            <w:r>
              <w:rPr>
                <w:rFonts w:ascii="Arial" w:hAnsi="Arial"/>
                <w:sz w:val="17"/>
              </w:rPr>
              <w:t>Glucose; BMI; pregnancies; diabetes pedigree; missing-insulin indicator</w:t>
            </w:r>
          </w:p>
        </w:tc>
      </w:tr>
    </w:tbl>
    <w:p>
      <w:pPr>
        <w:spacing w:after="20"/>
      </w:pPr>
    </w:p>
    <w:p>
      <w:pPr>
        <w:keepNext/>
        <w:jc w:val="center"/>
      </w:pPr>
      <w:r>
        <w:drawing>
          <wp:inline xmlns:a="http://schemas.openxmlformats.org/drawingml/2006/main" xmlns:pic="http://schemas.openxmlformats.org/drawingml/2006/picture">
            <wp:extent cx="4160520" cy="8371618"/>
            <wp:docPr id="5" name="Picture 5" descr="Figure 5. Global held-out PIDD SHAP importance. Magnitudes should be interpreted within model family."/>
            <wp:cNvGraphicFramePr>
              <a:graphicFrameLocks noChangeAspect="1"/>
            </wp:cNvGraphicFramePr>
            <a:graphic>
              <a:graphicData uri="http://schemas.openxmlformats.org/drawingml/2006/picture">
                <pic:pic>
                  <pic:nvPicPr>
                    <pic:cNvPr id="0" name="global_shap_importance.png"/>
                    <pic:cNvPicPr/>
                  </pic:nvPicPr>
                  <pic:blipFill>
                    <a:blip r:embed="rId15"/>
                    <a:stretch>
                      <a:fillRect/>
                    </a:stretch>
                  </pic:blipFill>
                  <pic:spPr>
                    <a:xfrm>
                      <a:off x="0" y="0"/>
                      <a:ext cx="4160520" cy="8371618"/>
                    </a:xfrm>
                    <a:prstGeom prst="rect"/>
                  </pic:spPr>
                </pic:pic>
              </a:graphicData>
            </a:graphic>
          </wp:inline>
        </w:drawing>
      </w:r>
    </w:p>
    <w:p>
      <w:pPr>
        <w:pStyle w:val="CaptionCustom"/>
        <w:jc w:val="center"/>
      </w:pPr>
      <w:r>
        <w:t>Figure 5. Global held-out PIDD SHAP importance. Magnitudes should be interpreted within model family.</w:t>
      </w:r>
    </w:p>
    <w:p>
      <w:r>
        <w:t>Glucose ranked first and BMI second in every model. Higher glucose and BMI were positively associated with model output; age was also positive in the four tree models. Tree-model rank stability was high: mean fold-pair Spearman ranged from 0.9588 to 0.9787. All 25 model/fold explanation sets passed additivity; maximum reconstruction error was approximately 3.1×10⁻⁶.</w:t>
      </w:r>
    </w:p>
    <w:p>
      <w:pPr>
        <w:shd w:fill="FFF4D9"/>
        <w:keepLines/>
        <w:pBdr>
          <w:left w:val="single" w:sz="20" w:space="8" w:color="D99A2B"/>
        </w:pBdr>
        <w:spacing w:before="100" w:after="160"/>
        <w:ind w:left="173" w:right="115"/>
      </w:pPr>
      <w:r>
        <w:rPr>
          <w:b/>
          <w:color w:val="D99A2B"/>
        </w:rPr>
        <w:t xml:space="preserve">Non-causal interpretation  </w:t>
      </w:r>
      <w:r>
        <w:t>SHAP identifies factors contributing to the model estimate. It does not show that a factor caused diabetes. Exploratory age transition values are relative to model baselines in this cohort and are not clinical cutoffs.</w:t>
      </w:r>
    </w:p>
    <w:p>
      <w:pPr>
        <w:pStyle w:val="Heading2"/>
      </w:pPr>
      <w:r>
        <w:t>4.5 Sylhet grouped-pilot results</w:t>
      </w:r>
    </w:p>
    <w:p>
      <w:r>
        <w:t>All identical questionnaire profiles were isolated by group. CatBoost was numerically strongest across all probability metrics, but no paired five-fold comparison remained significant after Holm correction. The high scores require caution because this is a small symptom-rich cohort with predictors close to manifest disease symptoms.</w:t>
      </w:r>
    </w:p>
    <w:tbl>
      <w:tblPr>
        <w:tblStyle w:val="TableGrid"/>
        <w:tblW w:type="dxa" w:w="9360"/>
        <w:jc w:val="left"/>
        <w:tblLayout w:type="fixed"/>
        <w:tblLook w:firstColumn="1" w:firstRow="1" w:lastColumn="0" w:lastRow="0" w:noHBand="0" w:noVBand="1" w:val="04A0"/>
        <w:tblInd w:w="120" w:type="dxa"/>
      </w:tblPr>
      <w:tblGrid>
        <w:gridCol w:w="1685"/>
        <w:gridCol w:w="1919"/>
        <w:gridCol w:w="1919"/>
        <w:gridCol w:w="1919"/>
        <w:gridCol w:w="1918"/>
      </w:tblGrid>
      <w:tr>
        <w:trPr>
          <w:tblHeader w:val="true"/>
        </w:trPr>
        <w:tc>
          <w:tcPr>
            <w:tcW w:type="dxa" w:w="1685"/>
            <w:shd w:fill="17324D"/>
            <w:tcMar>
              <w:top w:w="115" w:type="dxa"/>
              <w:start w:w="120" w:type="dxa"/>
              <w:bottom w:w="115" w:type="dxa"/>
              <w:end w:w="120" w:type="dxa"/>
            </w:tcMar>
            <w:vAlign w:val="center"/>
          </w:tcPr>
          <w:p>
            <w:pPr>
              <w:spacing w:after="0"/>
              <w:jc w:val="center"/>
            </w:pPr>
            <w:r>
              <w:rPr>
                <w:rFonts w:ascii="Arial" w:hAnsi="Arial"/>
                <w:b/>
                <w:color w:val="FFFFFF"/>
                <w:sz w:val="14"/>
              </w:rPr>
              <w:t>Model</w:t>
            </w:r>
          </w:p>
        </w:tc>
        <w:tc>
          <w:tcPr>
            <w:tcW w:type="dxa" w:w="1919"/>
            <w:shd w:fill="17324D"/>
            <w:tcMar>
              <w:top w:w="115" w:type="dxa"/>
              <w:start w:w="120" w:type="dxa"/>
              <w:bottom w:w="115" w:type="dxa"/>
              <w:end w:w="120" w:type="dxa"/>
            </w:tcMar>
            <w:vAlign w:val="center"/>
          </w:tcPr>
          <w:p>
            <w:pPr>
              <w:spacing w:after="0"/>
              <w:jc w:val="center"/>
            </w:pPr>
            <w:r>
              <w:rPr>
                <w:rFonts w:ascii="Arial" w:hAnsi="Arial"/>
                <w:b/>
                <w:color w:val="FFFFFF"/>
                <w:sz w:val="14"/>
              </w:rPr>
              <w:t>AUROC (95% CI)</w:t>
            </w:r>
          </w:p>
        </w:tc>
        <w:tc>
          <w:tcPr>
            <w:tcW w:type="dxa" w:w="1919"/>
            <w:shd w:fill="17324D"/>
            <w:tcMar>
              <w:top w:w="115" w:type="dxa"/>
              <w:start w:w="120" w:type="dxa"/>
              <w:bottom w:w="115" w:type="dxa"/>
              <w:end w:w="120" w:type="dxa"/>
            </w:tcMar>
            <w:vAlign w:val="center"/>
          </w:tcPr>
          <w:p>
            <w:pPr>
              <w:spacing w:after="0"/>
              <w:jc w:val="center"/>
            </w:pPr>
            <w:r>
              <w:rPr>
                <w:rFonts w:ascii="Arial" w:hAnsi="Arial"/>
                <w:b/>
                <w:color w:val="FFFFFF"/>
                <w:sz w:val="14"/>
              </w:rPr>
              <w:t>Average precision (95% CI)</w:t>
            </w:r>
          </w:p>
        </w:tc>
        <w:tc>
          <w:tcPr>
            <w:tcW w:type="dxa" w:w="1919"/>
            <w:shd w:fill="17324D"/>
            <w:tcMar>
              <w:top w:w="115" w:type="dxa"/>
              <w:start w:w="120" w:type="dxa"/>
              <w:bottom w:w="115" w:type="dxa"/>
              <w:end w:w="120" w:type="dxa"/>
            </w:tcMar>
            <w:vAlign w:val="center"/>
          </w:tcPr>
          <w:p>
            <w:pPr>
              <w:spacing w:after="0"/>
              <w:jc w:val="center"/>
            </w:pPr>
            <w:r>
              <w:rPr>
                <w:rFonts w:ascii="Arial" w:hAnsi="Arial"/>
                <w:b/>
                <w:color w:val="FFFFFF"/>
                <w:sz w:val="14"/>
              </w:rPr>
              <w:t>Brier (95% CI)</w:t>
            </w:r>
          </w:p>
        </w:tc>
        <w:tc>
          <w:tcPr>
            <w:tcW w:type="dxa" w:w="1918"/>
            <w:shd w:fill="17324D"/>
            <w:tcMar>
              <w:top w:w="115" w:type="dxa"/>
              <w:start w:w="120" w:type="dxa"/>
              <w:bottom w:w="115" w:type="dxa"/>
              <w:end w:w="120" w:type="dxa"/>
            </w:tcMar>
            <w:vAlign w:val="center"/>
          </w:tcPr>
          <w:p>
            <w:pPr>
              <w:spacing w:after="0"/>
              <w:jc w:val="center"/>
            </w:pPr>
            <w:r>
              <w:rPr>
                <w:rFonts w:ascii="Arial" w:hAnsi="Arial"/>
                <w:b/>
                <w:color w:val="FFFFFF"/>
                <w:sz w:val="14"/>
              </w:rPr>
              <w:t>Log loss (95% CI)</w:t>
            </w:r>
          </w:p>
        </w:tc>
      </w:tr>
      <w:tr>
        <w:trPr>
          <w:cantSplit/>
        </w:trPr>
        <w:tc>
          <w:tcPr>
            <w:tcW w:type="dxa" w:w="1685"/>
            <w:tcMar>
              <w:top w:w="100" w:type="dxa"/>
              <w:start w:w="120" w:type="dxa"/>
              <w:bottom w:w="100" w:type="dxa"/>
              <w:end w:w="120" w:type="dxa"/>
            </w:tcMar>
            <w:vAlign w:val="center"/>
          </w:tcPr>
          <w:p>
            <w:pPr>
              <w:spacing w:after="0" w:line="252" w:lineRule="auto"/>
              <w:jc w:val="left"/>
            </w:pPr>
            <w:r>
              <w:rPr>
                <w:rFonts w:ascii="Arial" w:hAnsi="Arial"/>
                <w:b/>
                <w:color w:val="17324D"/>
                <w:sz w:val="14"/>
              </w:rPr>
              <w:t>CatBoost</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0.9722 [0.9577–0.9820]</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0.9841 [0.9764–0.9899]</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0.0642 [0.0489–0.0803]</w:t>
            </w:r>
          </w:p>
        </w:tc>
        <w:tc>
          <w:tcPr>
            <w:tcW w:type="dxa" w:w="1918"/>
            <w:tcMar>
              <w:top w:w="100" w:type="dxa"/>
              <w:start w:w="120" w:type="dxa"/>
              <w:bottom w:w="100" w:type="dxa"/>
              <w:end w:w="120" w:type="dxa"/>
            </w:tcMar>
            <w:vAlign w:val="center"/>
          </w:tcPr>
          <w:p>
            <w:pPr>
              <w:spacing w:after="0" w:line="252" w:lineRule="auto"/>
              <w:jc w:val="center"/>
            </w:pPr>
            <w:r>
              <w:rPr>
                <w:rFonts w:ascii="Arial" w:hAnsi="Arial"/>
                <w:sz w:val="14"/>
              </w:rPr>
              <w:t>0.2093 [0.1662–0.2567]</w:t>
            </w:r>
          </w:p>
        </w:tc>
      </w:tr>
      <w:tr>
        <w:trPr>
          <w:cantSplit/>
        </w:trPr>
        <w:tc>
          <w:tcPr>
            <w:tcW w:type="dxa" w:w="1685"/>
            <w:shd w:fill="F3F5F7"/>
            <w:tcMar>
              <w:top w:w="100" w:type="dxa"/>
              <w:start w:w="120" w:type="dxa"/>
              <w:bottom w:w="100" w:type="dxa"/>
              <w:end w:w="120" w:type="dxa"/>
            </w:tcMar>
            <w:vAlign w:val="center"/>
          </w:tcPr>
          <w:p>
            <w:pPr>
              <w:spacing w:after="0" w:line="252" w:lineRule="auto"/>
              <w:jc w:val="left"/>
            </w:pPr>
            <w:r>
              <w:rPr>
                <w:rFonts w:ascii="Arial" w:hAnsi="Arial"/>
                <w:b/>
                <w:color w:val="17324D"/>
                <w:sz w:val="14"/>
              </w:rPr>
              <w:t>LightGBM</w:t>
            </w:r>
          </w:p>
        </w:tc>
        <w:tc>
          <w:tcPr>
            <w:tcW w:type="dxa" w:w="1919"/>
            <w:shd w:fill="F3F5F7"/>
            <w:tcMar>
              <w:top w:w="100" w:type="dxa"/>
              <w:start w:w="120" w:type="dxa"/>
              <w:bottom w:w="100" w:type="dxa"/>
              <w:end w:w="120" w:type="dxa"/>
            </w:tcMar>
            <w:vAlign w:val="center"/>
          </w:tcPr>
          <w:p>
            <w:pPr>
              <w:spacing w:after="0" w:line="252" w:lineRule="auto"/>
              <w:jc w:val="center"/>
            </w:pPr>
            <w:r>
              <w:rPr>
                <w:rFonts w:ascii="Arial" w:hAnsi="Arial"/>
                <w:sz w:val="14"/>
              </w:rPr>
              <w:t>0.9649 [0.9515–0.9784]</w:t>
            </w:r>
          </w:p>
        </w:tc>
        <w:tc>
          <w:tcPr>
            <w:tcW w:type="dxa" w:w="1919"/>
            <w:shd w:fill="F3F5F7"/>
            <w:tcMar>
              <w:top w:w="100" w:type="dxa"/>
              <w:start w:w="120" w:type="dxa"/>
              <w:bottom w:w="100" w:type="dxa"/>
              <w:end w:w="120" w:type="dxa"/>
            </w:tcMar>
            <w:vAlign w:val="center"/>
          </w:tcPr>
          <w:p>
            <w:pPr>
              <w:spacing w:after="0" w:line="252" w:lineRule="auto"/>
              <w:jc w:val="center"/>
            </w:pPr>
            <w:r>
              <w:rPr>
                <w:rFonts w:ascii="Arial" w:hAnsi="Arial"/>
                <w:sz w:val="14"/>
              </w:rPr>
              <w:t>0.9801 [0.9730–0.9872]</w:t>
            </w:r>
          </w:p>
        </w:tc>
        <w:tc>
          <w:tcPr>
            <w:tcW w:type="dxa" w:w="1919"/>
            <w:shd w:fill="F3F5F7"/>
            <w:tcMar>
              <w:top w:w="100" w:type="dxa"/>
              <w:start w:w="120" w:type="dxa"/>
              <w:bottom w:w="100" w:type="dxa"/>
              <w:end w:w="120" w:type="dxa"/>
            </w:tcMar>
            <w:vAlign w:val="center"/>
          </w:tcPr>
          <w:p>
            <w:pPr>
              <w:spacing w:after="0" w:line="252" w:lineRule="auto"/>
              <w:jc w:val="center"/>
            </w:pPr>
            <w:r>
              <w:rPr>
                <w:rFonts w:ascii="Arial" w:hAnsi="Arial"/>
                <w:sz w:val="14"/>
              </w:rPr>
              <w:t>0.0701 [0.0570–0.0836]</w:t>
            </w:r>
          </w:p>
        </w:tc>
        <w:tc>
          <w:tcPr>
            <w:tcW w:type="dxa" w:w="1918"/>
            <w:shd w:fill="F3F5F7"/>
            <w:tcMar>
              <w:top w:w="100" w:type="dxa"/>
              <w:start w:w="120" w:type="dxa"/>
              <w:bottom w:w="100" w:type="dxa"/>
              <w:end w:w="120" w:type="dxa"/>
            </w:tcMar>
            <w:vAlign w:val="center"/>
          </w:tcPr>
          <w:p>
            <w:pPr>
              <w:spacing w:after="0" w:line="252" w:lineRule="auto"/>
              <w:jc w:val="center"/>
            </w:pPr>
            <w:r>
              <w:rPr>
                <w:rFonts w:ascii="Arial" w:hAnsi="Arial"/>
                <w:sz w:val="14"/>
              </w:rPr>
              <w:t>0.2373 [0.1954–0.2811]</w:t>
            </w:r>
          </w:p>
        </w:tc>
      </w:tr>
      <w:tr>
        <w:trPr>
          <w:cantSplit/>
        </w:trPr>
        <w:tc>
          <w:tcPr>
            <w:tcW w:type="dxa" w:w="1685"/>
            <w:tcMar>
              <w:top w:w="100" w:type="dxa"/>
              <w:start w:w="120" w:type="dxa"/>
              <w:bottom w:w="100" w:type="dxa"/>
              <w:end w:w="120" w:type="dxa"/>
            </w:tcMar>
            <w:vAlign w:val="center"/>
          </w:tcPr>
          <w:p>
            <w:pPr>
              <w:spacing w:after="0" w:line="252" w:lineRule="auto"/>
              <w:jc w:val="left"/>
            </w:pPr>
            <w:r>
              <w:rPr>
                <w:rFonts w:ascii="Arial" w:hAnsi="Arial"/>
                <w:b/>
                <w:color w:val="17324D"/>
                <w:sz w:val="14"/>
              </w:rPr>
              <w:t>Random Forest</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0.9586 [0.9436–0.9728]</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0.9749 [0.9668–0.9828]</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0.0759 [0.0623–0.0896]</w:t>
            </w:r>
          </w:p>
        </w:tc>
        <w:tc>
          <w:tcPr>
            <w:tcW w:type="dxa" w:w="1918"/>
            <w:tcMar>
              <w:top w:w="100" w:type="dxa"/>
              <w:start w:w="120" w:type="dxa"/>
              <w:bottom w:w="100" w:type="dxa"/>
              <w:end w:w="120" w:type="dxa"/>
            </w:tcMar>
            <w:vAlign w:val="center"/>
          </w:tcPr>
          <w:p>
            <w:pPr>
              <w:spacing w:after="0" w:line="252" w:lineRule="auto"/>
              <w:jc w:val="center"/>
            </w:pPr>
            <w:r>
              <w:rPr>
                <w:rFonts w:ascii="Arial" w:hAnsi="Arial"/>
                <w:sz w:val="14"/>
              </w:rPr>
              <w:t>0.2518 [0.2074–0.2972]</w:t>
            </w:r>
          </w:p>
        </w:tc>
      </w:tr>
      <w:tr>
        <w:trPr>
          <w:cantSplit/>
        </w:trPr>
        <w:tc>
          <w:tcPr>
            <w:tcW w:type="dxa" w:w="1685"/>
            <w:shd w:fill="F3F5F7"/>
            <w:tcMar>
              <w:top w:w="100" w:type="dxa"/>
              <w:start w:w="120" w:type="dxa"/>
              <w:bottom w:w="100" w:type="dxa"/>
              <w:end w:w="120" w:type="dxa"/>
            </w:tcMar>
            <w:vAlign w:val="center"/>
          </w:tcPr>
          <w:p>
            <w:pPr>
              <w:spacing w:after="0" w:line="252" w:lineRule="auto"/>
              <w:jc w:val="left"/>
            </w:pPr>
            <w:r>
              <w:rPr>
                <w:rFonts w:ascii="Arial" w:hAnsi="Arial"/>
                <w:b/>
                <w:color w:val="17324D"/>
                <w:sz w:val="14"/>
              </w:rPr>
              <w:t>XGBoost</w:t>
            </w:r>
          </w:p>
        </w:tc>
        <w:tc>
          <w:tcPr>
            <w:tcW w:type="dxa" w:w="1919"/>
            <w:shd w:fill="F3F5F7"/>
            <w:tcMar>
              <w:top w:w="100" w:type="dxa"/>
              <w:start w:w="120" w:type="dxa"/>
              <w:bottom w:w="100" w:type="dxa"/>
              <w:end w:w="120" w:type="dxa"/>
            </w:tcMar>
            <w:vAlign w:val="center"/>
          </w:tcPr>
          <w:p>
            <w:pPr>
              <w:spacing w:after="0" w:line="252" w:lineRule="auto"/>
              <w:jc w:val="center"/>
            </w:pPr>
            <w:r>
              <w:rPr>
                <w:rFonts w:ascii="Arial" w:hAnsi="Arial"/>
                <w:sz w:val="14"/>
              </w:rPr>
              <w:t>0.9535 [0.9362–0.9712]</w:t>
            </w:r>
          </w:p>
        </w:tc>
        <w:tc>
          <w:tcPr>
            <w:tcW w:type="dxa" w:w="1919"/>
            <w:shd w:fill="F3F5F7"/>
            <w:tcMar>
              <w:top w:w="100" w:type="dxa"/>
              <w:start w:w="120" w:type="dxa"/>
              <w:bottom w:w="100" w:type="dxa"/>
              <w:end w:w="120" w:type="dxa"/>
            </w:tcMar>
            <w:vAlign w:val="center"/>
          </w:tcPr>
          <w:p>
            <w:pPr>
              <w:spacing w:after="0" w:line="252" w:lineRule="auto"/>
              <w:jc w:val="center"/>
            </w:pPr>
            <w:r>
              <w:rPr>
                <w:rFonts w:ascii="Arial" w:hAnsi="Arial"/>
                <w:sz w:val="14"/>
              </w:rPr>
              <w:t>0.9709 [0.9606–0.9817]</w:t>
            </w:r>
          </w:p>
        </w:tc>
        <w:tc>
          <w:tcPr>
            <w:tcW w:type="dxa" w:w="1919"/>
            <w:shd w:fill="F3F5F7"/>
            <w:tcMar>
              <w:top w:w="100" w:type="dxa"/>
              <w:start w:w="120" w:type="dxa"/>
              <w:bottom w:w="100" w:type="dxa"/>
              <w:end w:w="120" w:type="dxa"/>
            </w:tcMar>
            <w:vAlign w:val="center"/>
          </w:tcPr>
          <w:p>
            <w:pPr>
              <w:spacing w:after="0" w:line="252" w:lineRule="auto"/>
              <w:jc w:val="center"/>
            </w:pPr>
            <w:r>
              <w:rPr>
                <w:rFonts w:ascii="Arial" w:hAnsi="Arial"/>
                <w:sz w:val="14"/>
              </w:rPr>
              <w:t>0.0800 [0.0630–0.0958]</w:t>
            </w:r>
          </w:p>
        </w:tc>
        <w:tc>
          <w:tcPr>
            <w:tcW w:type="dxa" w:w="1918"/>
            <w:shd w:fill="F3F5F7"/>
            <w:tcMar>
              <w:top w:w="100" w:type="dxa"/>
              <w:start w:w="120" w:type="dxa"/>
              <w:bottom w:w="100" w:type="dxa"/>
              <w:end w:w="120" w:type="dxa"/>
            </w:tcMar>
            <w:vAlign w:val="center"/>
          </w:tcPr>
          <w:p>
            <w:pPr>
              <w:spacing w:after="0" w:line="252" w:lineRule="auto"/>
              <w:jc w:val="center"/>
            </w:pPr>
            <w:r>
              <w:rPr>
                <w:rFonts w:ascii="Arial" w:hAnsi="Arial"/>
                <w:sz w:val="14"/>
              </w:rPr>
              <w:t>0.2665 [0.2162–0.3093]</w:t>
            </w:r>
          </w:p>
        </w:tc>
      </w:tr>
      <w:tr>
        <w:trPr>
          <w:cantSplit/>
        </w:trPr>
        <w:tc>
          <w:tcPr>
            <w:tcW w:type="dxa" w:w="1685"/>
            <w:tcMar>
              <w:top w:w="100" w:type="dxa"/>
              <w:start w:w="120" w:type="dxa"/>
              <w:bottom w:w="100" w:type="dxa"/>
              <w:end w:w="120" w:type="dxa"/>
            </w:tcMar>
            <w:vAlign w:val="center"/>
          </w:tcPr>
          <w:p>
            <w:pPr>
              <w:spacing w:after="0" w:line="252" w:lineRule="auto"/>
              <w:jc w:val="left"/>
            </w:pPr>
            <w:r>
              <w:rPr>
                <w:rFonts w:ascii="Arial" w:hAnsi="Arial"/>
                <w:b/>
                <w:color w:val="17324D"/>
                <w:sz w:val="14"/>
              </w:rPr>
              <w:t>Logistic Regression</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0.9478 [0.9287–0.9644]</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0.9704 [0.9591–0.9785]</w:t>
            </w:r>
          </w:p>
        </w:tc>
        <w:tc>
          <w:tcPr>
            <w:tcW w:type="dxa" w:w="1919"/>
            <w:tcMar>
              <w:top w:w="100" w:type="dxa"/>
              <w:start w:w="120" w:type="dxa"/>
              <w:bottom w:w="100" w:type="dxa"/>
              <w:end w:w="120" w:type="dxa"/>
            </w:tcMar>
            <w:vAlign w:val="center"/>
          </w:tcPr>
          <w:p>
            <w:pPr>
              <w:spacing w:after="0" w:line="252" w:lineRule="auto"/>
              <w:jc w:val="center"/>
            </w:pPr>
            <w:r>
              <w:rPr>
                <w:rFonts w:ascii="Arial" w:hAnsi="Arial"/>
                <w:sz w:val="14"/>
              </w:rPr>
              <w:t>0.0871 [0.0718–0.1033]</w:t>
            </w:r>
          </w:p>
        </w:tc>
        <w:tc>
          <w:tcPr>
            <w:tcW w:type="dxa" w:w="1918"/>
            <w:tcMar>
              <w:top w:w="100" w:type="dxa"/>
              <w:start w:w="120" w:type="dxa"/>
              <w:bottom w:w="100" w:type="dxa"/>
              <w:end w:w="120" w:type="dxa"/>
            </w:tcMar>
            <w:vAlign w:val="center"/>
          </w:tcPr>
          <w:p>
            <w:pPr>
              <w:spacing w:after="0" w:line="252" w:lineRule="auto"/>
              <w:jc w:val="center"/>
            </w:pPr>
            <w:r>
              <w:rPr>
                <w:rFonts w:ascii="Arial" w:hAnsi="Arial"/>
                <w:sz w:val="14"/>
              </w:rPr>
              <w:t>0.3026 [0.2434–0.3692]</w:t>
            </w:r>
          </w:p>
        </w:tc>
      </w:tr>
    </w:tbl>
    <w:p>
      <w:pPr>
        <w:spacing w:after="20"/>
      </w:pPr>
    </w:p>
    <w:p>
      <w:pPr>
        <w:keepNext/>
        <w:jc w:val="center"/>
      </w:pPr>
      <w:r>
        <w:drawing>
          <wp:inline xmlns:a="http://schemas.openxmlformats.org/drawingml/2006/main" xmlns:pic="http://schemas.openxmlformats.org/drawingml/2006/picture">
            <wp:extent cx="5669280" cy="4586418"/>
            <wp:docPr id="6" name="Picture 6" descr="Figure 6. Sylhet grouped held-out ROC curves."/>
            <wp:cNvGraphicFramePr>
              <a:graphicFrameLocks noChangeAspect="1"/>
            </wp:cNvGraphicFramePr>
            <a:graphic>
              <a:graphicData uri="http://schemas.openxmlformats.org/drawingml/2006/picture">
                <pic:pic>
                  <pic:nvPicPr>
                    <pic:cNvPr id="0" name="roc_curves.png"/>
                    <pic:cNvPicPr/>
                  </pic:nvPicPr>
                  <pic:blipFill>
                    <a:blip r:embed="rId16"/>
                    <a:stretch>
                      <a:fillRect/>
                    </a:stretch>
                  </pic:blipFill>
                  <pic:spPr>
                    <a:xfrm>
                      <a:off x="0" y="0"/>
                      <a:ext cx="5669280" cy="4586418"/>
                    </a:xfrm>
                    <a:prstGeom prst="rect"/>
                  </pic:spPr>
                </pic:pic>
              </a:graphicData>
            </a:graphic>
          </wp:inline>
        </w:drawing>
      </w:r>
    </w:p>
    <w:p>
      <w:pPr>
        <w:pStyle w:val="CaptionCustom"/>
        <w:jc w:val="center"/>
      </w:pPr>
      <w:r>
        <w:t>Figure 6. Sylhet grouped held-out ROC curves.</w:t>
      </w:r>
    </w:p>
    <w:p>
      <w:pPr>
        <w:pStyle w:val="Heading3"/>
      </w:pPr>
      <w:r>
        <w:t>Sylhet calibration lesson</w:t>
      </w:r>
    </w:p>
    <w:p>
      <w:r>
        <w:t>An exploratory run allowed isotonic calibration on approximately 416 training rows and produced extreme probabilities: XGBoost log loss 0.5070 and LightGBM log loss 0.3426. After declaring isotonic ineligible below 1,000 calibration samples, log loss improved to 0.2665 and 0.2373. This failure analysis directly strengthened the final calibration contract.</w:t>
      </w:r>
    </w:p>
    <w:p>
      <w:pPr>
        <w:pStyle w:val="Heading3"/>
      </w:pPr>
      <w:r>
        <w:t>Sylhet SHAP</w:t>
      </w:r>
    </w:p>
    <w:p>
      <w:r>
        <w:t>Polyuria ranked first for CatBoost, LightGBM, Random Forest and XGBoost; polydipsia ranked first for Logistic Regression and second for the other four; gender ranked third in all five. Itching, irritability, partial paresis, sudden weight loss, alopecia and age filled the remaining top positions. Random Forest had mean full-rank Spearman 0.9303 and top-five Jaccard 1.0; other models were less stable in the lower ranks.</w:t>
      </w:r>
    </w:p>
    <w:p>
      <w:pPr>
        <w:keepNext/>
        <w:jc w:val="center"/>
      </w:pPr>
      <w:r>
        <w:drawing>
          <wp:inline xmlns:a="http://schemas.openxmlformats.org/drawingml/2006/main" xmlns:pic="http://schemas.openxmlformats.org/drawingml/2006/picture">
            <wp:extent cx="4160520" cy="8356568"/>
            <wp:docPr id="7" name="Picture 7" descr="Figure 7. Global held-out Sylhet SHAP importance across the five benchmark models."/>
            <wp:cNvGraphicFramePr>
              <a:graphicFrameLocks noChangeAspect="1"/>
            </wp:cNvGraphicFramePr>
            <a:graphic>
              <a:graphicData uri="http://schemas.openxmlformats.org/drawingml/2006/picture">
                <pic:pic>
                  <pic:nvPicPr>
                    <pic:cNvPr id="0" name="global_shap_importance.png"/>
                    <pic:cNvPicPr/>
                  </pic:nvPicPr>
                  <pic:blipFill>
                    <a:blip r:embed="rId17"/>
                    <a:stretch>
                      <a:fillRect/>
                    </a:stretch>
                  </pic:blipFill>
                  <pic:spPr>
                    <a:xfrm>
                      <a:off x="0" y="0"/>
                      <a:ext cx="4160520" cy="8356568"/>
                    </a:xfrm>
                    <a:prstGeom prst="rect"/>
                  </pic:spPr>
                </pic:pic>
              </a:graphicData>
            </a:graphic>
          </wp:inline>
        </w:drawing>
      </w:r>
    </w:p>
    <w:p>
      <w:pPr>
        <w:pStyle w:val="CaptionCustom"/>
        <w:jc w:val="center"/>
      </w:pPr>
      <w:r>
        <w:t>Figure 7. Global held-out Sylhet SHAP importance across the five benchmark models.</w:t>
      </w:r>
    </w:p>
    <w:p>
      <w:pPr>
        <w:pStyle w:val="Heading2"/>
      </w:pPr>
      <w:r>
        <w:t>4.6 BRFSS smoke holdout</w:t>
      </w:r>
    </w:p>
    <w:p>
      <w:r>
        <w:t>The holdout engine selected CatBoost from development probabilities. XGBoost was marginally better on held-out AUROC and average precision, illustrating why test results must not be used to retroactively change the champion. No pairwise difference was Holm-significant.</w:t>
      </w:r>
    </w:p>
    <w:tbl>
      <w:tblPr>
        <w:tblStyle w:val="TableGrid"/>
        <w:tblW w:type="dxa" w:w="9360"/>
        <w:jc w:val="left"/>
        <w:tblLayout w:type="fixed"/>
        <w:tblLook w:firstColumn="1" w:firstRow="1" w:lastColumn="0" w:lastRow="0" w:noHBand="0" w:noVBand="1" w:val="04A0"/>
        <w:tblInd w:w="120" w:type="dxa"/>
      </w:tblPr>
      <w:tblGrid>
        <w:gridCol w:w="2621"/>
        <w:gridCol w:w="1685"/>
        <w:gridCol w:w="1685"/>
        <w:gridCol w:w="1685"/>
        <w:gridCol w:w="1684"/>
      </w:tblGrid>
      <w:tr>
        <w:trPr>
          <w:tblHeader w:val="true"/>
        </w:trPr>
        <w:tc>
          <w:tcPr>
            <w:tcW w:type="dxa" w:w="2621"/>
            <w:shd w:fill="17324D"/>
            <w:tcMar>
              <w:top w:w="115" w:type="dxa"/>
              <w:start w:w="120" w:type="dxa"/>
              <w:bottom w:w="115" w:type="dxa"/>
              <w:end w:w="120" w:type="dxa"/>
            </w:tcMar>
            <w:vAlign w:val="center"/>
          </w:tcPr>
          <w:p>
            <w:pPr>
              <w:spacing w:after="0"/>
              <w:jc w:val="center"/>
            </w:pPr>
            <w:r>
              <w:rPr>
                <w:rFonts w:ascii="Arial" w:hAnsi="Arial"/>
                <w:b/>
                <w:color w:val="FFFFFF"/>
                <w:sz w:val="17"/>
              </w:rPr>
              <w:t>Model</w:t>
            </w:r>
          </w:p>
        </w:tc>
        <w:tc>
          <w:tcPr>
            <w:tcW w:type="dxa" w:w="1685"/>
            <w:shd w:fill="17324D"/>
            <w:tcMar>
              <w:top w:w="115" w:type="dxa"/>
              <w:start w:w="120" w:type="dxa"/>
              <w:bottom w:w="115" w:type="dxa"/>
              <w:end w:w="120" w:type="dxa"/>
            </w:tcMar>
            <w:vAlign w:val="center"/>
          </w:tcPr>
          <w:p>
            <w:pPr>
              <w:spacing w:after="0"/>
              <w:jc w:val="center"/>
            </w:pPr>
            <w:r>
              <w:rPr>
                <w:rFonts w:ascii="Arial" w:hAnsi="Arial"/>
                <w:b/>
                <w:color w:val="FFFFFF"/>
                <w:sz w:val="17"/>
              </w:rPr>
              <w:t>AUROC</w:t>
            </w:r>
          </w:p>
        </w:tc>
        <w:tc>
          <w:tcPr>
            <w:tcW w:type="dxa" w:w="1685"/>
            <w:shd w:fill="17324D"/>
            <w:tcMar>
              <w:top w:w="115" w:type="dxa"/>
              <w:start w:w="120" w:type="dxa"/>
              <w:bottom w:w="115" w:type="dxa"/>
              <w:end w:w="120" w:type="dxa"/>
            </w:tcMar>
            <w:vAlign w:val="center"/>
          </w:tcPr>
          <w:p>
            <w:pPr>
              <w:spacing w:after="0"/>
              <w:jc w:val="center"/>
            </w:pPr>
            <w:r>
              <w:rPr>
                <w:rFonts w:ascii="Arial" w:hAnsi="Arial"/>
                <w:b/>
                <w:color w:val="FFFFFF"/>
                <w:sz w:val="17"/>
              </w:rPr>
              <w:t>Average precision</w:t>
            </w:r>
          </w:p>
        </w:tc>
        <w:tc>
          <w:tcPr>
            <w:tcW w:type="dxa" w:w="1685"/>
            <w:shd w:fill="17324D"/>
            <w:tcMar>
              <w:top w:w="115" w:type="dxa"/>
              <w:start w:w="120" w:type="dxa"/>
              <w:bottom w:w="115" w:type="dxa"/>
              <w:end w:w="120" w:type="dxa"/>
            </w:tcMar>
            <w:vAlign w:val="center"/>
          </w:tcPr>
          <w:p>
            <w:pPr>
              <w:spacing w:after="0"/>
              <w:jc w:val="center"/>
            </w:pPr>
            <w:r>
              <w:rPr>
                <w:rFonts w:ascii="Arial" w:hAnsi="Arial"/>
                <w:b/>
                <w:color w:val="FFFFFF"/>
                <w:sz w:val="17"/>
              </w:rPr>
              <w:t>Brier</w:t>
            </w:r>
          </w:p>
        </w:tc>
        <w:tc>
          <w:tcPr>
            <w:tcW w:type="dxa" w:w="1684"/>
            <w:shd w:fill="17324D"/>
            <w:tcMar>
              <w:top w:w="115" w:type="dxa"/>
              <w:start w:w="120" w:type="dxa"/>
              <w:bottom w:w="115" w:type="dxa"/>
              <w:end w:w="120" w:type="dxa"/>
            </w:tcMar>
            <w:vAlign w:val="center"/>
          </w:tcPr>
          <w:p>
            <w:pPr>
              <w:spacing w:after="0"/>
              <w:jc w:val="center"/>
            </w:pPr>
            <w:r>
              <w:rPr>
                <w:rFonts w:ascii="Arial" w:hAnsi="Arial"/>
                <w:b/>
                <w:color w:val="FFFFFF"/>
                <w:sz w:val="17"/>
              </w:rPr>
              <w:t>Log loss</w:t>
            </w:r>
          </w:p>
        </w:tc>
      </w:tr>
      <w:tr>
        <w:trPr>
          <w:cantSplit/>
        </w:trPr>
        <w:tc>
          <w:tcPr>
            <w:tcW w:type="dxa" w:w="2621"/>
            <w:tcMar>
              <w:top w:w="100" w:type="dxa"/>
              <w:start w:w="120" w:type="dxa"/>
              <w:bottom w:w="100" w:type="dxa"/>
              <w:end w:w="120" w:type="dxa"/>
            </w:tcMar>
            <w:vAlign w:val="center"/>
          </w:tcPr>
          <w:p>
            <w:pPr>
              <w:spacing w:after="0" w:line="252" w:lineRule="auto"/>
              <w:jc w:val="left"/>
            </w:pPr>
            <w:r>
              <w:rPr>
                <w:rFonts w:ascii="Arial" w:hAnsi="Arial"/>
                <w:b/>
                <w:color w:val="17324D"/>
                <w:sz w:val="17"/>
              </w:rPr>
              <w:t>XGBoost</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0.8318</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0.4221</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0.0935</w:t>
            </w:r>
          </w:p>
        </w:tc>
        <w:tc>
          <w:tcPr>
            <w:tcW w:type="dxa" w:w="1684"/>
            <w:tcMar>
              <w:top w:w="100" w:type="dxa"/>
              <w:start w:w="120" w:type="dxa"/>
              <w:bottom w:w="100" w:type="dxa"/>
              <w:end w:w="120" w:type="dxa"/>
            </w:tcMar>
            <w:vAlign w:val="center"/>
          </w:tcPr>
          <w:p>
            <w:pPr>
              <w:spacing w:after="0" w:line="252" w:lineRule="auto"/>
              <w:jc w:val="center"/>
            </w:pPr>
            <w:r>
              <w:rPr>
                <w:rFonts w:ascii="Arial" w:hAnsi="Arial"/>
                <w:sz w:val="17"/>
              </w:rPr>
              <w:t>0.3044</w:t>
            </w:r>
          </w:p>
        </w:tc>
      </w:tr>
      <w:tr>
        <w:trPr>
          <w:cantSplit/>
        </w:trPr>
        <w:tc>
          <w:tcPr>
            <w:tcW w:type="dxa" w:w="2621"/>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CatBoost (dev champion)</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0.8308</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0.4199</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0.0936</w:t>
            </w:r>
          </w:p>
        </w:tc>
        <w:tc>
          <w:tcPr>
            <w:tcW w:type="dxa" w:w="1684"/>
            <w:shd w:fill="F3F5F7"/>
            <w:tcMar>
              <w:top w:w="100" w:type="dxa"/>
              <w:start w:w="120" w:type="dxa"/>
              <w:bottom w:w="100" w:type="dxa"/>
              <w:end w:w="120" w:type="dxa"/>
            </w:tcMar>
            <w:vAlign w:val="center"/>
          </w:tcPr>
          <w:p>
            <w:pPr>
              <w:spacing w:after="0" w:line="252" w:lineRule="auto"/>
              <w:jc w:val="center"/>
            </w:pPr>
            <w:r>
              <w:rPr>
                <w:rFonts w:ascii="Arial" w:hAnsi="Arial"/>
                <w:sz w:val="17"/>
              </w:rPr>
              <w:t>0.3039</w:t>
            </w:r>
          </w:p>
        </w:tc>
      </w:tr>
      <w:tr>
        <w:trPr>
          <w:cantSplit/>
        </w:trPr>
        <w:tc>
          <w:tcPr>
            <w:tcW w:type="dxa" w:w="2621"/>
            <w:tcMar>
              <w:top w:w="100" w:type="dxa"/>
              <w:start w:w="120" w:type="dxa"/>
              <w:bottom w:w="100" w:type="dxa"/>
              <w:end w:w="120" w:type="dxa"/>
            </w:tcMar>
            <w:vAlign w:val="center"/>
          </w:tcPr>
          <w:p>
            <w:pPr>
              <w:spacing w:after="0" w:line="252" w:lineRule="auto"/>
              <w:jc w:val="left"/>
            </w:pPr>
            <w:r>
              <w:rPr>
                <w:rFonts w:ascii="Arial" w:hAnsi="Arial"/>
                <w:b/>
                <w:color w:val="17324D"/>
                <w:sz w:val="17"/>
              </w:rPr>
              <w:t>Random Forest</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0.8257</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0.4148</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0.0940</w:t>
            </w:r>
          </w:p>
        </w:tc>
        <w:tc>
          <w:tcPr>
            <w:tcW w:type="dxa" w:w="1684"/>
            <w:tcMar>
              <w:top w:w="100" w:type="dxa"/>
              <w:start w:w="120" w:type="dxa"/>
              <w:bottom w:w="100" w:type="dxa"/>
              <w:end w:w="120" w:type="dxa"/>
            </w:tcMar>
            <w:vAlign w:val="center"/>
          </w:tcPr>
          <w:p>
            <w:pPr>
              <w:spacing w:after="0" w:line="252" w:lineRule="auto"/>
              <w:jc w:val="center"/>
            </w:pPr>
            <w:r>
              <w:rPr>
                <w:rFonts w:ascii="Arial" w:hAnsi="Arial"/>
                <w:sz w:val="17"/>
              </w:rPr>
              <w:t>0.3073</w:t>
            </w:r>
          </w:p>
        </w:tc>
      </w:tr>
      <w:tr>
        <w:trPr>
          <w:cantSplit/>
        </w:trPr>
        <w:tc>
          <w:tcPr>
            <w:tcW w:type="dxa" w:w="2621"/>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LightGBM</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0.8135</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0.3936</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0.0963</w:t>
            </w:r>
          </w:p>
        </w:tc>
        <w:tc>
          <w:tcPr>
            <w:tcW w:type="dxa" w:w="1684"/>
            <w:shd w:fill="F3F5F7"/>
            <w:tcMar>
              <w:top w:w="100" w:type="dxa"/>
              <w:start w:w="120" w:type="dxa"/>
              <w:bottom w:w="100" w:type="dxa"/>
              <w:end w:w="120" w:type="dxa"/>
            </w:tcMar>
            <w:vAlign w:val="center"/>
          </w:tcPr>
          <w:p>
            <w:pPr>
              <w:spacing w:after="0" w:line="252" w:lineRule="auto"/>
              <w:jc w:val="center"/>
            </w:pPr>
            <w:r>
              <w:rPr>
                <w:rFonts w:ascii="Arial" w:hAnsi="Arial"/>
                <w:sz w:val="17"/>
              </w:rPr>
              <w:t>0.3142</w:t>
            </w:r>
          </w:p>
        </w:tc>
      </w:tr>
    </w:tbl>
    <w:p>
      <w:pPr>
        <w:spacing w:after="20"/>
      </w:pPr>
    </w:p>
    <w:p>
      <w:r>
        <w:t>At development-selected sensitivity thresholds, sampled-test sensitivity ranged from 0.761 to 0.798 and specificity from 0.678 to 0.732. Leading original-feature SHAP variables were general health, age, BMI, high blood pressure and high cholesterol.</w:t>
      </w:r>
    </w:p>
    <w:p>
      <w:pPr>
        <w:keepNext/>
        <w:jc w:val="center"/>
      </w:pPr>
      <w:r>
        <w:drawing>
          <wp:inline xmlns:a="http://schemas.openxmlformats.org/drawingml/2006/main" xmlns:pic="http://schemas.openxmlformats.org/drawingml/2006/picture">
            <wp:extent cx="5669280" cy="9138961"/>
            <wp:docPr id="8" name="Picture 8" descr="Figure 8. BRFSS held-out original-feature SHAP importance (500 sampled test rows per model)."/>
            <wp:cNvGraphicFramePr>
              <a:graphicFrameLocks noChangeAspect="1"/>
            </wp:cNvGraphicFramePr>
            <a:graphic>
              <a:graphicData uri="http://schemas.openxmlformats.org/drawingml/2006/picture">
                <pic:pic>
                  <pic:nvPicPr>
                    <pic:cNvPr id="0" name="global_shap_importance.png"/>
                    <pic:cNvPicPr/>
                  </pic:nvPicPr>
                  <pic:blipFill>
                    <a:blip r:embed="rId18"/>
                    <a:stretch>
                      <a:fillRect/>
                    </a:stretch>
                  </pic:blipFill>
                  <pic:spPr>
                    <a:xfrm>
                      <a:off x="0" y="0"/>
                      <a:ext cx="5669280" cy="9138961"/>
                    </a:xfrm>
                    <a:prstGeom prst="rect"/>
                  </pic:spPr>
                </pic:pic>
              </a:graphicData>
            </a:graphic>
          </wp:inline>
        </w:drawing>
      </w:r>
    </w:p>
    <w:p>
      <w:pPr>
        <w:pStyle w:val="CaptionCustom"/>
        <w:jc w:val="center"/>
      </w:pPr>
      <w:r>
        <w:t>Figure 8. BRFSS held-out original-feature SHAP importance (500 sampled test rows per model).</w:t>
      </w:r>
    </w:p>
    <w:p>
      <w:pPr>
        <w:shd w:fill="FBEAEA"/>
        <w:keepLines/>
        <w:pBdr>
          <w:left w:val="single" w:sz="20" w:space="8" w:color="A33A3A"/>
        </w:pBdr>
        <w:spacing w:before="100" w:after="160"/>
        <w:ind w:left="173" w:right="115"/>
      </w:pPr>
      <w:r>
        <w:rPr>
          <w:b/>
          <w:color w:val="A33A3A"/>
        </w:rPr>
        <w:t xml:space="preserve">Evidence restriction  </w:t>
      </w:r>
      <w:r>
        <w:t>This study used 10,000 development and 10,000 test rows, two tuning trials and 50 bootstrap resamples. It verifies the large-cohort code path and is not a publication estimate.</w:t>
      </w:r>
    </w:p>
    <w:p>
      <w:pPr>
        <w:pStyle w:val="Heading2"/>
      </w:pPr>
      <w:r>
        <w:t>4.7 Hospital130 smoke holdout</w:t>
      </w:r>
    </w:p>
    <w:p>
      <w:r>
        <w:t>XGBoost was selected from development data and narrowly led the sampled test metrics. Performance was substantially lower than screening performance because the endpoint—30-day readmission—is a different and more difficult prediction task.</w:t>
      </w:r>
    </w:p>
    <w:tbl>
      <w:tblPr>
        <w:tblStyle w:val="TableGrid"/>
        <w:tblW w:type="dxa" w:w="9360"/>
        <w:jc w:val="left"/>
        <w:tblLayout w:type="fixed"/>
        <w:tblLook w:firstColumn="1" w:firstRow="1" w:lastColumn="0" w:lastRow="0" w:noHBand="0" w:noVBand="1" w:val="04A0"/>
        <w:tblInd w:w="120" w:type="dxa"/>
      </w:tblPr>
      <w:tblGrid>
        <w:gridCol w:w="2621"/>
        <w:gridCol w:w="1685"/>
        <w:gridCol w:w="1685"/>
        <w:gridCol w:w="1685"/>
        <w:gridCol w:w="1684"/>
      </w:tblGrid>
      <w:tr>
        <w:trPr>
          <w:tblHeader w:val="true"/>
        </w:trPr>
        <w:tc>
          <w:tcPr>
            <w:tcW w:type="dxa" w:w="2621"/>
            <w:shd w:fill="17324D"/>
            <w:tcMar>
              <w:top w:w="115" w:type="dxa"/>
              <w:start w:w="120" w:type="dxa"/>
              <w:bottom w:w="115" w:type="dxa"/>
              <w:end w:w="120" w:type="dxa"/>
            </w:tcMar>
            <w:vAlign w:val="center"/>
          </w:tcPr>
          <w:p>
            <w:pPr>
              <w:spacing w:after="0"/>
              <w:jc w:val="center"/>
            </w:pPr>
            <w:r>
              <w:rPr>
                <w:rFonts w:ascii="Arial" w:hAnsi="Arial"/>
                <w:b/>
                <w:color w:val="FFFFFF"/>
                <w:sz w:val="17"/>
              </w:rPr>
              <w:t>Model</w:t>
            </w:r>
          </w:p>
        </w:tc>
        <w:tc>
          <w:tcPr>
            <w:tcW w:type="dxa" w:w="1685"/>
            <w:shd w:fill="17324D"/>
            <w:tcMar>
              <w:top w:w="115" w:type="dxa"/>
              <w:start w:w="120" w:type="dxa"/>
              <w:bottom w:w="115" w:type="dxa"/>
              <w:end w:w="120" w:type="dxa"/>
            </w:tcMar>
            <w:vAlign w:val="center"/>
          </w:tcPr>
          <w:p>
            <w:pPr>
              <w:spacing w:after="0"/>
              <w:jc w:val="center"/>
            </w:pPr>
            <w:r>
              <w:rPr>
                <w:rFonts w:ascii="Arial" w:hAnsi="Arial"/>
                <w:b/>
                <w:color w:val="FFFFFF"/>
                <w:sz w:val="17"/>
              </w:rPr>
              <w:t>AUROC</w:t>
            </w:r>
          </w:p>
        </w:tc>
        <w:tc>
          <w:tcPr>
            <w:tcW w:type="dxa" w:w="1685"/>
            <w:shd w:fill="17324D"/>
            <w:tcMar>
              <w:top w:w="115" w:type="dxa"/>
              <w:start w:w="120" w:type="dxa"/>
              <w:bottom w:w="115" w:type="dxa"/>
              <w:end w:w="120" w:type="dxa"/>
            </w:tcMar>
            <w:vAlign w:val="center"/>
          </w:tcPr>
          <w:p>
            <w:pPr>
              <w:spacing w:after="0"/>
              <w:jc w:val="center"/>
            </w:pPr>
            <w:r>
              <w:rPr>
                <w:rFonts w:ascii="Arial" w:hAnsi="Arial"/>
                <w:b/>
                <w:color w:val="FFFFFF"/>
                <w:sz w:val="17"/>
              </w:rPr>
              <w:t>Average precision</w:t>
            </w:r>
          </w:p>
        </w:tc>
        <w:tc>
          <w:tcPr>
            <w:tcW w:type="dxa" w:w="1685"/>
            <w:shd w:fill="17324D"/>
            <w:tcMar>
              <w:top w:w="115" w:type="dxa"/>
              <w:start w:w="120" w:type="dxa"/>
              <w:bottom w:w="115" w:type="dxa"/>
              <w:end w:w="120" w:type="dxa"/>
            </w:tcMar>
            <w:vAlign w:val="center"/>
          </w:tcPr>
          <w:p>
            <w:pPr>
              <w:spacing w:after="0"/>
              <w:jc w:val="center"/>
            </w:pPr>
            <w:r>
              <w:rPr>
                <w:rFonts w:ascii="Arial" w:hAnsi="Arial"/>
                <w:b/>
                <w:color w:val="FFFFFF"/>
                <w:sz w:val="17"/>
              </w:rPr>
              <w:t>Brier</w:t>
            </w:r>
          </w:p>
        </w:tc>
        <w:tc>
          <w:tcPr>
            <w:tcW w:type="dxa" w:w="1684"/>
            <w:shd w:fill="17324D"/>
            <w:tcMar>
              <w:top w:w="115" w:type="dxa"/>
              <w:start w:w="120" w:type="dxa"/>
              <w:bottom w:w="115" w:type="dxa"/>
              <w:end w:w="120" w:type="dxa"/>
            </w:tcMar>
            <w:vAlign w:val="center"/>
          </w:tcPr>
          <w:p>
            <w:pPr>
              <w:spacing w:after="0"/>
              <w:jc w:val="center"/>
            </w:pPr>
            <w:r>
              <w:rPr>
                <w:rFonts w:ascii="Arial" w:hAnsi="Arial"/>
                <w:b/>
                <w:color w:val="FFFFFF"/>
                <w:sz w:val="17"/>
              </w:rPr>
              <w:t>Log loss</w:t>
            </w:r>
          </w:p>
        </w:tc>
      </w:tr>
      <w:tr>
        <w:trPr>
          <w:cantSplit/>
        </w:trPr>
        <w:tc>
          <w:tcPr>
            <w:tcW w:type="dxa" w:w="2621"/>
            <w:tcMar>
              <w:top w:w="100" w:type="dxa"/>
              <w:start w:w="120" w:type="dxa"/>
              <w:bottom w:w="100" w:type="dxa"/>
              <w:end w:w="120" w:type="dxa"/>
            </w:tcMar>
            <w:vAlign w:val="center"/>
          </w:tcPr>
          <w:p>
            <w:pPr>
              <w:spacing w:after="0" w:line="252" w:lineRule="auto"/>
              <w:jc w:val="left"/>
            </w:pPr>
            <w:r>
              <w:rPr>
                <w:rFonts w:ascii="Arial" w:hAnsi="Arial"/>
                <w:b/>
                <w:color w:val="17324D"/>
                <w:sz w:val="17"/>
              </w:rPr>
              <w:t>XGBoost (dev champion)</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0.6589</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0.2065</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0.0973</w:t>
            </w:r>
          </w:p>
        </w:tc>
        <w:tc>
          <w:tcPr>
            <w:tcW w:type="dxa" w:w="1684"/>
            <w:tcMar>
              <w:top w:w="100" w:type="dxa"/>
              <w:start w:w="120" w:type="dxa"/>
              <w:bottom w:w="100" w:type="dxa"/>
              <w:end w:w="120" w:type="dxa"/>
            </w:tcMar>
            <w:vAlign w:val="center"/>
          </w:tcPr>
          <w:p>
            <w:pPr>
              <w:spacing w:after="0" w:line="252" w:lineRule="auto"/>
              <w:jc w:val="center"/>
            </w:pPr>
            <w:r>
              <w:rPr>
                <w:rFonts w:ascii="Arial" w:hAnsi="Arial"/>
                <w:sz w:val="17"/>
              </w:rPr>
              <w:t>0.3382</w:t>
            </w:r>
          </w:p>
        </w:tc>
      </w:tr>
      <w:tr>
        <w:trPr>
          <w:cantSplit/>
        </w:trPr>
        <w:tc>
          <w:tcPr>
            <w:tcW w:type="dxa" w:w="2621"/>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Random Forest</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0.6584</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0.2040</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0.0973</w:t>
            </w:r>
          </w:p>
        </w:tc>
        <w:tc>
          <w:tcPr>
            <w:tcW w:type="dxa" w:w="1684"/>
            <w:shd w:fill="F3F5F7"/>
            <w:tcMar>
              <w:top w:w="100" w:type="dxa"/>
              <w:start w:w="120" w:type="dxa"/>
              <w:bottom w:w="100" w:type="dxa"/>
              <w:end w:w="120" w:type="dxa"/>
            </w:tcMar>
            <w:vAlign w:val="center"/>
          </w:tcPr>
          <w:p>
            <w:pPr>
              <w:spacing w:after="0" w:line="252" w:lineRule="auto"/>
              <w:jc w:val="center"/>
            </w:pPr>
            <w:r>
              <w:rPr>
                <w:rFonts w:ascii="Arial" w:hAnsi="Arial"/>
                <w:sz w:val="17"/>
              </w:rPr>
              <w:t>0.3383</w:t>
            </w:r>
          </w:p>
        </w:tc>
      </w:tr>
      <w:tr>
        <w:trPr>
          <w:cantSplit/>
        </w:trPr>
        <w:tc>
          <w:tcPr>
            <w:tcW w:type="dxa" w:w="2621"/>
            <w:tcMar>
              <w:top w:w="100" w:type="dxa"/>
              <w:start w:w="120" w:type="dxa"/>
              <w:bottom w:w="100" w:type="dxa"/>
              <w:end w:w="120" w:type="dxa"/>
            </w:tcMar>
            <w:vAlign w:val="center"/>
          </w:tcPr>
          <w:p>
            <w:pPr>
              <w:spacing w:after="0" w:line="252" w:lineRule="auto"/>
              <w:jc w:val="left"/>
            </w:pPr>
            <w:r>
              <w:rPr>
                <w:rFonts w:ascii="Arial" w:hAnsi="Arial"/>
                <w:b/>
                <w:color w:val="17324D"/>
                <w:sz w:val="17"/>
              </w:rPr>
              <w:t>CatBoost</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0.6516</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0.2003</w:t>
            </w:r>
          </w:p>
        </w:tc>
        <w:tc>
          <w:tcPr>
            <w:tcW w:type="dxa" w:w="1685"/>
            <w:tcMar>
              <w:top w:w="100" w:type="dxa"/>
              <w:start w:w="120" w:type="dxa"/>
              <w:bottom w:w="100" w:type="dxa"/>
              <w:end w:w="120" w:type="dxa"/>
            </w:tcMar>
            <w:vAlign w:val="center"/>
          </w:tcPr>
          <w:p>
            <w:pPr>
              <w:spacing w:after="0" w:line="252" w:lineRule="auto"/>
              <w:jc w:val="center"/>
            </w:pPr>
            <w:r>
              <w:rPr>
                <w:rFonts w:ascii="Arial" w:hAnsi="Arial"/>
                <w:sz w:val="17"/>
              </w:rPr>
              <w:t>0.0976</w:t>
            </w:r>
          </w:p>
        </w:tc>
        <w:tc>
          <w:tcPr>
            <w:tcW w:type="dxa" w:w="1684"/>
            <w:tcMar>
              <w:top w:w="100" w:type="dxa"/>
              <w:start w:w="120" w:type="dxa"/>
              <w:bottom w:w="100" w:type="dxa"/>
              <w:end w:w="120" w:type="dxa"/>
            </w:tcMar>
            <w:vAlign w:val="center"/>
          </w:tcPr>
          <w:p>
            <w:pPr>
              <w:spacing w:after="0" w:line="252" w:lineRule="auto"/>
              <w:jc w:val="center"/>
            </w:pPr>
            <w:r>
              <w:rPr>
                <w:rFonts w:ascii="Arial" w:hAnsi="Arial"/>
                <w:sz w:val="17"/>
              </w:rPr>
              <w:t>0.3396</w:t>
            </w:r>
          </w:p>
        </w:tc>
      </w:tr>
      <w:tr>
        <w:trPr>
          <w:cantSplit/>
        </w:trPr>
        <w:tc>
          <w:tcPr>
            <w:tcW w:type="dxa" w:w="2621"/>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LightGBM</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0.6334</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0.1874</w:t>
            </w:r>
          </w:p>
        </w:tc>
        <w:tc>
          <w:tcPr>
            <w:tcW w:type="dxa" w:w="1685"/>
            <w:shd w:fill="F3F5F7"/>
            <w:tcMar>
              <w:top w:w="100" w:type="dxa"/>
              <w:start w:w="120" w:type="dxa"/>
              <w:bottom w:w="100" w:type="dxa"/>
              <w:end w:w="120" w:type="dxa"/>
            </w:tcMar>
            <w:vAlign w:val="center"/>
          </w:tcPr>
          <w:p>
            <w:pPr>
              <w:spacing w:after="0" w:line="252" w:lineRule="auto"/>
              <w:jc w:val="center"/>
            </w:pPr>
            <w:r>
              <w:rPr>
                <w:rFonts w:ascii="Arial" w:hAnsi="Arial"/>
                <w:sz w:val="17"/>
              </w:rPr>
              <w:t>0.0984</w:t>
            </w:r>
          </w:p>
        </w:tc>
        <w:tc>
          <w:tcPr>
            <w:tcW w:type="dxa" w:w="1684"/>
            <w:shd w:fill="F3F5F7"/>
            <w:tcMar>
              <w:top w:w="100" w:type="dxa"/>
              <w:start w:w="120" w:type="dxa"/>
              <w:bottom w:w="100" w:type="dxa"/>
              <w:end w:w="120" w:type="dxa"/>
            </w:tcMar>
            <w:vAlign w:val="center"/>
          </w:tcPr>
          <w:p>
            <w:pPr>
              <w:spacing w:after="0" w:line="252" w:lineRule="auto"/>
              <w:jc w:val="center"/>
            </w:pPr>
            <w:r>
              <w:rPr>
                <w:rFonts w:ascii="Arial" w:hAnsi="Arial"/>
                <w:sz w:val="17"/>
              </w:rPr>
              <w:t>0.3430</w:t>
            </w:r>
          </w:p>
        </w:tc>
      </w:tr>
    </w:tbl>
    <w:p>
      <w:pPr>
        <w:spacing w:after="20"/>
      </w:pPr>
    </w:p>
    <w:p>
      <w:r>
        <w:t>At threshold 0.5, sensitivity was approximately zero because calibrated probabilities reflected an 11.4% event prevalence. Development-selected Youden thresholds yielded sensitivity 0.566–0.671 and specificity 0.559–0.634. The 80%-sensitivity policy yielded sensitivity 0.809–0.860 but specificity only 0.273–0.378. This demonstrates why probability quality and operating policy must be presented separately.</w:t>
      </w:r>
    </w:p>
    <w:p>
      <w:r>
        <w:t>Held-out SHAP consistently highlighted previous inpatient utilization, with discharge disposition, number of diagnoses, payer/specialty and other utilization/care variables also prominent. Categorical one-hot components were aggregated back to the 46 original source variables for the primary interpretation.</w:t>
      </w:r>
    </w:p>
    <w:p>
      <w:pPr>
        <w:shd w:fill="FBEAEA"/>
        <w:keepLines/>
        <w:pBdr>
          <w:left w:val="single" w:sz="20" w:space="8" w:color="A33A3A"/>
        </w:pBdr>
        <w:spacing w:before="100" w:after="160"/>
        <w:ind w:left="173" w:right="115"/>
      </w:pPr>
      <w:r>
        <w:rPr>
          <w:b/>
          <w:color w:val="A33A3A"/>
        </w:rPr>
        <w:t xml:space="preserve">Evidence restriction  </w:t>
      </w:r>
      <w:r>
        <w:t>This is a corrected engineering smoke run, not a final readmission study. Patient-cluster bootstrap is implemented for the final analysis.</w:t>
      </w:r>
    </w:p>
    <w:p>
      <w:pPr>
        <w:keepNext/>
        <w:jc w:val="center"/>
      </w:pPr>
      <w:r>
        <w:drawing>
          <wp:inline xmlns:a="http://schemas.openxmlformats.org/drawingml/2006/main" xmlns:pic="http://schemas.openxmlformats.org/drawingml/2006/picture">
            <wp:extent cx="4983480" cy="8008123"/>
            <wp:docPr id="9" name="Picture 9" descr="Figure 9. Hospital130 held-out original-feature SHAP importance (200 sampled test encounters per model)."/>
            <wp:cNvGraphicFramePr>
              <a:graphicFrameLocks noChangeAspect="1"/>
            </wp:cNvGraphicFramePr>
            <a:graphic>
              <a:graphicData uri="http://schemas.openxmlformats.org/drawingml/2006/picture">
                <pic:pic>
                  <pic:nvPicPr>
                    <pic:cNvPr id="0" name="global_shap_importance.png"/>
                    <pic:cNvPicPr/>
                  </pic:nvPicPr>
                  <pic:blipFill>
                    <a:blip r:embed="rId19"/>
                    <a:stretch>
                      <a:fillRect/>
                    </a:stretch>
                  </pic:blipFill>
                  <pic:spPr>
                    <a:xfrm>
                      <a:off x="0" y="0"/>
                      <a:ext cx="4983480" cy="8008123"/>
                    </a:xfrm>
                    <a:prstGeom prst="rect"/>
                  </pic:spPr>
                </pic:pic>
              </a:graphicData>
            </a:graphic>
          </wp:inline>
        </w:drawing>
      </w:r>
    </w:p>
    <w:p>
      <w:pPr>
        <w:pStyle w:val="CaptionCustom"/>
        <w:jc w:val="center"/>
      </w:pPr>
      <w:r>
        <w:t>Figure 9. Hospital130 held-out original-feature SHAP importance (200 sampled test encounters per model).</w:t>
      </w:r>
    </w:p>
    <w:p>
      <w:r>
        <w:br w:type="page"/>
      </w:r>
    </w:p>
    <w:p>
      <w:pPr>
        <w:pStyle w:val="Heading1"/>
      </w:pPr>
      <w:r>
        <w:t>5. SHAP Explainability Design</w:t>
      </w:r>
    </w:p>
    <w:p>
      <w:pPr>
        <w:pStyle w:val="Heading2"/>
      </w:pPr>
      <w:r>
        <w:t>5.1 Explanation contract</w:t>
      </w:r>
    </w:p>
    <w:p>
      <w:pPr>
        <w:pStyle w:val="ListBullet"/>
      </w:pPr>
      <w:r>
        <w:t>Reported SHAP values come only from outer-validation patients or held-out test rows.</w:t>
      </w:r>
    </w:p>
    <w:p>
      <w:pPr>
        <w:pStyle w:val="ListBullet"/>
      </w:pPr>
      <w:r>
        <w:t>Background/reference data come only from the corresponding development partition.</w:t>
      </w:r>
    </w:p>
    <w:p>
      <w:pPr>
        <w:pStyle w:val="ListBullet"/>
      </w:pPr>
      <w:r>
        <w:t>Every explanation must reconstruct the base-model output within an absolute error of 10⁻⁴.</w:t>
      </w:r>
    </w:p>
    <w:p>
      <w:pPr>
        <w:pStyle w:val="ListBullet"/>
      </w:pPr>
      <w:r>
        <w:t>Transformed categorical components are grouped back to their original source variable for Hospital130 interpretation.</w:t>
      </w:r>
    </w:p>
    <w:p>
      <w:pPr>
        <w:pStyle w:val="ListBullet"/>
      </w:pPr>
      <w:r>
        <w:t>SHAP scales differ across model families; magnitudes are normalized within fold before patient-level aggregation.</w:t>
      </w:r>
    </w:p>
    <w:p>
      <w:pPr>
        <w:pStyle w:val="ListBullet"/>
      </w:pPr>
      <w:r>
        <w:t>Local wording uses “raised” or “lowered the model estimate,” never causal language.</w:t>
      </w:r>
    </w:p>
    <w:p>
      <w:pPr>
        <w:pStyle w:val="Heading2"/>
      </w:pPr>
      <w:r>
        <w:t>5.2 Global and local outputs</w:t>
      </w:r>
    </w:p>
    <w:tbl>
      <w:tblPr>
        <w:tblStyle w:val="TableGrid"/>
        <w:tblW w:type="dxa" w:w="9360"/>
        <w:jc w:val="left"/>
        <w:tblLayout w:type="fixed"/>
        <w:tblLook w:firstColumn="1" w:firstRow="1" w:lastColumn="0" w:lastRow="0" w:noHBand="0" w:noVBand="1" w:val="04A0"/>
        <w:tblInd w:w="120" w:type="dxa"/>
      </w:tblPr>
      <w:tblGrid>
        <w:gridCol w:w="2808"/>
        <w:gridCol w:w="6552"/>
      </w:tblGrid>
      <w:tr>
        <w:trPr>
          <w:tblHeader w:val="true"/>
        </w:trPr>
        <w:tc>
          <w:tcPr>
            <w:tcW w:type="dxa" w:w="2808"/>
            <w:shd w:fill="17324D"/>
            <w:tcMar>
              <w:top w:w="115" w:type="dxa"/>
              <w:start w:w="120" w:type="dxa"/>
              <w:bottom w:w="115" w:type="dxa"/>
              <w:end w:w="120" w:type="dxa"/>
            </w:tcMar>
            <w:vAlign w:val="center"/>
          </w:tcPr>
          <w:p>
            <w:pPr>
              <w:spacing w:after="0"/>
              <w:jc w:val="center"/>
            </w:pPr>
            <w:r>
              <w:rPr>
                <w:rFonts w:ascii="Arial" w:hAnsi="Arial"/>
                <w:b/>
                <w:color w:val="FFFFFF"/>
                <w:sz w:val="18"/>
              </w:rPr>
              <w:t>Output</w:t>
            </w:r>
          </w:p>
        </w:tc>
        <w:tc>
          <w:tcPr>
            <w:tcW w:type="dxa" w:w="6552"/>
            <w:shd w:fill="17324D"/>
            <w:tcMar>
              <w:top w:w="115" w:type="dxa"/>
              <w:start w:w="120" w:type="dxa"/>
              <w:bottom w:w="115" w:type="dxa"/>
              <w:end w:w="120" w:type="dxa"/>
            </w:tcMar>
            <w:vAlign w:val="center"/>
          </w:tcPr>
          <w:p>
            <w:pPr>
              <w:spacing w:after="0"/>
              <w:jc w:val="center"/>
            </w:pPr>
            <w:r>
              <w:rPr>
                <w:rFonts w:ascii="Arial" w:hAnsi="Arial"/>
                <w:b/>
                <w:color w:val="FFFFFF"/>
                <w:sz w:val="18"/>
              </w:rPr>
              <w:t>Purpose</w:t>
            </w:r>
          </w:p>
        </w:tc>
      </w:tr>
      <w:tr>
        <w:trPr>
          <w:cantSplit/>
        </w:trPr>
        <w:tc>
          <w:tcPr>
            <w:tcW w:type="dxa" w:w="2808"/>
            <w:tcMar>
              <w:top w:w="100" w:type="dxa"/>
              <w:start w:w="120" w:type="dxa"/>
              <w:bottom w:w="100" w:type="dxa"/>
              <w:end w:w="120" w:type="dxa"/>
            </w:tcMar>
            <w:vAlign w:val="center"/>
          </w:tcPr>
          <w:p>
            <w:pPr>
              <w:spacing w:after="0" w:line="252" w:lineRule="auto"/>
              <w:jc w:val="left"/>
            </w:pPr>
            <w:r>
              <w:rPr>
                <w:rFonts w:ascii="Arial" w:hAnsi="Arial"/>
                <w:b/>
                <w:color w:val="17324D"/>
                <w:sz w:val="18"/>
              </w:rPr>
              <w:t>Global importance</w:t>
            </w:r>
          </w:p>
        </w:tc>
        <w:tc>
          <w:tcPr>
            <w:tcW w:type="dxa" w:w="6552"/>
            <w:tcMar>
              <w:top w:w="100" w:type="dxa"/>
              <w:start w:w="120" w:type="dxa"/>
              <w:bottom w:w="100" w:type="dxa"/>
              <w:end w:w="120" w:type="dxa"/>
            </w:tcMar>
            <w:vAlign w:val="center"/>
          </w:tcPr>
          <w:p>
            <w:pPr>
              <w:spacing w:after="0" w:line="252" w:lineRule="auto"/>
              <w:jc w:val="left"/>
            </w:pPr>
            <w:r>
              <w:rPr>
                <w:rFonts w:ascii="Arial" w:hAnsi="Arial"/>
                <w:sz w:val="18"/>
              </w:rPr>
              <w:t>Ranks features by mean absolute SHAP within model</w:t>
            </w:r>
          </w:p>
        </w:tc>
      </w:tr>
      <w:tr>
        <w:trPr>
          <w:cantSplit/>
        </w:trPr>
        <w:tc>
          <w:tcPr>
            <w:tcW w:type="dxa" w:w="2808"/>
            <w:shd w:fill="F3F5F7"/>
            <w:tcMar>
              <w:top w:w="100" w:type="dxa"/>
              <w:start w:w="120" w:type="dxa"/>
              <w:bottom w:w="100" w:type="dxa"/>
              <w:end w:w="120" w:type="dxa"/>
            </w:tcMar>
            <w:vAlign w:val="center"/>
          </w:tcPr>
          <w:p>
            <w:pPr>
              <w:spacing w:after="0" w:line="252" w:lineRule="auto"/>
              <w:jc w:val="left"/>
            </w:pPr>
            <w:r>
              <w:rPr>
                <w:rFonts w:ascii="Arial" w:hAnsi="Arial"/>
                <w:b/>
                <w:color w:val="17324D"/>
                <w:sz w:val="18"/>
              </w:rPr>
              <w:t>Beeswarm plots</w:t>
            </w:r>
          </w:p>
        </w:tc>
        <w:tc>
          <w:tcPr>
            <w:tcW w:type="dxa" w:w="6552"/>
            <w:shd w:fill="F3F5F7"/>
            <w:tcMar>
              <w:top w:w="100" w:type="dxa"/>
              <w:start w:w="120" w:type="dxa"/>
              <w:bottom w:w="100" w:type="dxa"/>
              <w:end w:w="120" w:type="dxa"/>
            </w:tcMar>
            <w:vAlign w:val="center"/>
          </w:tcPr>
          <w:p>
            <w:pPr>
              <w:spacing w:after="0" w:line="252" w:lineRule="auto"/>
              <w:jc w:val="left"/>
            </w:pPr>
            <w:r>
              <w:rPr>
                <w:rFonts w:ascii="Arial" w:hAnsi="Arial"/>
                <w:sz w:val="18"/>
              </w:rPr>
              <w:t>Shows direction and distribution of contributions</w:t>
            </w:r>
          </w:p>
        </w:tc>
      </w:tr>
      <w:tr>
        <w:trPr>
          <w:cantSplit/>
        </w:trPr>
        <w:tc>
          <w:tcPr>
            <w:tcW w:type="dxa" w:w="2808"/>
            <w:tcMar>
              <w:top w:w="100" w:type="dxa"/>
              <w:start w:w="120" w:type="dxa"/>
              <w:bottom w:w="100" w:type="dxa"/>
              <w:end w:w="120" w:type="dxa"/>
            </w:tcMar>
            <w:vAlign w:val="center"/>
          </w:tcPr>
          <w:p>
            <w:pPr>
              <w:spacing w:after="0" w:line="252" w:lineRule="auto"/>
              <w:jc w:val="left"/>
            </w:pPr>
            <w:r>
              <w:rPr>
                <w:rFonts w:ascii="Arial" w:hAnsi="Arial"/>
                <w:b/>
                <w:color w:val="17324D"/>
                <w:sz w:val="18"/>
              </w:rPr>
              <w:t>Dependence bins</w:t>
            </w:r>
          </w:p>
        </w:tc>
        <w:tc>
          <w:tcPr>
            <w:tcW w:type="dxa" w:w="6552"/>
            <w:tcMar>
              <w:top w:w="100" w:type="dxa"/>
              <w:start w:w="120" w:type="dxa"/>
              <w:bottom w:w="100" w:type="dxa"/>
              <w:end w:w="120" w:type="dxa"/>
            </w:tcMar>
            <w:vAlign w:val="center"/>
          </w:tcPr>
          <w:p>
            <w:pPr>
              <w:spacing w:after="0" w:line="252" w:lineRule="auto"/>
              <w:jc w:val="left"/>
            </w:pPr>
            <w:r>
              <w:rPr>
                <w:rFonts w:ascii="Arial" w:hAnsi="Arial"/>
                <w:sz w:val="18"/>
              </w:rPr>
              <w:t>Explores how feature values relate to contributions</w:t>
            </w:r>
          </w:p>
        </w:tc>
      </w:tr>
      <w:tr>
        <w:trPr>
          <w:cantSplit/>
        </w:trPr>
        <w:tc>
          <w:tcPr>
            <w:tcW w:type="dxa" w:w="2808"/>
            <w:shd w:fill="F3F5F7"/>
            <w:tcMar>
              <w:top w:w="100" w:type="dxa"/>
              <w:start w:w="120" w:type="dxa"/>
              <w:bottom w:w="100" w:type="dxa"/>
              <w:end w:w="120" w:type="dxa"/>
            </w:tcMar>
            <w:vAlign w:val="center"/>
          </w:tcPr>
          <w:p>
            <w:pPr>
              <w:spacing w:after="0" w:line="252" w:lineRule="auto"/>
              <w:jc w:val="left"/>
            </w:pPr>
            <w:r>
              <w:rPr>
                <w:rFonts w:ascii="Arial" w:hAnsi="Arial"/>
                <w:b/>
                <w:color w:val="17324D"/>
                <w:sz w:val="18"/>
              </w:rPr>
              <w:t>Fold stability</w:t>
            </w:r>
          </w:p>
        </w:tc>
        <w:tc>
          <w:tcPr>
            <w:tcW w:type="dxa" w:w="6552"/>
            <w:shd w:fill="F3F5F7"/>
            <w:tcMar>
              <w:top w:w="100" w:type="dxa"/>
              <w:start w:w="120" w:type="dxa"/>
              <w:bottom w:w="100" w:type="dxa"/>
              <w:end w:w="120" w:type="dxa"/>
            </w:tcMar>
            <w:vAlign w:val="center"/>
          </w:tcPr>
          <w:p>
            <w:pPr>
              <w:spacing w:after="0" w:line="252" w:lineRule="auto"/>
              <w:jc w:val="left"/>
            </w:pPr>
            <w:r>
              <w:rPr>
                <w:rFonts w:ascii="Arial" w:hAnsi="Arial"/>
                <w:sz w:val="18"/>
              </w:rPr>
              <w:t>Spearman rank and top-k Jaccard consistency</w:t>
            </w:r>
          </w:p>
        </w:tc>
      </w:tr>
      <w:tr>
        <w:trPr>
          <w:cantSplit/>
        </w:trPr>
        <w:tc>
          <w:tcPr>
            <w:tcW w:type="dxa" w:w="2808"/>
            <w:tcMar>
              <w:top w:w="100" w:type="dxa"/>
              <w:start w:w="120" w:type="dxa"/>
              <w:bottom w:w="100" w:type="dxa"/>
              <w:end w:w="120" w:type="dxa"/>
            </w:tcMar>
            <w:vAlign w:val="center"/>
          </w:tcPr>
          <w:p>
            <w:pPr>
              <w:spacing w:after="0" w:line="252" w:lineRule="auto"/>
              <w:jc w:val="left"/>
            </w:pPr>
            <w:r>
              <w:rPr>
                <w:rFonts w:ascii="Arial" w:hAnsi="Arial"/>
                <w:b/>
                <w:color w:val="17324D"/>
                <w:sz w:val="18"/>
              </w:rPr>
              <w:t>Local contributors</w:t>
            </w:r>
          </w:p>
        </w:tc>
        <w:tc>
          <w:tcPr>
            <w:tcW w:type="dxa" w:w="6552"/>
            <w:tcMar>
              <w:top w:w="100" w:type="dxa"/>
              <w:start w:w="120" w:type="dxa"/>
              <w:bottom w:w="100" w:type="dxa"/>
              <w:end w:w="120" w:type="dxa"/>
            </w:tcMar>
            <w:vAlign w:val="center"/>
          </w:tcPr>
          <w:p>
            <w:pPr>
              <w:spacing w:after="0" w:line="252" w:lineRule="auto"/>
              <w:jc w:val="left"/>
            </w:pPr>
            <w:r>
              <w:rPr>
                <w:rFonts w:ascii="Arial" w:hAnsi="Arial"/>
                <w:sz w:val="18"/>
              </w:rPr>
              <w:t>Top factors for each held-out patient/encounter</w:t>
            </w:r>
          </w:p>
        </w:tc>
      </w:tr>
      <w:tr>
        <w:trPr>
          <w:cantSplit/>
        </w:trPr>
        <w:tc>
          <w:tcPr>
            <w:tcW w:type="dxa" w:w="2808"/>
            <w:shd w:fill="F3F5F7"/>
            <w:tcMar>
              <w:top w:w="100" w:type="dxa"/>
              <w:start w:w="120" w:type="dxa"/>
              <w:bottom w:w="100" w:type="dxa"/>
              <w:end w:w="120" w:type="dxa"/>
            </w:tcMar>
            <w:vAlign w:val="center"/>
          </w:tcPr>
          <w:p>
            <w:pPr>
              <w:spacing w:after="0" w:line="252" w:lineRule="auto"/>
              <w:jc w:val="left"/>
            </w:pPr>
            <w:r>
              <w:rPr>
                <w:rFonts w:ascii="Arial" w:hAnsi="Arial"/>
                <w:b/>
                <w:color w:val="17324D"/>
                <w:sz w:val="18"/>
              </w:rPr>
              <w:t>Additivity checks</w:t>
            </w:r>
          </w:p>
        </w:tc>
        <w:tc>
          <w:tcPr>
            <w:tcW w:type="dxa" w:w="6552"/>
            <w:shd w:fill="F3F5F7"/>
            <w:tcMar>
              <w:top w:w="100" w:type="dxa"/>
              <w:start w:w="120" w:type="dxa"/>
              <w:bottom w:w="100" w:type="dxa"/>
              <w:end w:w="120" w:type="dxa"/>
            </w:tcMar>
            <w:vAlign w:val="center"/>
          </w:tcPr>
          <w:p>
            <w:pPr>
              <w:spacing w:after="0" w:line="252" w:lineRule="auto"/>
              <w:jc w:val="left"/>
            </w:pPr>
            <w:r>
              <w:rPr>
                <w:rFonts w:ascii="Arial" w:hAnsi="Arial"/>
                <w:sz w:val="18"/>
              </w:rPr>
              <w:t>Verifies numerical reconstruction of base-model output</w:t>
            </w:r>
          </w:p>
        </w:tc>
      </w:tr>
    </w:tbl>
    <w:p>
      <w:pPr>
        <w:spacing w:after="20"/>
      </w:pPr>
    </w:p>
    <w:p>
      <w:pPr>
        <w:pStyle w:val="Heading2"/>
      </w:pPr>
      <w:r>
        <w:t>5.3 Summary of dominant factors</w:t>
      </w:r>
    </w:p>
    <w:tbl>
      <w:tblPr>
        <w:tblStyle w:val="TableGrid"/>
        <w:tblW w:type="dxa" w:w="9360"/>
        <w:jc w:val="left"/>
        <w:tblLayout w:type="fixed"/>
        <w:tblLook w:firstColumn="1" w:firstRow="1" w:lastColumn="0" w:lastRow="0" w:noHBand="0" w:noVBand="1" w:val="04A0"/>
        <w:tblInd w:w="120" w:type="dxa"/>
      </w:tblPr>
      <w:tblGrid>
        <w:gridCol w:w="1404"/>
        <w:gridCol w:w="3744"/>
        <w:gridCol w:w="4212"/>
      </w:tblGrid>
      <w:tr>
        <w:trPr>
          <w:tblHeader w:val="true"/>
        </w:trPr>
        <w:tc>
          <w:tcPr>
            <w:tcW w:type="dxa" w:w="1404"/>
            <w:shd w:fill="17324D"/>
            <w:tcMar>
              <w:top w:w="115" w:type="dxa"/>
              <w:start w:w="120" w:type="dxa"/>
              <w:bottom w:w="115" w:type="dxa"/>
              <w:end w:w="120" w:type="dxa"/>
            </w:tcMar>
            <w:vAlign w:val="center"/>
          </w:tcPr>
          <w:p>
            <w:pPr>
              <w:spacing w:after="0"/>
              <w:jc w:val="center"/>
            </w:pPr>
            <w:r>
              <w:rPr>
                <w:rFonts w:ascii="Arial" w:hAnsi="Arial"/>
                <w:b/>
                <w:color w:val="FFFFFF"/>
                <w:sz w:val="16"/>
              </w:rPr>
              <w:t>Dataset</w:t>
            </w:r>
          </w:p>
        </w:tc>
        <w:tc>
          <w:tcPr>
            <w:tcW w:type="dxa" w:w="3744"/>
            <w:shd w:fill="17324D"/>
            <w:tcMar>
              <w:top w:w="115" w:type="dxa"/>
              <w:start w:w="120" w:type="dxa"/>
              <w:bottom w:w="115" w:type="dxa"/>
              <w:end w:w="120" w:type="dxa"/>
            </w:tcMar>
            <w:vAlign w:val="center"/>
          </w:tcPr>
          <w:p>
            <w:pPr>
              <w:spacing w:after="0"/>
              <w:jc w:val="center"/>
            </w:pPr>
            <w:r>
              <w:rPr>
                <w:rFonts w:ascii="Arial" w:hAnsi="Arial"/>
                <w:b/>
                <w:color w:val="FFFFFF"/>
                <w:sz w:val="16"/>
              </w:rPr>
              <w:t>Leading factors</w:t>
            </w:r>
          </w:p>
        </w:tc>
        <w:tc>
          <w:tcPr>
            <w:tcW w:type="dxa" w:w="4212"/>
            <w:shd w:fill="17324D"/>
            <w:tcMar>
              <w:top w:w="115" w:type="dxa"/>
              <w:start w:w="120" w:type="dxa"/>
              <w:bottom w:w="115" w:type="dxa"/>
              <w:end w:w="120" w:type="dxa"/>
            </w:tcMar>
            <w:vAlign w:val="center"/>
          </w:tcPr>
          <w:p>
            <w:pPr>
              <w:spacing w:after="0"/>
              <w:jc w:val="center"/>
            </w:pPr>
            <w:r>
              <w:rPr>
                <w:rFonts w:ascii="Arial" w:hAnsi="Arial"/>
                <w:b/>
                <w:color w:val="FFFFFF"/>
                <w:sz w:val="16"/>
              </w:rPr>
              <w:t>Interpretive caution</w:t>
            </w:r>
          </w:p>
        </w:tc>
      </w:tr>
      <w:tr>
        <w:trPr>
          <w:cantSplit/>
        </w:trPr>
        <w:tc>
          <w:tcPr>
            <w:tcW w:type="dxa" w:w="1404"/>
            <w:tcMar>
              <w:top w:w="100" w:type="dxa"/>
              <w:start w:w="120" w:type="dxa"/>
              <w:bottom w:w="100" w:type="dxa"/>
              <w:end w:w="120" w:type="dxa"/>
            </w:tcMar>
            <w:vAlign w:val="center"/>
          </w:tcPr>
          <w:p>
            <w:pPr>
              <w:spacing w:after="0" w:line="252" w:lineRule="auto"/>
              <w:jc w:val="left"/>
            </w:pPr>
            <w:r>
              <w:rPr>
                <w:rFonts w:ascii="Arial" w:hAnsi="Arial"/>
                <w:b/>
                <w:color w:val="17324D"/>
                <w:sz w:val="16"/>
              </w:rPr>
              <w:t>PIDD</w:t>
            </w:r>
          </w:p>
        </w:tc>
        <w:tc>
          <w:tcPr>
            <w:tcW w:type="dxa" w:w="3744"/>
            <w:tcMar>
              <w:top w:w="100" w:type="dxa"/>
              <w:start w:w="120" w:type="dxa"/>
              <w:bottom w:w="100" w:type="dxa"/>
              <w:end w:w="120" w:type="dxa"/>
            </w:tcMar>
            <w:vAlign w:val="center"/>
          </w:tcPr>
          <w:p>
            <w:pPr>
              <w:spacing w:after="0" w:line="252" w:lineRule="auto"/>
              <w:jc w:val="left"/>
            </w:pPr>
            <w:r>
              <w:rPr>
                <w:rFonts w:ascii="Arial" w:hAnsi="Arial"/>
                <w:sz w:val="16"/>
              </w:rPr>
              <w:t>Glucose, BMI, age, pedigree, pregnancies</w:t>
            </w:r>
          </w:p>
        </w:tc>
        <w:tc>
          <w:tcPr>
            <w:tcW w:type="dxa" w:w="4212"/>
            <w:tcMar>
              <w:top w:w="100" w:type="dxa"/>
              <w:start w:w="120" w:type="dxa"/>
              <w:bottom w:w="100" w:type="dxa"/>
              <w:end w:w="120" w:type="dxa"/>
            </w:tcMar>
            <w:vAlign w:val="center"/>
          </w:tcPr>
          <w:p>
            <w:pPr>
              <w:spacing w:after="0" w:line="252" w:lineRule="auto"/>
              <w:jc w:val="left"/>
            </w:pPr>
            <w:r>
              <w:rPr>
                <w:rFonts w:ascii="Arial" w:hAnsi="Arial"/>
                <w:sz w:val="16"/>
              </w:rPr>
              <w:t>Population-specific; missing insulin can itself influence the model</w:t>
            </w:r>
          </w:p>
        </w:tc>
      </w:tr>
      <w:tr>
        <w:trPr>
          <w:cantSplit/>
        </w:trPr>
        <w:tc>
          <w:tcPr>
            <w:tcW w:type="dxa" w:w="1404"/>
            <w:shd w:fill="F3F5F7"/>
            <w:tcMar>
              <w:top w:w="100" w:type="dxa"/>
              <w:start w:w="120" w:type="dxa"/>
              <w:bottom w:w="100" w:type="dxa"/>
              <w:end w:w="120" w:type="dxa"/>
            </w:tcMar>
            <w:vAlign w:val="center"/>
          </w:tcPr>
          <w:p>
            <w:pPr>
              <w:spacing w:after="0" w:line="252" w:lineRule="auto"/>
              <w:jc w:val="left"/>
            </w:pPr>
            <w:r>
              <w:rPr>
                <w:rFonts w:ascii="Arial" w:hAnsi="Arial"/>
                <w:b/>
                <w:color w:val="17324D"/>
                <w:sz w:val="16"/>
              </w:rPr>
              <w:t>Sylhet</w:t>
            </w:r>
          </w:p>
        </w:tc>
        <w:tc>
          <w:tcPr>
            <w:tcW w:type="dxa" w:w="3744"/>
            <w:shd w:fill="F3F5F7"/>
            <w:tcMar>
              <w:top w:w="100" w:type="dxa"/>
              <w:start w:w="120" w:type="dxa"/>
              <w:bottom w:w="100" w:type="dxa"/>
              <w:end w:w="120" w:type="dxa"/>
            </w:tcMar>
            <w:vAlign w:val="center"/>
          </w:tcPr>
          <w:p>
            <w:pPr>
              <w:spacing w:after="0" w:line="252" w:lineRule="auto"/>
              <w:jc w:val="left"/>
            </w:pPr>
            <w:r>
              <w:rPr>
                <w:rFonts w:ascii="Arial" w:hAnsi="Arial"/>
                <w:sz w:val="16"/>
              </w:rPr>
              <w:t>Polyuria, polydipsia, gender, symptom variables</w:t>
            </w:r>
          </w:p>
        </w:tc>
        <w:tc>
          <w:tcPr>
            <w:tcW w:type="dxa" w:w="4212"/>
            <w:shd w:fill="F3F5F7"/>
            <w:tcMar>
              <w:top w:w="100" w:type="dxa"/>
              <w:start w:w="120" w:type="dxa"/>
              <w:bottom w:w="100" w:type="dxa"/>
              <w:end w:w="120" w:type="dxa"/>
            </w:tcMar>
            <w:vAlign w:val="center"/>
          </w:tcPr>
          <w:p>
            <w:pPr>
              <w:spacing w:after="0" w:line="252" w:lineRule="auto"/>
              <w:jc w:val="left"/>
            </w:pPr>
            <w:r>
              <w:rPr>
                <w:rFonts w:ascii="Arial" w:hAnsi="Arial"/>
                <w:sz w:val="16"/>
              </w:rPr>
              <w:t>Symptoms may be close to manifest disease</w:t>
            </w:r>
          </w:p>
        </w:tc>
      </w:tr>
      <w:tr>
        <w:trPr>
          <w:cantSplit/>
        </w:trPr>
        <w:tc>
          <w:tcPr>
            <w:tcW w:type="dxa" w:w="1404"/>
            <w:tcMar>
              <w:top w:w="100" w:type="dxa"/>
              <w:start w:w="120" w:type="dxa"/>
              <w:bottom w:w="100" w:type="dxa"/>
              <w:end w:w="120" w:type="dxa"/>
            </w:tcMar>
            <w:vAlign w:val="center"/>
          </w:tcPr>
          <w:p>
            <w:pPr>
              <w:spacing w:after="0" w:line="252" w:lineRule="auto"/>
              <w:jc w:val="left"/>
            </w:pPr>
            <w:r>
              <w:rPr>
                <w:rFonts w:ascii="Arial" w:hAnsi="Arial"/>
                <w:b/>
                <w:color w:val="17324D"/>
                <w:sz w:val="16"/>
              </w:rPr>
              <w:t>BRFSS</w:t>
            </w:r>
          </w:p>
        </w:tc>
        <w:tc>
          <w:tcPr>
            <w:tcW w:type="dxa" w:w="3744"/>
            <w:tcMar>
              <w:top w:w="100" w:type="dxa"/>
              <w:start w:w="120" w:type="dxa"/>
              <w:bottom w:w="100" w:type="dxa"/>
              <w:end w:w="120" w:type="dxa"/>
            </w:tcMar>
            <w:vAlign w:val="center"/>
          </w:tcPr>
          <w:p>
            <w:pPr>
              <w:spacing w:after="0" w:line="252" w:lineRule="auto"/>
              <w:jc w:val="left"/>
            </w:pPr>
            <w:r>
              <w:rPr>
                <w:rFonts w:ascii="Arial" w:hAnsi="Arial"/>
                <w:sz w:val="16"/>
              </w:rPr>
              <w:t>General health, age, BMI, high BP, high cholesterol</w:t>
            </w:r>
          </w:p>
        </w:tc>
        <w:tc>
          <w:tcPr>
            <w:tcW w:type="dxa" w:w="4212"/>
            <w:tcMar>
              <w:top w:w="100" w:type="dxa"/>
              <w:start w:w="120" w:type="dxa"/>
              <w:bottom w:w="100" w:type="dxa"/>
              <w:end w:w="120" w:type="dxa"/>
            </w:tcMar>
            <w:vAlign w:val="center"/>
          </w:tcPr>
          <w:p>
            <w:pPr>
              <w:spacing w:after="0" w:line="252" w:lineRule="auto"/>
              <w:jc w:val="left"/>
            </w:pPr>
            <w:r>
              <w:rPr>
                <w:rFonts w:ascii="Arial" w:hAnsi="Arial"/>
                <w:sz w:val="16"/>
              </w:rPr>
              <w:t>Self-reported cross-sectional outcome</w:t>
            </w:r>
          </w:p>
        </w:tc>
      </w:tr>
      <w:tr>
        <w:trPr>
          <w:cantSplit/>
        </w:trPr>
        <w:tc>
          <w:tcPr>
            <w:tcW w:type="dxa" w:w="1404"/>
            <w:shd w:fill="F3F5F7"/>
            <w:tcMar>
              <w:top w:w="100" w:type="dxa"/>
              <w:start w:w="120" w:type="dxa"/>
              <w:bottom w:w="100" w:type="dxa"/>
              <w:end w:w="120" w:type="dxa"/>
            </w:tcMar>
            <w:vAlign w:val="center"/>
          </w:tcPr>
          <w:p>
            <w:pPr>
              <w:spacing w:after="0" w:line="252" w:lineRule="auto"/>
              <w:jc w:val="left"/>
            </w:pPr>
            <w:r>
              <w:rPr>
                <w:rFonts w:ascii="Arial" w:hAnsi="Arial"/>
                <w:b/>
                <w:color w:val="17324D"/>
                <w:sz w:val="16"/>
              </w:rPr>
              <w:t>Hospital130</w:t>
            </w:r>
          </w:p>
        </w:tc>
        <w:tc>
          <w:tcPr>
            <w:tcW w:type="dxa" w:w="3744"/>
            <w:shd w:fill="F3F5F7"/>
            <w:tcMar>
              <w:top w:w="100" w:type="dxa"/>
              <w:start w:w="120" w:type="dxa"/>
              <w:bottom w:w="100" w:type="dxa"/>
              <w:end w:w="120" w:type="dxa"/>
            </w:tcMar>
            <w:vAlign w:val="center"/>
          </w:tcPr>
          <w:p>
            <w:pPr>
              <w:spacing w:after="0" w:line="252" w:lineRule="auto"/>
              <w:jc w:val="left"/>
            </w:pPr>
            <w:r>
              <w:rPr>
                <w:rFonts w:ascii="Arial" w:hAnsi="Arial"/>
                <w:sz w:val="16"/>
              </w:rPr>
              <w:t>Previous inpatient use, discharge disposition, diagnoses, care/utilization variables</w:t>
            </w:r>
          </w:p>
        </w:tc>
        <w:tc>
          <w:tcPr>
            <w:tcW w:type="dxa" w:w="4212"/>
            <w:shd w:fill="F3F5F7"/>
            <w:tcMar>
              <w:top w:w="100" w:type="dxa"/>
              <w:start w:w="120" w:type="dxa"/>
              <w:bottom w:w="100" w:type="dxa"/>
              <w:end w:w="120" w:type="dxa"/>
            </w:tcMar>
            <w:vAlign w:val="center"/>
          </w:tcPr>
          <w:p>
            <w:pPr>
              <w:spacing w:after="0" w:line="252" w:lineRule="auto"/>
              <w:jc w:val="left"/>
            </w:pPr>
            <w:r>
              <w:rPr>
                <w:rFonts w:ascii="Arial" w:hAnsi="Arial"/>
                <w:sz w:val="16"/>
              </w:rPr>
              <w:t>Readmission endpoint; categorical context matters</w:t>
            </w:r>
          </w:p>
        </w:tc>
      </w:tr>
    </w:tbl>
    <w:p>
      <w:pPr>
        <w:spacing w:after="20"/>
      </w:pPr>
    </w:p>
    <w:p>
      <w:pPr>
        <w:pStyle w:val="Heading2"/>
      </w:pPr>
      <w:r>
        <w:t>5.4 What SHAP does not establish</w:t>
      </w:r>
    </w:p>
    <w:p>
      <w:r>
        <w:t>SHAP explains the fitted model, not biological causation, treatment effect or future transportability. A positive contribution means that a feature increased a model’s output relative to its baseline under the fitted representation. It does not imply that changing the feature will change the outcome. Cohort-relative age transitions and prevalence bands are descriptive context only.</w:t>
      </w:r>
    </w:p>
    <w:p>
      <w:r>
        <w:br w:type="page"/>
      </w:r>
    </w:p>
    <w:p>
      <w:pPr>
        <w:pStyle w:val="Heading1"/>
      </w:pPr>
      <w:r>
        <w:t>6. Leakage Prevention, Reproducibility and Safety</w:t>
      </w:r>
    </w:p>
    <w:p>
      <w:pPr>
        <w:pStyle w:val="Heading2"/>
      </w:pPr>
      <w:r>
        <w:t>6.1 Leakage controls</w:t>
      </w:r>
    </w:p>
    <w:p>
      <w:pPr>
        <w:pStyle w:val="ListBullet"/>
      </w:pPr>
      <w:r>
        <w:t>All imputers, missing indicators, scaling and encoders are fitted within training data only.</w:t>
      </w:r>
    </w:p>
    <w:p>
      <w:pPr>
        <w:pStyle w:val="ListBullet"/>
      </w:pPr>
      <w:r>
        <w:t>PIDD outer labels do not participate in tuning, calibration or threshold selection.</w:t>
      </w:r>
    </w:p>
    <w:p>
      <w:pPr>
        <w:pStyle w:val="ListBullet"/>
      </w:pPr>
      <w:r>
        <w:t>Identical Sylhet profiles cannot cross an evaluation fold.</w:t>
      </w:r>
    </w:p>
    <w:p>
      <w:pPr>
        <w:pStyle w:val="ListBullet"/>
      </w:pPr>
      <w:r>
        <w:t>Hospital encounters from the same patient cannot cross development/test or development folds.</w:t>
      </w:r>
    </w:p>
    <w:p>
      <w:pPr>
        <w:pStyle w:val="ListBullet"/>
      </w:pPr>
      <w:r>
        <w:t>BRFSS and Hospital test partitions remain inaccessible to non-smoke runs until the final configuration is explicitly locked.</w:t>
      </w:r>
    </w:p>
    <w:p>
      <w:pPr>
        <w:pStyle w:val="ListBullet"/>
      </w:pPr>
      <w:r>
        <w:t>Holdout champion selection is frozen before test prediction; test superiority cannot change the chosen model.</w:t>
      </w:r>
    </w:p>
    <w:p>
      <w:pPr>
        <w:pStyle w:val="Heading2"/>
      </w:pPr>
      <w:r>
        <w:t>6.2 Statistical safeguards</w:t>
      </w:r>
    </w:p>
    <w:p>
      <w:pPr>
        <w:pStyle w:val="ListBullet"/>
      </w:pPr>
      <w:r>
        <w:t>Stratified bootstrap confidence intervals for PIDD, Sylhet and BRFSS; patient-cluster bootstrap for Hospital130.</w:t>
      </w:r>
    </w:p>
    <w:p>
      <w:pPr>
        <w:pStyle w:val="ListBullet"/>
      </w:pPr>
      <w:r>
        <w:t>Paired model comparisons with Holm family-wise multiplicity correction.</w:t>
      </w:r>
    </w:p>
    <w:p>
      <w:pPr>
        <w:pStyle w:val="ListBullet"/>
      </w:pPr>
      <w:r>
        <w:t>Calibration selection through cross-fitted probabilities rather than resubstitution predictions.</w:t>
      </w:r>
    </w:p>
    <w:p>
      <w:pPr>
        <w:pStyle w:val="ListBullet"/>
      </w:pPr>
      <w:r>
        <w:t>Isotonic minimum of 1,000 calibration samples after an observed small-sample failure.</w:t>
      </w:r>
    </w:p>
    <w:p>
      <w:pPr>
        <w:pStyle w:val="ListBullet"/>
      </w:pPr>
      <w:r>
        <w:t>Decision-curve analysis and multiple operating policies rather than one arbitrary cutoff.</w:t>
      </w:r>
    </w:p>
    <w:p>
      <w:pPr>
        <w:pStyle w:val="Heading2"/>
      </w:pPr>
      <w:r>
        <w:t>6.3 Artifact provenance</w:t>
      </w:r>
    </w:p>
    <w:p>
      <w:r>
        <w:t>Each study stores predictions, fold metrics, calibration choices, thresholds, confidence intervals, decision curves, plots, best parameters, model bundles, split/dataset/source hashes and reload checks. Saved bundles reproduce calibrated probabilities to floating-point precision. The active automated suite currently passes 31 tests plus 5 model-adapter subtests.</w:t>
      </w:r>
    </w:p>
    <w:p>
      <w:pPr>
        <w:pStyle w:val="Heading2"/>
      </w:pPr>
      <w:r>
        <w:t>6.4 Patient-output safety</w:t>
      </w:r>
    </w:p>
    <w:p>
      <w:pPr>
        <w:pStyle w:val="ListBullet"/>
      </w:pPr>
      <w:r>
        <w:t>Unsupported panels, invalid/non-finite values and out-of-reference-range values trigger abstention by default.</w:t>
      </w:r>
    </w:p>
    <w:p>
      <w:pPr>
        <w:pStyle w:val="ListBullet"/>
      </w:pPr>
      <w:r>
        <w:t>Unknown fields are ignored and reported rather than silently incorporated.</w:t>
      </w:r>
    </w:p>
    <w:p>
      <w:pPr>
        <w:pStyle w:val="ListBullet"/>
      </w:pPr>
      <w:r>
        <w:t>Patient inputs and results are not persisted unless output is explicitly requested.</w:t>
      </w:r>
    </w:p>
    <w:p>
      <w:pPr>
        <w:pStyle w:val="ListBullet"/>
      </w:pPr>
      <w:r>
        <w:t>Probability, threshold status, fold spread and cohort context are labelled separately.</w:t>
      </w:r>
    </w:p>
    <w:p>
      <w:pPr>
        <w:pStyle w:val="ListBullet"/>
      </w:pPr>
      <w:r>
        <w:t>The research report never presents the output as diagnosis or personalized medical advice.</w:t>
      </w:r>
    </w:p>
    <w:p>
      <w:r>
        <w:br w:type="page"/>
      </w:r>
    </w:p>
    <w:p>
      <w:pPr>
        <w:pStyle w:val="Heading1"/>
      </w:pPr>
      <w:r>
        <w:t>7. Interpretation and Publication Value</w:t>
      </w:r>
    </w:p>
    <w:p>
      <w:pPr>
        <w:pStyle w:val="Heading2"/>
      </w:pPr>
      <w:r>
        <w:t>7.1 What the results currently support</w:t>
      </w:r>
    </w:p>
    <w:p>
      <w:pPr>
        <w:pStyle w:val="ListBullet"/>
      </w:pPr>
      <w:r>
        <w:t>A calibrated probability pipeline can be executed reproducibly across small clinical, symptom survey, population survey and hospital encounter datasets.</w:t>
      </w:r>
    </w:p>
    <w:p>
      <w:pPr>
        <w:pStyle w:val="ListBullet"/>
      </w:pPr>
      <w:r>
        <w:t>The four tree ensembles often perform similarly; Logistic Regression is also competitive on PIDD, so complexity alone is not the contribution.</w:t>
      </w:r>
    </w:p>
    <w:p>
      <w:pPr>
        <w:pStyle w:val="ListBullet"/>
      </w:pPr>
      <w:r>
        <w:t>Feature availability is consequential. PIDD tolerates loss of insulin and skin thickness, but loses substantial reliability when glucose is unavailable.</w:t>
      </w:r>
    </w:p>
    <w:p>
      <w:pPr>
        <w:pStyle w:val="ListBullet"/>
      </w:pPr>
      <w:r>
        <w:t>Development-only routing can safely select among evaluated panels and abstain, although current PIDD evidence does not show significant benefit from switching algorithms.</w:t>
      </w:r>
    </w:p>
    <w:p>
      <w:pPr>
        <w:pStyle w:val="ListBullet"/>
      </w:pPr>
      <w:r>
        <w:t>Thresholds should follow the intended operating policy. A universal 0.5 cutoff is especially misleading for low-prevalence Hospital130 readmission.</w:t>
      </w:r>
    </w:p>
    <w:p>
      <w:pPr>
        <w:pStyle w:val="ListBullet"/>
      </w:pPr>
      <w:r>
        <w:t>Held-out SHAP can be generated with verified additivity and with model-scale limitations made explicit.</w:t>
      </w:r>
    </w:p>
    <w:p>
      <w:pPr>
        <w:pStyle w:val="Heading2"/>
      </w:pPr>
      <w:r>
        <w:t>7.2 Proposed novelty position</w:t>
      </w:r>
    </w:p>
    <w:p>
      <w:pPr>
        <w:shd w:fill="E8F3F2"/>
        <w:keepLines/>
        <w:pBdr>
          <w:left w:val="single" w:sz="20" w:space="8" w:color="157A7B"/>
        </w:pBdr>
        <w:spacing w:before="100" w:after="160"/>
        <w:ind w:left="173" w:right="115"/>
      </w:pPr>
      <w:r>
        <w:rPr>
          <w:b/>
          <w:color w:val="157A7B"/>
        </w:rPr>
        <w:t xml:space="preserve">Recommended paper framing  </w:t>
      </w:r>
      <w:r>
        <w:t>An availability-aware, calibrated and explainable tabular prediction framework that quantifies feature-panel degradation, selects only from development-validated models, reports probability and operating-policy behavior separately, and abstains outside evaluated conditions.</w:t>
      </w:r>
    </w:p>
    <w:p>
      <w:r>
        <w:t>The paper should avoid framing the contribution as “four algorithms were compared and the highest AUROC won.” That claim is weak and not supported by the current statistical comparisons. The stronger contribution integrates data-availability stress testing, calibration, decision policy, uncertainty, explainability, endpoint-aware feature semantics and safe inference behavior.</w:t>
      </w:r>
    </w:p>
    <w:p>
      <w:pPr>
        <w:pStyle w:val="Heading2"/>
      </w:pPr>
      <w:r>
        <w:t>7.3 Honest negative result</w:t>
      </w:r>
    </w:p>
    <w:p>
      <w:r>
        <w:t>On PIDD, dynamic per-panel algorithm switching did not significantly outperform fixed-model baselines. This should be reported, not hidden. It motivates the BRFSS-scale routing experiment, where the larger sample can determine whether routing instability is primarily a small-data effect. Even if BRFSS also shows little switching benefit, the framework remains valuable as a principled panel-selection and abstention system.</w:t>
      </w:r>
    </w:p>
    <w:p>
      <w:r>
        <w:br w:type="page"/>
      </w:r>
    </w:p>
    <w:p>
      <w:pPr>
        <w:pStyle w:val="Heading1"/>
      </w:pPr>
      <w:r>
        <w:t>8. Limitations</w:t>
      </w:r>
    </w:p>
    <w:p>
      <w:pPr>
        <w:spacing w:after="100"/>
      </w:pPr>
      <w:r>
        <w:rPr>
          <w:b/>
          <w:color w:val="A33A3A"/>
        </w:rPr>
        <w:t xml:space="preserve">No locked final estimates. </w:t>
      </w:r>
      <w:r>
        <w:t>PIDD and Sylhet use reduced tuning/bootstrap budgets; BRFSS and Hospital130 are smoke runs. Final configuration is intentionally locked=false.</w:t>
      </w:r>
    </w:p>
    <w:p>
      <w:pPr>
        <w:spacing w:after="100"/>
      </w:pPr>
      <w:r>
        <w:rPr>
          <w:b/>
          <w:color w:val="A33A3A"/>
        </w:rPr>
        <w:t xml:space="preserve">No external or prospective validation. </w:t>
      </w:r>
      <w:r>
        <w:t>All current evaluations are internal to their source cohorts. Transportability and calibration drift remain unknown.</w:t>
      </w:r>
    </w:p>
    <w:p>
      <w:pPr>
        <w:spacing w:after="100"/>
      </w:pPr>
      <w:r>
        <w:rPr>
          <w:b/>
          <w:color w:val="A33A3A"/>
        </w:rPr>
        <w:t xml:space="preserve">Small, population-specific cohorts. </w:t>
      </w:r>
      <w:r>
        <w:t>PIDD and Sylhet have limited sample size. Sylhet has many duplicate symptom profiles and unusually high apparent performance.</w:t>
      </w:r>
    </w:p>
    <w:p>
      <w:pPr>
        <w:spacing w:after="100"/>
      </w:pPr>
      <w:r>
        <w:rPr>
          <w:b/>
          <w:color w:val="A33A3A"/>
        </w:rPr>
        <w:t xml:space="preserve">Routing evidence is currently PIDD-only. </w:t>
      </w:r>
      <w:r>
        <w:t>Availability-aware model routing has not yet been tested on BRFSS at scale.</w:t>
      </w:r>
    </w:p>
    <w:p>
      <w:pPr>
        <w:spacing w:after="100"/>
      </w:pPr>
      <w:r>
        <w:rPr>
          <w:b/>
          <w:color w:val="A33A3A"/>
        </w:rPr>
        <w:t xml:space="preserve">Unstable champion selection. </w:t>
      </w:r>
      <w:r>
        <w:t>Differences among the four tree models are small and usually not statistically significant; fold-level router selections vary.</w:t>
      </w:r>
    </w:p>
    <w:p>
      <w:pPr>
        <w:spacing w:after="100"/>
      </w:pPr>
      <w:r>
        <w:rPr>
          <w:b/>
          <w:color w:val="A33A3A"/>
        </w:rPr>
        <w:t xml:space="preserve">Probability estimates are cohort-dependent. </w:t>
      </w:r>
      <w:r>
        <w:t>A calibrated probability is valid only relative to the endpoint, cohort, prevalence, sampling process and evaluation conditions.</w:t>
      </w:r>
    </w:p>
    <w:p>
      <w:pPr>
        <w:spacing w:after="100"/>
      </w:pPr>
      <w:r>
        <w:rPr>
          <w:b/>
          <w:color w:val="A33A3A"/>
        </w:rPr>
        <w:t xml:space="preserve">SHAP is not causal. </w:t>
      </w:r>
      <w:r>
        <w:t>Feature contributions explain model output, not mechanisms or intervention effects.</w:t>
      </w:r>
    </w:p>
    <w:p>
      <w:pPr>
        <w:spacing w:after="100"/>
      </w:pPr>
      <w:r>
        <w:rPr>
          <w:b/>
          <w:color w:val="A33A3A"/>
        </w:rPr>
        <w:t xml:space="preserve">Subgroup performance is pending. </w:t>
      </w:r>
      <w:r>
        <w:t>Fairness/subgroup analyses by relevant demographic and clinical strata have not yet been implemented.</w:t>
      </w:r>
    </w:p>
    <w:p>
      <w:pPr>
        <w:spacing w:after="100"/>
      </w:pPr>
      <w:r>
        <w:rPr>
          <w:b/>
          <w:color w:val="A33A3A"/>
        </w:rPr>
        <w:t xml:space="preserve">Patient formatter is a research prototype. </w:t>
      </w:r>
      <w:r>
        <w:t>The five-fold range is not a confidence interval, and the system has not undergone clinical usability or safety validation.</w:t>
      </w:r>
    </w:p>
    <w:p>
      <w:pPr>
        <w:spacing w:after="100"/>
      </w:pPr>
      <w:r>
        <w:rPr>
          <w:b/>
          <w:color w:val="A33A3A"/>
        </w:rPr>
        <w:t xml:space="preserve">Endpoint heterogeneity. </w:t>
      </w:r>
      <w:r>
        <w:t>PIDD, Sylhet and BRFSS screening labels differ; Hospital130 is a distinct readmission task. Cross-dataset probabilities cannot be pooled.</w:t>
      </w:r>
    </w:p>
    <w:p>
      <w:pPr>
        <w:pStyle w:val="Heading2"/>
      </w:pPr>
      <w:r>
        <w:t>8.1 Clinical and ethical boundary</w:t>
      </w:r>
    </w:p>
    <w:p>
      <w:r>
        <w:t>The pipeline is not a medical device and is not ready for diagnosis, treatment selection or autonomous screening. Before clinical use it would require external and prospective validation, local recalibration, subgroup safety analysis, workflow evaluation, governance, monitoring and appropriate regulatory/ethical review.</w:t>
      </w:r>
    </w:p>
    <w:p>
      <w:r>
        <w:br w:type="page"/>
      </w:r>
    </w:p>
    <w:p>
      <w:pPr>
        <w:pStyle w:val="Heading1"/>
      </w:pPr>
      <w:r>
        <w:t>9. Work Required for Conference/Journal Submission</w:t>
      </w:r>
    </w:p>
    <w:tbl>
      <w:tblPr>
        <w:tblStyle w:val="TableGrid"/>
        <w:tblW w:type="dxa" w:w="9360"/>
        <w:jc w:val="left"/>
        <w:tblLayout w:type="fixed"/>
        <w:tblLook w:firstColumn="1" w:firstRow="1" w:lastColumn="0" w:lastRow="0" w:noHBand="0" w:noVBand="1" w:val="04A0"/>
        <w:tblInd w:w="120" w:type="dxa"/>
      </w:tblPr>
      <w:tblGrid>
        <w:gridCol w:w="936"/>
        <w:gridCol w:w="4025"/>
        <w:gridCol w:w="4399"/>
      </w:tblGrid>
      <w:tr>
        <w:trPr>
          <w:tblHeader w:val="true"/>
        </w:trPr>
        <w:tc>
          <w:tcPr>
            <w:tcW w:type="dxa" w:w="936"/>
            <w:shd w:fill="17324D"/>
            <w:tcMar>
              <w:top w:w="115" w:type="dxa"/>
              <w:start w:w="120" w:type="dxa"/>
              <w:bottom w:w="115" w:type="dxa"/>
              <w:end w:w="120" w:type="dxa"/>
            </w:tcMar>
            <w:vAlign w:val="center"/>
          </w:tcPr>
          <w:p>
            <w:pPr>
              <w:spacing w:after="0"/>
              <w:jc w:val="center"/>
            </w:pPr>
            <w:r>
              <w:rPr>
                <w:rFonts w:ascii="Arial" w:hAnsi="Arial"/>
                <w:b/>
                <w:color w:val="FFFFFF"/>
                <w:sz w:val="16"/>
              </w:rPr>
              <w:t>Priority</w:t>
            </w:r>
          </w:p>
        </w:tc>
        <w:tc>
          <w:tcPr>
            <w:tcW w:type="dxa" w:w="4025"/>
            <w:shd w:fill="17324D"/>
            <w:tcMar>
              <w:top w:w="115" w:type="dxa"/>
              <w:start w:w="120" w:type="dxa"/>
              <w:bottom w:w="115" w:type="dxa"/>
              <w:end w:w="120" w:type="dxa"/>
            </w:tcMar>
            <w:vAlign w:val="center"/>
          </w:tcPr>
          <w:p>
            <w:pPr>
              <w:spacing w:after="0"/>
              <w:jc w:val="center"/>
            </w:pPr>
            <w:r>
              <w:rPr>
                <w:rFonts w:ascii="Arial" w:hAnsi="Arial"/>
                <w:b/>
                <w:color w:val="FFFFFF"/>
                <w:sz w:val="16"/>
              </w:rPr>
              <w:t>Required work</w:t>
            </w:r>
          </w:p>
        </w:tc>
        <w:tc>
          <w:tcPr>
            <w:tcW w:type="dxa" w:w="4399"/>
            <w:shd w:fill="17324D"/>
            <w:tcMar>
              <w:top w:w="115" w:type="dxa"/>
              <w:start w:w="120" w:type="dxa"/>
              <w:bottom w:w="115" w:type="dxa"/>
              <w:end w:w="120" w:type="dxa"/>
            </w:tcMar>
            <w:vAlign w:val="center"/>
          </w:tcPr>
          <w:p>
            <w:pPr>
              <w:spacing w:after="0"/>
              <w:jc w:val="center"/>
            </w:pPr>
            <w:r>
              <w:rPr>
                <w:rFonts w:ascii="Arial" w:hAnsi="Arial"/>
                <w:b/>
                <w:color w:val="FFFFFF"/>
                <w:sz w:val="16"/>
              </w:rPr>
              <w:t>Why it matters</w:t>
            </w:r>
          </w:p>
        </w:tc>
      </w:tr>
      <w:tr>
        <w:trPr>
          <w:cantSplit/>
        </w:trPr>
        <w:tc>
          <w:tcPr>
            <w:tcW w:type="dxa" w:w="936"/>
            <w:tcMar>
              <w:top w:w="100" w:type="dxa"/>
              <w:start w:w="120" w:type="dxa"/>
              <w:bottom w:w="100" w:type="dxa"/>
              <w:end w:w="120" w:type="dxa"/>
            </w:tcMar>
            <w:vAlign w:val="center"/>
          </w:tcPr>
          <w:p>
            <w:pPr>
              <w:spacing w:after="0" w:line="252" w:lineRule="auto"/>
              <w:jc w:val="center"/>
            </w:pPr>
            <w:r>
              <w:rPr>
                <w:rFonts w:ascii="Arial" w:hAnsi="Arial"/>
                <w:b/>
                <w:color w:val="17324D"/>
                <w:sz w:val="16"/>
              </w:rPr>
              <w:t>1</w:t>
            </w:r>
          </w:p>
        </w:tc>
        <w:tc>
          <w:tcPr>
            <w:tcW w:type="dxa" w:w="4025"/>
            <w:tcMar>
              <w:top w:w="100" w:type="dxa"/>
              <w:start w:w="120" w:type="dxa"/>
              <w:bottom w:w="100" w:type="dxa"/>
              <w:end w:w="120" w:type="dxa"/>
            </w:tcMar>
            <w:vAlign w:val="center"/>
          </w:tcPr>
          <w:p>
            <w:pPr>
              <w:spacing w:after="0" w:line="252" w:lineRule="auto"/>
              <w:jc w:val="left"/>
            </w:pPr>
            <w:r>
              <w:rPr>
                <w:rFonts w:ascii="Arial" w:hAnsi="Arial"/>
                <w:sz w:val="16"/>
              </w:rPr>
              <w:t>Implement BRFSS feature-availability routing</w:t>
            </w:r>
          </w:p>
        </w:tc>
        <w:tc>
          <w:tcPr>
            <w:tcW w:type="dxa" w:w="4399"/>
            <w:tcMar>
              <w:top w:w="100" w:type="dxa"/>
              <w:start w:w="120" w:type="dxa"/>
              <w:bottom w:w="100" w:type="dxa"/>
              <w:end w:w="120" w:type="dxa"/>
            </w:tcMar>
            <w:vAlign w:val="center"/>
          </w:tcPr>
          <w:p>
            <w:pPr>
              <w:spacing w:after="0" w:line="252" w:lineRule="auto"/>
              <w:jc w:val="left"/>
            </w:pPr>
            <w:r>
              <w:rPr>
                <w:rFonts w:ascii="Arial" w:hAnsi="Arial"/>
                <w:sz w:val="16"/>
              </w:rPr>
              <w:t>Tests routing stability and effect size at scale</w:t>
            </w:r>
          </w:p>
        </w:tc>
      </w:tr>
      <w:tr>
        <w:trPr>
          <w:cantSplit/>
        </w:trPr>
        <w:tc>
          <w:tcPr>
            <w:tcW w:type="dxa" w:w="936"/>
            <w:shd w:fill="F3F5F7"/>
            <w:tcMar>
              <w:top w:w="100" w:type="dxa"/>
              <w:start w:w="120" w:type="dxa"/>
              <w:bottom w:w="100" w:type="dxa"/>
              <w:end w:w="120" w:type="dxa"/>
            </w:tcMar>
            <w:vAlign w:val="center"/>
          </w:tcPr>
          <w:p>
            <w:pPr>
              <w:spacing w:after="0" w:line="252" w:lineRule="auto"/>
              <w:jc w:val="center"/>
            </w:pPr>
            <w:r>
              <w:rPr>
                <w:rFonts w:ascii="Arial" w:hAnsi="Arial"/>
                <w:b/>
                <w:color w:val="17324D"/>
                <w:sz w:val="16"/>
              </w:rPr>
              <w:t>2</w:t>
            </w:r>
          </w:p>
        </w:tc>
        <w:tc>
          <w:tcPr>
            <w:tcW w:type="dxa" w:w="4025"/>
            <w:shd w:fill="F3F5F7"/>
            <w:tcMar>
              <w:top w:w="100" w:type="dxa"/>
              <w:start w:w="120" w:type="dxa"/>
              <w:bottom w:w="100" w:type="dxa"/>
              <w:end w:w="120" w:type="dxa"/>
            </w:tcMar>
            <w:vAlign w:val="center"/>
          </w:tcPr>
          <w:p>
            <w:pPr>
              <w:spacing w:after="0" w:line="252" w:lineRule="auto"/>
              <w:jc w:val="left"/>
            </w:pPr>
            <w:r>
              <w:rPr>
                <w:rFonts w:ascii="Arial" w:hAnsi="Arial"/>
                <w:sz w:val="16"/>
              </w:rPr>
              <w:t>Add subgroup/fairness analyses</w:t>
            </w:r>
          </w:p>
        </w:tc>
        <w:tc>
          <w:tcPr>
            <w:tcW w:type="dxa" w:w="4399"/>
            <w:shd w:fill="F3F5F7"/>
            <w:tcMar>
              <w:top w:w="100" w:type="dxa"/>
              <w:start w:w="120" w:type="dxa"/>
              <w:bottom w:w="100" w:type="dxa"/>
              <w:end w:w="120" w:type="dxa"/>
            </w:tcMar>
            <w:vAlign w:val="center"/>
          </w:tcPr>
          <w:p>
            <w:pPr>
              <w:spacing w:after="0" w:line="252" w:lineRule="auto"/>
              <w:jc w:val="left"/>
            </w:pPr>
            <w:r>
              <w:rPr>
                <w:rFonts w:ascii="Arial" w:hAnsi="Arial"/>
                <w:sz w:val="16"/>
              </w:rPr>
              <w:t>Required for credible health-ML reporting</w:t>
            </w:r>
          </w:p>
        </w:tc>
      </w:tr>
      <w:tr>
        <w:trPr>
          <w:cantSplit/>
        </w:trPr>
        <w:tc>
          <w:tcPr>
            <w:tcW w:type="dxa" w:w="936"/>
            <w:tcMar>
              <w:top w:w="100" w:type="dxa"/>
              <w:start w:w="120" w:type="dxa"/>
              <w:bottom w:w="100" w:type="dxa"/>
              <w:end w:w="120" w:type="dxa"/>
            </w:tcMar>
            <w:vAlign w:val="center"/>
          </w:tcPr>
          <w:p>
            <w:pPr>
              <w:spacing w:after="0" w:line="252" w:lineRule="auto"/>
              <w:jc w:val="center"/>
            </w:pPr>
            <w:r>
              <w:rPr>
                <w:rFonts w:ascii="Arial" w:hAnsi="Arial"/>
                <w:b/>
                <w:color w:val="17324D"/>
                <w:sz w:val="16"/>
              </w:rPr>
              <w:t>3</w:t>
            </w:r>
          </w:p>
        </w:tc>
        <w:tc>
          <w:tcPr>
            <w:tcW w:type="dxa" w:w="4025"/>
            <w:tcMar>
              <w:top w:w="100" w:type="dxa"/>
              <w:start w:w="120" w:type="dxa"/>
              <w:bottom w:w="100" w:type="dxa"/>
              <w:end w:w="120" w:type="dxa"/>
            </w:tcMar>
            <w:vAlign w:val="center"/>
          </w:tcPr>
          <w:p>
            <w:pPr>
              <w:spacing w:after="0" w:line="252" w:lineRule="auto"/>
              <w:jc w:val="left"/>
            </w:pPr>
            <w:r>
              <w:rPr>
                <w:rFonts w:ascii="Arial" w:hAnsi="Arial"/>
                <w:sz w:val="16"/>
              </w:rPr>
              <w:t>Freeze endpoints, panels, metrics and statistical plan</w:t>
            </w:r>
          </w:p>
        </w:tc>
        <w:tc>
          <w:tcPr>
            <w:tcW w:type="dxa" w:w="4399"/>
            <w:tcMar>
              <w:top w:w="100" w:type="dxa"/>
              <w:start w:w="120" w:type="dxa"/>
              <w:bottom w:w="100" w:type="dxa"/>
              <w:end w:w="120" w:type="dxa"/>
            </w:tcMar>
            <w:vAlign w:val="center"/>
          </w:tcPr>
          <w:p>
            <w:pPr>
              <w:spacing w:after="0" w:line="252" w:lineRule="auto"/>
              <w:jc w:val="left"/>
            </w:pPr>
            <w:r>
              <w:rPr>
                <w:rFonts w:ascii="Arial" w:hAnsi="Arial"/>
                <w:sz w:val="16"/>
              </w:rPr>
              <w:t>Prevents post-test analytical flexibility</w:t>
            </w:r>
          </w:p>
        </w:tc>
      </w:tr>
      <w:tr>
        <w:trPr>
          <w:cantSplit/>
        </w:trPr>
        <w:tc>
          <w:tcPr>
            <w:tcW w:type="dxa" w:w="936"/>
            <w:shd w:fill="F3F5F7"/>
            <w:tcMar>
              <w:top w:w="100" w:type="dxa"/>
              <w:start w:w="120" w:type="dxa"/>
              <w:bottom w:w="100" w:type="dxa"/>
              <w:end w:w="120" w:type="dxa"/>
            </w:tcMar>
            <w:vAlign w:val="center"/>
          </w:tcPr>
          <w:p>
            <w:pPr>
              <w:spacing w:after="0" w:line="252" w:lineRule="auto"/>
              <w:jc w:val="center"/>
            </w:pPr>
            <w:r>
              <w:rPr>
                <w:rFonts w:ascii="Arial" w:hAnsi="Arial"/>
                <w:b/>
                <w:color w:val="17324D"/>
                <w:sz w:val="16"/>
              </w:rPr>
              <w:t>4</w:t>
            </w:r>
          </w:p>
        </w:tc>
        <w:tc>
          <w:tcPr>
            <w:tcW w:type="dxa" w:w="4025"/>
            <w:shd w:fill="F3F5F7"/>
            <w:tcMar>
              <w:top w:w="100" w:type="dxa"/>
              <w:start w:w="120" w:type="dxa"/>
              <w:bottom w:w="100" w:type="dxa"/>
              <w:end w:w="120" w:type="dxa"/>
            </w:tcMar>
            <w:vAlign w:val="center"/>
          </w:tcPr>
          <w:p>
            <w:pPr>
              <w:spacing w:after="0" w:line="252" w:lineRule="auto"/>
              <w:jc w:val="left"/>
            </w:pPr>
            <w:r>
              <w:rPr>
                <w:rFonts w:ascii="Arial" w:hAnsi="Arial"/>
                <w:sz w:val="16"/>
              </w:rPr>
              <w:t>Lock final configuration and source hashes</w:t>
            </w:r>
          </w:p>
        </w:tc>
        <w:tc>
          <w:tcPr>
            <w:tcW w:type="dxa" w:w="4399"/>
            <w:shd w:fill="F3F5F7"/>
            <w:tcMar>
              <w:top w:w="100" w:type="dxa"/>
              <w:start w:w="120" w:type="dxa"/>
              <w:bottom w:w="100" w:type="dxa"/>
              <w:end w:w="120" w:type="dxa"/>
            </w:tcMar>
            <w:vAlign w:val="center"/>
          </w:tcPr>
          <w:p>
            <w:pPr>
              <w:spacing w:after="0" w:line="252" w:lineRule="auto"/>
              <w:jc w:val="left"/>
            </w:pPr>
            <w:r>
              <w:rPr>
                <w:rFonts w:ascii="Arial" w:hAnsi="Arial"/>
                <w:sz w:val="16"/>
              </w:rPr>
              <w:t>Creates an auditable one-time final experiment</w:t>
            </w:r>
          </w:p>
        </w:tc>
      </w:tr>
      <w:tr>
        <w:trPr>
          <w:cantSplit/>
        </w:trPr>
        <w:tc>
          <w:tcPr>
            <w:tcW w:type="dxa" w:w="936"/>
            <w:tcMar>
              <w:top w:w="100" w:type="dxa"/>
              <w:start w:w="120" w:type="dxa"/>
              <w:bottom w:w="100" w:type="dxa"/>
              <w:end w:w="120" w:type="dxa"/>
            </w:tcMar>
            <w:vAlign w:val="center"/>
          </w:tcPr>
          <w:p>
            <w:pPr>
              <w:spacing w:after="0" w:line="252" w:lineRule="auto"/>
              <w:jc w:val="center"/>
            </w:pPr>
            <w:r>
              <w:rPr>
                <w:rFonts w:ascii="Arial" w:hAnsi="Arial"/>
                <w:b/>
                <w:color w:val="17324D"/>
                <w:sz w:val="16"/>
              </w:rPr>
              <w:t>5</w:t>
            </w:r>
          </w:p>
        </w:tc>
        <w:tc>
          <w:tcPr>
            <w:tcW w:type="dxa" w:w="4025"/>
            <w:tcMar>
              <w:top w:w="100" w:type="dxa"/>
              <w:start w:w="120" w:type="dxa"/>
              <w:bottom w:w="100" w:type="dxa"/>
              <w:end w:w="120" w:type="dxa"/>
            </w:tcMar>
            <w:vAlign w:val="center"/>
          </w:tcPr>
          <w:p>
            <w:pPr>
              <w:spacing w:after="0" w:line="252" w:lineRule="auto"/>
              <w:jc w:val="left"/>
            </w:pPr>
            <w:r>
              <w:rPr>
                <w:rFonts w:ascii="Arial" w:hAnsi="Arial"/>
                <w:sz w:val="16"/>
              </w:rPr>
              <w:t>Run final profiles: 75 trials and 2,000 bootstraps</w:t>
            </w:r>
          </w:p>
        </w:tc>
        <w:tc>
          <w:tcPr>
            <w:tcW w:type="dxa" w:w="4399"/>
            <w:tcMar>
              <w:top w:w="100" w:type="dxa"/>
              <w:start w:w="120" w:type="dxa"/>
              <w:bottom w:w="100" w:type="dxa"/>
              <w:end w:w="120" w:type="dxa"/>
            </w:tcMar>
            <w:vAlign w:val="center"/>
          </w:tcPr>
          <w:p>
            <w:pPr>
              <w:spacing w:after="0" w:line="252" w:lineRule="auto"/>
              <w:jc w:val="left"/>
            </w:pPr>
            <w:r>
              <w:rPr>
                <w:rFonts w:ascii="Arial" w:hAnsi="Arial"/>
                <w:sz w:val="16"/>
              </w:rPr>
              <w:t>Produces publication-grade estimates and intervals</w:t>
            </w:r>
          </w:p>
        </w:tc>
      </w:tr>
      <w:tr>
        <w:trPr>
          <w:cantSplit/>
        </w:trPr>
        <w:tc>
          <w:tcPr>
            <w:tcW w:type="dxa" w:w="936"/>
            <w:shd w:fill="F3F5F7"/>
            <w:tcMar>
              <w:top w:w="100" w:type="dxa"/>
              <w:start w:w="120" w:type="dxa"/>
              <w:bottom w:w="100" w:type="dxa"/>
              <w:end w:w="120" w:type="dxa"/>
            </w:tcMar>
            <w:vAlign w:val="center"/>
          </w:tcPr>
          <w:p>
            <w:pPr>
              <w:spacing w:after="0" w:line="252" w:lineRule="auto"/>
              <w:jc w:val="center"/>
            </w:pPr>
            <w:r>
              <w:rPr>
                <w:rFonts w:ascii="Arial" w:hAnsi="Arial"/>
                <w:b/>
                <w:color w:val="17324D"/>
                <w:sz w:val="16"/>
              </w:rPr>
              <w:t>6</w:t>
            </w:r>
          </w:p>
        </w:tc>
        <w:tc>
          <w:tcPr>
            <w:tcW w:type="dxa" w:w="4025"/>
            <w:shd w:fill="F3F5F7"/>
            <w:tcMar>
              <w:top w:w="100" w:type="dxa"/>
              <w:start w:w="120" w:type="dxa"/>
              <w:bottom w:w="100" w:type="dxa"/>
              <w:end w:w="120" w:type="dxa"/>
            </w:tcMar>
            <w:vAlign w:val="center"/>
          </w:tcPr>
          <w:p>
            <w:pPr>
              <w:spacing w:after="0" w:line="252" w:lineRule="auto"/>
              <w:jc w:val="left"/>
            </w:pPr>
            <w:r>
              <w:rPr>
                <w:rFonts w:ascii="Arial" w:hAnsi="Arial"/>
                <w:sz w:val="16"/>
              </w:rPr>
              <w:t>Run prespecified sensitivity analyses</w:t>
            </w:r>
          </w:p>
        </w:tc>
        <w:tc>
          <w:tcPr>
            <w:tcW w:type="dxa" w:w="4399"/>
            <w:shd w:fill="F3F5F7"/>
            <w:tcMar>
              <w:top w:w="100" w:type="dxa"/>
              <w:start w:w="120" w:type="dxa"/>
              <w:bottom w:w="100" w:type="dxa"/>
              <w:end w:w="120" w:type="dxa"/>
            </w:tcMar>
            <w:vAlign w:val="center"/>
          </w:tcPr>
          <w:p>
            <w:pPr>
              <w:spacing w:after="0" w:line="252" w:lineRule="auto"/>
              <w:jc w:val="left"/>
            </w:pPr>
            <w:r>
              <w:rPr>
                <w:rFonts w:ascii="Arial" w:hAnsi="Arial"/>
                <w:sz w:val="16"/>
              </w:rPr>
              <w:t>Tests cohort definitions, missingness and policy robustness</w:t>
            </w:r>
          </w:p>
        </w:tc>
      </w:tr>
      <w:tr>
        <w:trPr>
          <w:cantSplit/>
        </w:trPr>
        <w:tc>
          <w:tcPr>
            <w:tcW w:type="dxa" w:w="936"/>
            <w:tcMar>
              <w:top w:w="100" w:type="dxa"/>
              <w:start w:w="120" w:type="dxa"/>
              <w:bottom w:w="100" w:type="dxa"/>
              <w:end w:w="120" w:type="dxa"/>
            </w:tcMar>
            <w:vAlign w:val="center"/>
          </w:tcPr>
          <w:p>
            <w:pPr>
              <w:spacing w:after="0" w:line="252" w:lineRule="auto"/>
              <w:jc w:val="center"/>
            </w:pPr>
            <w:r>
              <w:rPr>
                <w:rFonts w:ascii="Arial" w:hAnsi="Arial"/>
                <w:b/>
                <w:color w:val="17324D"/>
                <w:sz w:val="16"/>
              </w:rPr>
              <w:t>7</w:t>
            </w:r>
          </w:p>
        </w:tc>
        <w:tc>
          <w:tcPr>
            <w:tcW w:type="dxa" w:w="4025"/>
            <w:tcMar>
              <w:top w:w="100" w:type="dxa"/>
              <w:start w:w="120" w:type="dxa"/>
              <w:bottom w:w="100" w:type="dxa"/>
              <w:end w:w="120" w:type="dxa"/>
            </w:tcMar>
            <w:vAlign w:val="center"/>
          </w:tcPr>
          <w:p>
            <w:pPr>
              <w:spacing w:after="0" w:line="252" w:lineRule="auto"/>
              <w:jc w:val="left"/>
            </w:pPr>
            <w:r>
              <w:rPr>
                <w:rFonts w:ascii="Arial" w:hAnsi="Arial"/>
                <w:sz w:val="16"/>
              </w:rPr>
              <w:t>Refit deployment-research bundles on all development data</w:t>
            </w:r>
          </w:p>
        </w:tc>
        <w:tc>
          <w:tcPr>
            <w:tcW w:type="dxa" w:w="4399"/>
            <w:tcMar>
              <w:top w:w="100" w:type="dxa"/>
              <w:start w:w="120" w:type="dxa"/>
              <w:bottom w:w="100" w:type="dxa"/>
              <w:end w:w="120" w:type="dxa"/>
            </w:tcMar>
            <w:vAlign w:val="center"/>
          </w:tcPr>
          <w:p>
            <w:pPr>
              <w:spacing w:after="0" w:line="252" w:lineRule="auto"/>
              <w:jc w:val="left"/>
            </w:pPr>
            <w:r>
              <w:rPr>
                <w:rFonts w:ascii="Arial" w:hAnsi="Arial"/>
                <w:sz w:val="16"/>
              </w:rPr>
              <w:t>Creates a clearly separated post-evaluation prototype</w:t>
            </w:r>
          </w:p>
        </w:tc>
      </w:tr>
      <w:tr>
        <w:trPr>
          <w:cantSplit/>
        </w:trPr>
        <w:tc>
          <w:tcPr>
            <w:tcW w:type="dxa" w:w="936"/>
            <w:shd w:fill="F3F5F7"/>
            <w:tcMar>
              <w:top w:w="100" w:type="dxa"/>
              <w:start w:w="120" w:type="dxa"/>
              <w:bottom w:w="100" w:type="dxa"/>
              <w:end w:w="120" w:type="dxa"/>
            </w:tcMar>
            <w:vAlign w:val="center"/>
          </w:tcPr>
          <w:p>
            <w:pPr>
              <w:spacing w:after="0" w:line="252" w:lineRule="auto"/>
              <w:jc w:val="center"/>
            </w:pPr>
            <w:r>
              <w:rPr>
                <w:rFonts w:ascii="Arial" w:hAnsi="Arial"/>
                <w:b/>
                <w:color w:val="17324D"/>
                <w:sz w:val="16"/>
              </w:rPr>
              <w:t>8</w:t>
            </w:r>
          </w:p>
        </w:tc>
        <w:tc>
          <w:tcPr>
            <w:tcW w:type="dxa" w:w="4025"/>
            <w:shd w:fill="F3F5F7"/>
            <w:tcMar>
              <w:top w:w="100" w:type="dxa"/>
              <w:start w:w="120" w:type="dxa"/>
              <w:bottom w:w="100" w:type="dxa"/>
              <w:end w:w="120" w:type="dxa"/>
            </w:tcMar>
            <w:vAlign w:val="center"/>
          </w:tcPr>
          <w:p>
            <w:pPr>
              <w:spacing w:after="0" w:line="252" w:lineRule="auto"/>
              <w:jc w:val="left"/>
            </w:pPr>
            <w:r>
              <w:rPr>
                <w:rFonts w:ascii="Arial" w:hAnsi="Arial"/>
                <w:sz w:val="16"/>
              </w:rPr>
              <w:t>Write manuscript using frozen tables/figures</w:t>
            </w:r>
          </w:p>
        </w:tc>
        <w:tc>
          <w:tcPr>
            <w:tcW w:type="dxa" w:w="4399"/>
            <w:shd w:fill="F3F5F7"/>
            <w:tcMar>
              <w:top w:w="100" w:type="dxa"/>
              <w:start w:w="120" w:type="dxa"/>
              <w:bottom w:w="100" w:type="dxa"/>
              <w:end w:w="120" w:type="dxa"/>
            </w:tcMar>
            <w:vAlign w:val="center"/>
          </w:tcPr>
          <w:p>
            <w:pPr>
              <w:spacing w:after="0" w:line="252" w:lineRule="auto"/>
              <w:jc w:val="left"/>
            </w:pPr>
            <w:r>
              <w:rPr>
                <w:rFonts w:ascii="Arial" w:hAnsi="Arial"/>
                <w:sz w:val="16"/>
              </w:rPr>
              <w:t>Aligns claims with actual evidence level</w:t>
            </w:r>
          </w:p>
        </w:tc>
      </w:tr>
    </w:tbl>
    <w:p>
      <w:pPr>
        <w:spacing w:after="20"/>
      </w:pPr>
    </w:p>
    <w:p>
      <w:pPr>
        <w:pStyle w:val="Heading2"/>
      </w:pPr>
      <w:r>
        <w:t>9.1 Final experimental profile already defined</w:t>
      </w:r>
    </w:p>
    <w:tbl>
      <w:tblPr>
        <w:tblStyle w:val="TableGrid"/>
        <w:tblW w:type="dxa" w:w="9360"/>
        <w:jc w:val="left"/>
        <w:tblLayout w:type="fixed"/>
        <w:tblLook w:firstColumn="1" w:firstRow="1" w:lastColumn="0" w:lastRow="0" w:noHBand="0" w:noVBand="1" w:val="04A0"/>
        <w:tblInd w:w="120" w:type="dxa"/>
      </w:tblPr>
      <w:tblGrid>
        <w:gridCol w:w="3370"/>
        <w:gridCol w:w="5990"/>
      </w:tblGrid>
      <w:tr>
        <w:trPr>
          <w:tblHeader w:val="true"/>
        </w:trPr>
        <w:tc>
          <w:tcPr>
            <w:tcW w:type="dxa" w:w="3370"/>
            <w:shd w:fill="17324D"/>
            <w:tcMar>
              <w:top w:w="115" w:type="dxa"/>
              <w:start w:w="120" w:type="dxa"/>
              <w:bottom w:w="115" w:type="dxa"/>
              <w:end w:w="120" w:type="dxa"/>
            </w:tcMar>
            <w:vAlign w:val="center"/>
          </w:tcPr>
          <w:p>
            <w:pPr>
              <w:spacing w:after="0"/>
              <w:jc w:val="center"/>
            </w:pPr>
            <w:r>
              <w:rPr>
                <w:rFonts w:ascii="Arial" w:hAnsi="Arial"/>
                <w:b/>
                <w:color w:val="FFFFFF"/>
                <w:sz w:val="17"/>
              </w:rPr>
              <w:t>Setting</w:t>
            </w:r>
          </w:p>
        </w:tc>
        <w:tc>
          <w:tcPr>
            <w:tcW w:type="dxa" w:w="5990"/>
            <w:shd w:fill="17324D"/>
            <w:tcMar>
              <w:top w:w="115" w:type="dxa"/>
              <w:start w:w="120" w:type="dxa"/>
              <w:bottom w:w="115" w:type="dxa"/>
              <w:end w:w="120" w:type="dxa"/>
            </w:tcMar>
            <w:vAlign w:val="center"/>
          </w:tcPr>
          <w:p>
            <w:pPr>
              <w:spacing w:after="0"/>
              <w:jc w:val="center"/>
            </w:pPr>
            <w:r>
              <w:rPr>
                <w:rFonts w:ascii="Arial" w:hAnsi="Arial"/>
                <w:b/>
                <w:color w:val="FFFFFF"/>
                <w:sz w:val="17"/>
              </w:rPr>
              <w:t>Final value</w:t>
            </w:r>
          </w:p>
        </w:tc>
      </w:tr>
      <w:tr>
        <w:trPr>
          <w:cantSplit/>
        </w:trPr>
        <w:tc>
          <w:tcPr>
            <w:tcW w:type="dxa" w:w="3370"/>
            <w:tcMar>
              <w:top w:w="100" w:type="dxa"/>
              <w:start w:w="120" w:type="dxa"/>
              <w:bottom w:w="100" w:type="dxa"/>
              <w:end w:w="120" w:type="dxa"/>
            </w:tcMar>
            <w:vAlign w:val="center"/>
          </w:tcPr>
          <w:p>
            <w:pPr>
              <w:spacing w:after="0" w:line="252" w:lineRule="auto"/>
              <w:jc w:val="left"/>
            </w:pPr>
            <w:r>
              <w:rPr>
                <w:rFonts w:ascii="Arial" w:hAnsi="Arial"/>
                <w:b/>
                <w:color w:val="17324D"/>
                <w:sz w:val="17"/>
              </w:rPr>
              <w:t>Random seed</w:t>
            </w:r>
          </w:p>
        </w:tc>
        <w:tc>
          <w:tcPr>
            <w:tcW w:type="dxa" w:w="5990"/>
            <w:tcMar>
              <w:top w:w="100" w:type="dxa"/>
              <w:start w:w="120" w:type="dxa"/>
              <w:bottom w:w="100" w:type="dxa"/>
              <w:end w:w="120" w:type="dxa"/>
            </w:tcMar>
            <w:vAlign w:val="center"/>
          </w:tcPr>
          <w:p>
            <w:pPr>
              <w:spacing w:after="0" w:line="252" w:lineRule="auto"/>
              <w:jc w:val="left"/>
            </w:pPr>
            <w:r>
              <w:rPr>
                <w:rFonts w:ascii="Arial" w:hAnsi="Arial"/>
                <w:sz w:val="17"/>
              </w:rPr>
              <w:t>42</w:t>
            </w:r>
          </w:p>
        </w:tc>
      </w:tr>
      <w:tr>
        <w:trPr>
          <w:cantSplit/>
        </w:trPr>
        <w:tc>
          <w:tcPr>
            <w:tcW w:type="dxa" w:w="3370"/>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Hyperparameter trials</w:t>
            </w:r>
          </w:p>
        </w:tc>
        <w:tc>
          <w:tcPr>
            <w:tcW w:type="dxa" w:w="5990"/>
            <w:shd w:fill="F3F5F7"/>
            <w:tcMar>
              <w:top w:w="100" w:type="dxa"/>
              <w:start w:w="120" w:type="dxa"/>
              <w:bottom w:w="100" w:type="dxa"/>
              <w:end w:w="120" w:type="dxa"/>
            </w:tcMar>
            <w:vAlign w:val="center"/>
          </w:tcPr>
          <w:p>
            <w:pPr>
              <w:spacing w:after="0" w:line="252" w:lineRule="auto"/>
              <w:jc w:val="left"/>
            </w:pPr>
            <w:r>
              <w:rPr>
                <w:rFonts w:ascii="Arial" w:hAnsi="Arial"/>
                <w:sz w:val="17"/>
              </w:rPr>
              <w:t>75 per model/evaluation unit</w:t>
            </w:r>
          </w:p>
        </w:tc>
      </w:tr>
      <w:tr>
        <w:trPr>
          <w:cantSplit/>
        </w:trPr>
        <w:tc>
          <w:tcPr>
            <w:tcW w:type="dxa" w:w="3370"/>
            <w:tcMar>
              <w:top w:w="100" w:type="dxa"/>
              <w:start w:w="120" w:type="dxa"/>
              <w:bottom w:w="100" w:type="dxa"/>
              <w:end w:w="120" w:type="dxa"/>
            </w:tcMar>
            <w:vAlign w:val="center"/>
          </w:tcPr>
          <w:p>
            <w:pPr>
              <w:spacing w:after="0" w:line="252" w:lineRule="auto"/>
              <w:jc w:val="left"/>
            </w:pPr>
            <w:r>
              <w:rPr>
                <w:rFonts w:ascii="Arial" w:hAnsi="Arial"/>
                <w:b/>
                <w:color w:val="17324D"/>
                <w:sz w:val="17"/>
              </w:rPr>
              <w:t>Bootstrap resamples</w:t>
            </w:r>
          </w:p>
        </w:tc>
        <w:tc>
          <w:tcPr>
            <w:tcW w:type="dxa" w:w="5990"/>
            <w:tcMar>
              <w:top w:w="100" w:type="dxa"/>
              <w:start w:w="120" w:type="dxa"/>
              <w:bottom w:w="100" w:type="dxa"/>
              <w:end w:w="120" w:type="dxa"/>
            </w:tcMar>
            <w:vAlign w:val="center"/>
          </w:tcPr>
          <w:p>
            <w:pPr>
              <w:spacing w:after="0" w:line="252" w:lineRule="auto"/>
              <w:jc w:val="left"/>
            </w:pPr>
            <w:r>
              <w:rPr>
                <w:rFonts w:ascii="Arial" w:hAnsi="Arial"/>
                <w:sz w:val="17"/>
              </w:rPr>
              <w:t>2,000</w:t>
            </w:r>
          </w:p>
        </w:tc>
      </w:tr>
      <w:tr>
        <w:trPr>
          <w:cantSplit/>
        </w:trPr>
        <w:tc>
          <w:tcPr>
            <w:tcW w:type="dxa" w:w="3370"/>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Calibration candidates</w:t>
            </w:r>
          </w:p>
        </w:tc>
        <w:tc>
          <w:tcPr>
            <w:tcW w:type="dxa" w:w="5990"/>
            <w:shd w:fill="F3F5F7"/>
            <w:tcMar>
              <w:top w:w="100" w:type="dxa"/>
              <w:start w:w="120" w:type="dxa"/>
              <w:bottom w:w="100" w:type="dxa"/>
              <w:end w:w="120" w:type="dxa"/>
            </w:tcMar>
            <w:vAlign w:val="center"/>
          </w:tcPr>
          <w:p>
            <w:pPr>
              <w:spacing w:after="0" w:line="252" w:lineRule="auto"/>
              <w:jc w:val="left"/>
            </w:pPr>
            <w:r>
              <w:rPr>
                <w:rFonts w:ascii="Arial" w:hAnsi="Arial"/>
                <w:sz w:val="17"/>
              </w:rPr>
              <w:t>Identity, sigmoid, isotonic (isotonic minimum n=1,000)</w:t>
            </w:r>
          </w:p>
        </w:tc>
      </w:tr>
      <w:tr>
        <w:trPr>
          <w:cantSplit/>
        </w:trPr>
        <w:tc>
          <w:tcPr>
            <w:tcW w:type="dxa" w:w="3370"/>
            <w:tcMar>
              <w:top w:w="100" w:type="dxa"/>
              <w:start w:w="120" w:type="dxa"/>
              <w:bottom w:w="100" w:type="dxa"/>
              <w:end w:w="120" w:type="dxa"/>
            </w:tcMar>
            <w:vAlign w:val="center"/>
          </w:tcPr>
          <w:p>
            <w:pPr>
              <w:spacing w:after="0" w:line="252" w:lineRule="auto"/>
              <w:jc w:val="left"/>
            </w:pPr>
            <w:r>
              <w:rPr>
                <w:rFonts w:ascii="Arial" w:hAnsi="Arial"/>
                <w:b/>
                <w:color w:val="17324D"/>
                <w:sz w:val="17"/>
              </w:rPr>
              <w:t>Thresholds</w:t>
            </w:r>
          </w:p>
        </w:tc>
        <w:tc>
          <w:tcPr>
            <w:tcW w:type="dxa" w:w="5990"/>
            <w:tcMar>
              <w:top w:w="100" w:type="dxa"/>
              <w:start w:w="120" w:type="dxa"/>
              <w:bottom w:w="100" w:type="dxa"/>
              <w:end w:w="120" w:type="dxa"/>
            </w:tcMar>
            <w:vAlign w:val="center"/>
          </w:tcPr>
          <w:p>
            <w:pPr>
              <w:spacing w:after="0" w:line="252" w:lineRule="auto"/>
              <w:jc w:val="left"/>
            </w:pPr>
            <w:r>
              <w:rPr>
                <w:rFonts w:ascii="Arial" w:hAnsi="Arial"/>
                <w:sz w:val="17"/>
              </w:rPr>
              <w:t>Fixed 0.5, development Youden, development 80%-sensitivity</w:t>
            </w:r>
          </w:p>
        </w:tc>
      </w:tr>
      <w:tr>
        <w:trPr>
          <w:cantSplit/>
        </w:trPr>
        <w:tc>
          <w:tcPr>
            <w:tcW w:type="dxa" w:w="3370"/>
            <w:shd w:fill="F3F5F7"/>
            <w:tcMar>
              <w:top w:w="100" w:type="dxa"/>
              <w:start w:w="120" w:type="dxa"/>
              <w:bottom w:w="100" w:type="dxa"/>
              <w:end w:w="120" w:type="dxa"/>
            </w:tcMar>
            <w:vAlign w:val="center"/>
          </w:tcPr>
          <w:p>
            <w:pPr>
              <w:spacing w:after="0" w:line="252" w:lineRule="auto"/>
              <w:jc w:val="left"/>
            </w:pPr>
            <w:r>
              <w:rPr>
                <w:rFonts w:ascii="Arial" w:hAnsi="Arial"/>
                <w:b/>
                <w:color w:val="17324D"/>
                <w:sz w:val="17"/>
              </w:rPr>
              <w:t>Sample limits</w:t>
            </w:r>
          </w:p>
        </w:tc>
        <w:tc>
          <w:tcPr>
            <w:tcW w:type="dxa" w:w="5990"/>
            <w:shd w:fill="F3F5F7"/>
            <w:tcMar>
              <w:top w:w="100" w:type="dxa"/>
              <w:start w:w="120" w:type="dxa"/>
              <w:bottom w:w="100" w:type="dxa"/>
              <w:end w:w="120" w:type="dxa"/>
            </w:tcMar>
            <w:vAlign w:val="center"/>
          </w:tcPr>
          <w:p>
            <w:pPr>
              <w:spacing w:after="0" w:line="252" w:lineRule="auto"/>
              <w:jc w:val="left"/>
            </w:pPr>
            <w:r>
              <w:rPr>
                <w:rFonts w:ascii="Arial" w:hAnsi="Arial"/>
                <w:sz w:val="17"/>
              </w:rPr>
              <w:t>None</w:t>
            </w:r>
          </w:p>
        </w:tc>
      </w:tr>
      <w:tr>
        <w:trPr>
          <w:cantSplit/>
        </w:trPr>
        <w:tc>
          <w:tcPr>
            <w:tcW w:type="dxa" w:w="3370"/>
            <w:tcMar>
              <w:top w:w="100" w:type="dxa"/>
              <w:start w:w="120" w:type="dxa"/>
              <w:bottom w:w="100" w:type="dxa"/>
              <w:end w:w="120" w:type="dxa"/>
            </w:tcMar>
            <w:vAlign w:val="center"/>
          </w:tcPr>
          <w:p>
            <w:pPr>
              <w:spacing w:after="0" w:line="252" w:lineRule="auto"/>
              <w:jc w:val="left"/>
            </w:pPr>
            <w:r>
              <w:rPr>
                <w:rFonts w:ascii="Arial" w:hAnsi="Arial"/>
                <w:b/>
                <w:color w:val="17324D"/>
                <w:sz w:val="17"/>
              </w:rPr>
              <w:t>Current lock state</w:t>
            </w:r>
          </w:p>
        </w:tc>
        <w:tc>
          <w:tcPr>
            <w:tcW w:type="dxa" w:w="5990"/>
            <w:tcMar>
              <w:top w:w="100" w:type="dxa"/>
              <w:start w:w="120" w:type="dxa"/>
              <w:bottom w:w="100" w:type="dxa"/>
              <w:end w:w="120" w:type="dxa"/>
            </w:tcMar>
            <w:vAlign w:val="center"/>
          </w:tcPr>
          <w:p>
            <w:pPr>
              <w:spacing w:after="0" w:line="252" w:lineRule="auto"/>
              <w:jc w:val="left"/>
            </w:pPr>
            <w:r>
              <w:rPr>
                <w:rFonts w:ascii="Arial" w:hAnsi="Arial"/>
                <w:sz w:val="17"/>
              </w:rPr>
              <w:t>false — final test access remains disabled</w:t>
            </w:r>
          </w:p>
        </w:tc>
      </w:tr>
    </w:tbl>
    <w:p>
      <w:pPr>
        <w:spacing w:after="20"/>
      </w:pPr>
    </w:p>
    <w:p>
      <w:pPr>
        <w:pStyle w:val="Heading2"/>
      </w:pPr>
      <w:r>
        <w:t>9.2 Suggested manuscript result hierarchy</w:t>
      </w:r>
    </w:p>
    <w:p>
      <w:pPr>
        <w:spacing w:after="60"/>
      </w:pPr>
      <w:r>
        <w:rPr>
          <w:b/>
          <w:color w:val="17324D"/>
        </w:rPr>
        <w:t xml:space="preserve">Primary result. </w:t>
      </w:r>
      <w:r>
        <w:t>Calibrated probability performance and uncertainty for the prespecified endpoint/model-selection system.</w:t>
      </w:r>
    </w:p>
    <w:p>
      <w:pPr>
        <w:spacing w:after="60"/>
      </w:pPr>
      <w:r>
        <w:rPr>
          <w:b/>
          <w:color w:val="17324D"/>
        </w:rPr>
        <w:t xml:space="preserve">Secondary result A. </w:t>
      </w:r>
      <w:r>
        <w:t>Feature-panel degradation and router-versus-fixed-model comparisons.</w:t>
      </w:r>
    </w:p>
    <w:p>
      <w:pPr>
        <w:spacing w:after="60"/>
      </w:pPr>
      <w:r>
        <w:rPr>
          <w:b/>
          <w:color w:val="17324D"/>
        </w:rPr>
        <w:t xml:space="preserve">Secondary result B. </w:t>
      </w:r>
      <w:r>
        <w:t>Operating-policy performance and decision-curve net benefit.</w:t>
      </w:r>
    </w:p>
    <w:p>
      <w:pPr>
        <w:spacing w:after="60"/>
      </w:pPr>
      <w:r>
        <w:rPr>
          <w:b/>
          <w:color w:val="17324D"/>
        </w:rPr>
        <w:t xml:space="preserve">Interpretability. </w:t>
      </w:r>
      <w:r>
        <w:t>Held-out SHAP rankings, directions and stability.</w:t>
      </w:r>
    </w:p>
    <w:p>
      <w:pPr>
        <w:spacing w:after="60"/>
      </w:pPr>
      <w:r>
        <w:rPr>
          <w:b/>
          <w:color w:val="17324D"/>
        </w:rPr>
        <w:t xml:space="preserve">Safety/applicability. </w:t>
      </w:r>
      <w:r>
        <w:t>Abstention, out-of-range handling and endpoint ontology.</w:t>
      </w:r>
    </w:p>
    <w:p>
      <w:pPr>
        <w:spacing w:after="60"/>
      </w:pPr>
      <w:r>
        <w:rPr>
          <w:b/>
          <w:color w:val="17324D"/>
        </w:rPr>
        <w:t xml:space="preserve">Sensitivity analyses. </w:t>
      </w:r>
      <w:r>
        <w:t>Alternative cohort definitions and subgroup analyses.</w:t>
      </w:r>
    </w:p>
    <w:p>
      <w:r>
        <w:br w:type="page"/>
      </w:r>
    </w:p>
    <w:p>
      <w:pPr>
        <w:pStyle w:val="Heading1"/>
      </w:pPr>
      <w:r>
        <w:t>10. Conclusion</w:t>
      </w:r>
    </w:p>
    <w:p>
      <w:r>
        <w:t>The project has progressed from a conventional single-model classifier to a complete publication-oriented research system. Four tree ensembles can be tuned and evaluated under leakage-controlled designs; probabilities are calibrated through development-only evidence; thresholds are tied to explicit operating policies; uncertainty and paired comparisons are generated; held-out SHAP explains both global and local behavior; feature availability is evaluated through predeclared panels; and the patient layer can return a detailed probability report or safely abstain.</w:t>
      </w:r>
    </w:p>
    <w:p>
      <w:r>
        <w:t>The most important current scientific conclusion is that model choice alone is not decisive. On PIDD and Sylhet, numerical leaders exist but the algorithms are not statistically separated after multiplicity correction. PIDD routing further shows that availability of informative measurements—especially glucose—has a larger effect than dynamic switching among Random Forest, XGBoost, LightGBM and CatBoost. This supports a paper centered on calibrated, availability-aware, explainable and safety-conscious prediction rather than on a simple algorithm leaderboard.</w:t>
      </w:r>
    </w:p>
    <w:p>
      <w:pPr>
        <w:shd w:fill="E8F3F2"/>
        <w:keepLines/>
        <w:pBdr>
          <w:left w:val="single" w:sz="20" w:space="8" w:color="157A7B"/>
        </w:pBdr>
        <w:spacing w:before="100" w:after="160"/>
        <w:ind w:left="173" w:right="115"/>
      </w:pPr>
      <w:r>
        <w:rPr>
          <w:b/>
          <w:color w:val="157A7B"/>
        </w:rPr>
        <w:t xml:space="preserve">Overall status  </w:t>
      </w:r>
      <w:r>
        <w:t>The engineering and pilot-evidence foundation is strong enough to begin manuscript drafting. Publication claims must remain provisional until BRFSS routing, subgroup analyses, protocol freeze and the one-time locked final experiments are completed.</w:t>
      </w:r>
    </w:p>
    <w:p>
      <w:r>
        <w:br w:type="page"/>
      </w:r>
    </w:p>
    <w:p>
      <w:pPr>
        <w:pStyle w:val="Heading1"/>
      </w:pPr>
      <w:r>
        <w:t>Appendix A. Canonical Study Artifacts</w:t>
      </w:r>
    </w:p>
    <w:tbl>
      <w:tblPr>
        <w:tblStyle w:val="TableGrid"/>
        <w:tblW w:type="dxa" w:w="9360"/>
        <w:jc w:val="left"/>
        <w:tblLayout w:type="fixed"/>
        <w:tblLook w:firstColumn="1" w:firstRow="1" w:lastColumn="0" w:lastRow="0" w:noHBand="0" w:noVBand="1" w:val="04A0"/>
        <w:tblInd w:w="120" w:type="dxa"/>
      </w:tblPr>
      <w:tblGrid>
        <w:gridCol w:w="1591"/>
        <w:gridCol w:w="4493"/>
        <w:gridCol w:w="3276"/>
      </w:tblGrid>
      <w:tr>
        <w:trPr>
          <w:tblHeader w:val="true"/>
        </w:trPr>
        <w:tc>
          <w:tcPr>
            <w:tcW w:type="dxa" w:w="1591"/>
            <w:shd w:fill="17324D"/>
            <w:tcMar>
              <w:top w:w="115" w:type="dxa"/>
              <w:start w:w="120" w:type="dxa"/>
              <w:bottom w:w="115" w:type="dxa"/>
              <w:end w:w="120" w:type="dxa"/>
            </w:tcMar>
            <w:vAlign w:val="center"/>
          </w:tcPr>
          <w:p>
            <w:pPr>
              <w:spacing w:after="0"/>
              <w:jc w:val="center"/>
            </w:pPr>
            <w:r>
              <w:rPr>
                <w:rFonts w:ascii="Arial" w:hAnsi="Arial"/>
                <w:b/>
                <w:color w:val="FFFFFF"/>
                <w:sz w:val="16"/>
              </w:rPr>
              <w:t>Dataset</w:t>
            </w:r>
          </w:p>
        </w:tc>
        <w:tc>
          <w:tcPr>
            <w:tcW w:type="dxa" w:w="4493"/>
            <w:shd w:fill="17324D"/>
            <w:tcMar>
              <w:top w:w="115" w:type="dxa"/>
              <w:start w:w="120" w:type="dxa"/>
              <w:bottom w:w="115" w:type="dxa"/>
              <w:end w:w="120" w:type="dxa"/>
            </w:tcMar>
            <w:vAlign w:val="center"/>
          </w:tcPr>
          <w:p>
            <w:pPr>
              <w:spacing w:after="0"/>
              <w:jc w:val="center"/>
            </w:pPr>
            <w:r>
              <w:rPr>
                <w:rFonts w:ascii="Arial" w:hAnsi="Arial"/>
                <w:b/>
                <w:color w:val="FFFFFF"/>
                <w:sz w:val="16"/>
              </w:rPr>
              <w:t>Canonical study identifier</w:t>
            </w:r>
          </w:p>
        </w:tc>
        <w:tc>
          <w:tcPr>
            <w:tcW w:type="dxa" w:w="3276"/>
            <w:shd w:fill="17324D"/>
            <w:tcMar>
              <w:top w:w="115" w:type="dxa"/>
              <w:start w:w="120" w:type="dxa"/>
              <w:bottom w:w="115" w:type="dxa"/>
              <w:end w:w="120" w:type="dxa"/>
            </w:tcMar>
            <w:vAlign w:val="center"/>
          </w:tcPr>
          <w:p>
            <w:pPr>
              <w:spacing w:after="0"/>
              <w:jc w:val="center"/>
            </w:pPr>
            <w:r>
              <w:rPr>
                <w:rFonts w:ascii="Arial" w:hAnsi="Arial"/>
                <w:b/>
                <w:color w:val="FFFFFF"/>
                <w:sz w:val="16"/>
              </w:rPr>
              <w:t>Status</w:t>
            </w:r>
          </w:p>
        </w:tc>
      </w:tr>
      <w:tr>
        <w:trPr>
          <w:cantSplit/>
        </w:trPr>
        <w:tc>
          <w:tcPr>
            <w:tcW w:type="dxa" w:w="1591"/>
            <w:tcMar>
              <w:top w:w="100" w:type="dxa"/>
              <w:start w:w="120" w:type="dxa"/>
              <w:bottom w:w="100" w:type="dxa"/>
              <w:end w:w="120" w:type="dxa"/>
            </w:tcMar>
            <w:vAlign w:val="center"/>
          </w:tcPr>
          <w:p>
            <w:pPr>
              <w:spacing w:after="0" w:line="252" w:lineRule="auto"/>
              <w:jc w:val="left"/>
            </w:pPr>
            <w:r>
              <w:rPr>
                <w:rFonts w:ascii="Arial" w:hAnsi="Arial"/>
                <w:b/>
                <w:color w:val="17324D"/>
                <w:sz w:val="16"/>
              </w:rPr>
              <w:t>PIDD</w:t>
            </w:r>
          </w:p>
        </w:tc>
        <w:tc>
          <w:tcPr>
            <w:tcW w:type="dxa" w:w="4493"/>
            <w:tcMar>
              <w:top w:w="100" w:type="dxa"/>
              <w:start w:w="120" w:type="dxa"/>
              <w:bottom w:w="100" w:type="dxa"/>
              <w:end w:w="120" w:type="dxa"/>
            </w:tcMar>
            <w:vAlign w:val="center"/>
          </w:tcPr>
          <w:p>
            <w:pPr>
              <w:spacing w:after="0" w:line="252" w:lineRule="auto"/>
              <w:jc w:val="left"/>
            </w:pPr>
            <w:r>
              <w:rPr>
                <w:rFonts w:ascii="Arial" w:hAnsi="Arial"/>
                <w:sz w:val="16"/>
              </w:rPr>
              <w:t>pidd_development_pilot_27b9bc88b493</w:t>
            </w:r>
          </w:p>
        </w:tc>
        <w:tc>
          <w:tcPr>
            <w:tcW w:type="dxa" w:w="3276"/>
            <w:tcMar>
              <w:top w:w="100" w:type="dxa"/>
              <w:start w:w="120" w:type="dxa"/>
              <w:bottom w:w="100" w:type="dxa"/>
              <w:end w:w="120" w:type="dxa"/>
            </w:tcMar>
            <w:vAlign w:val="center"/>
          </w:tcPr>
          <w:p>
            <w:pPr>
              <w:spacing w:after="0" w:line="252" w:lineRule="auto"/>
              <w:jc w:val="left"/>
            </w:pPr>
            <w:r>
              <w:rPr>
                <w:rFonts w:ascii="Arial" w:hAnsi="Arial"/>
                <w:sz w:val="16"/>
              </w:rPr>
              <w:t>Development pilot + SHAP + routing</w:t>
            </w:r>
          </w:p>
        </w:tc>
      </w:tr>
      <w:tr>
        <w:trPr>
          <w:cantSplit/>
        </w:trPr>
        <w:tc>
          <w:tcPr>
            <w:tcW w:type="dxa" w:w="1591"/>
            <w:shd w:fill="F3F5F7"/>
            <w:tcMar>
              <w:top w:w="100" w:type="dxa"/>
              <w:start w:w="120" w:type="dxa"/>
              <w:bottom w:w="100" w:type="dxa"/>
              <w:end w:w="120" w:type="dxa"/>
            </w:tcMar>
            <w:vAlign w:val="center"/>
          </w:tcPr>
          <w:p>
            <w:pPr>
              <w:spacing w:after="0" w:line="252" w:lineRule="auto"/>
              <w:jc w:val="left"/>
            </w:pPr>
            <w:r>
              <w:rPr>
                <w:rFonts w:ascii="Arial" w:hAnsi="Arial"/>
                <w:b/>
                <w:color w:val="17324D"/>
                <w:sz w:val="16"/>
              </w:rPr>
              <w:t>Sylhet</w:t>
            </w:r>
          </w:p>
        </w:tc>
        <w:tc>
          <w:tcPr>
            <w:tcW w:type="dxa" w:w="4493"/>
            <w:shd w:fill="F3F5F7"/>
            <w:tcMar>
              <w:top w:w="100" w:type="dxa"/>
              <w:start w:w="120" w:type="dxa"/>
              <w:bottom w:w="100" w:type="dxa"/>
              <w:end w:w="120" w:type="dxa"/>
            </w:tcMar>
            <w:vAlign w:val="center"/>
          </w:tcPr>
          <w:p>
            <w:pPr>
              <w:spacing w:after="0" w:line="252" w:lineRule="auto"/>
              <w:jc w:val="left"/>
            </w:pPr>
            <w:r>
              <w:rPr>
                <w:rFonts w:ascii="Arial" w:hAnsi="Arial"/>
                <w:sz w:val="16"/>
              </w:rPr>
              <w:t>sylhet_development_pilot_ed7c05460503</w:t>
            </w:r>
          </w:p>
        </w:tc>
        <w:tc>
          <w:tcPr>
            <w:tcW w:type="dxa" w:w="3276"/>
            <w:shd w:fill="F3F5F7"/>
            <w:tcMar>
              <w:top w:w="100" w:type="dxa"/>
              <w:start w:w="120" w:type="dxa"/>
              <w:bottom w:w="100" w:type="dxa"/>
              <w:end w:w="120" w:type="dxa"/>
            </w:tcMar>
            <w:vAlign w:val="center"/>
          </w:tcPr>
          <w:p>
            <w:pPr>
              <w:spacing w:after="0" w:line="252" w:lineRule="auto"/>
              <w:jc w:val="left"/>
            </w:pPr>
            <w:r>
              <w:rPr>
                <w:rFonts w:ascii="Arial" w:hAnsi="Arial"/>
                <w:sz w:val="16"/>
              </w:rPr>
              <w:t>Grouped development pilot + SHAP</w:t>
            </w:r>
          </w:p>
        </w:tc>
      </w:tr>
      <w:tr>
        <w:trPr>
          <w:cantSplit/>
        </w:trPr>
        <w:tc>
          <w:tcPr>
            <w:tcW w:type="dxa" w:w="1591"/>
            <w:tcMar>
              <w:top w:w="100" w:type="dxa"/>
              <w:start w:w="120" w:type="dxa"/>
              <w:bottom w:w="100" w:type="dxa"/>
              <w:end w:w="120" w:type="dxa"/>
            </w:tcMar>
            <w:vAlign w:val="center"/>
          </w:tcPr>
          <w:p>
            <w:pPr>
              <w:spacing w:after="0" w:line="252" w:lineRule="auto"/>
              <w:jc w:val="left"/>
            </w:pPr>
            <w:r>
              <w:rPr>
                <w:rFonts w:ascii="Arial" w:hAnsi="Arial"/>
                <w:b/>
                <w:color w:val="17324D"/>
                <w:sz w:val="16"/>
              </w:rPr>
              <w:t>BRFSS</w:t>
            </w:r>
          </w:p>
        </w:tc>
        <w:tc>
          <w:tcPr>
            <w:tcW w:type="dxa" w:w="4493"/>
            <w:tcMar>
              <w:top w:w="100" w:type="dxa"/>
              <w:start w:w="120" w:type="dxa"/>
              <w:bottom w:w="100" w:type="dxa"/>
              <w:end w:w="120" w:type="dxa"/>
            </w:tcMar>
            <w:vAlign w:val="center"/>
          </w:tcPr>
          <w:p>
            <w:pPr>
              <w:spacing w:after="0" w:line="252" w:lineRule="auto"/>
              <w:jc w:val="left"/>
            </w:pPr>
            <w:r>
              <w:rPr>
                <w:rFonts w:ascii="Arial" w:hAnsi="Arial"/>
                <w:sz w:val="16"/>
              </w:rPr>
              <w:t>brfss_smoke_holdout_1f1344dceb63</w:t>
            </w:r>
          </w:p>
        </w:tc>
        <w:tc>
          <w:tcPr>
            <w:tcW w:type="dxa" w:w="3276"/>
            <w:tcMar>
              <w:top w:w="100" w:type="dxa"/>
              <w:start w:w="120" w:type="dxa"/>
              <w:bottom w:w="100" w:type="dxa"/>
              <w:end w:w="120" w:type="dxa"/>
            </w:tcMar>
            <w:vAlign w:val="center"/>
          </w:tcPr>
          <w:p>
            <w:pPr>
              <w:spacing w:after="0" w:line="252" w:lineRule="auto"/>
              <w:jc w:val="left"/>
            </w:pPr>
            <w:r>
              <w:rPr>
                <w:rFonts w:ascii="Arial" w:hAnsi="Arial"/>
                <w:sz w:val="16"/>
              </w:rPr>
              <w:t>Holdout smoke + held-out SHAP</w:t>
            </w:r>
          </w:p>
        </w:tc>
      </w:tr>
      <w:tr>
        <w:trPr>
          <w:cantSplit/>
        </w:trPr>
        <w:tc>
          <w:tcPr>
            <w:tcW w:type="dxa" w:w="1591"/>
            <w:shd w:fill="F3F5F7"/>
            <w:tcMar>
              <w:top w:w="100" w:type="dxa"/>
              <w:start w:w="120" w:type="dxa"/>
              <w:bottom w:w="100" w:type="dxa"/>
              <w:end w:w="120" w:type="dxa"/>
            </w:tcMar>
            <w:vAlign w:val="center"/>
          </w:tcPr>
          <w:p>
            <w:pPr>
              <w:spacing w:after="0" w:line="252" w:lineRule="auto"/>
              <w:jc w:val="left"/>
            </w:pPr>
            <w:r>
              <w:rPr>
                <w:rFonts w:ascii="Arial" w:hAnsi="Arial"/>
                <w:b/>
                <w:color w:val="17324D"/>
                <w:sz w:val="16"/>
              </w:rPr>
              <w:t>Hospital130</w:t>
            </w:r>
          </w:p>
        </w:tc>
        <w:tc>
          <w:tcPr>
            <w:tcW w:type="dxa" w:w="4493"/>
            <w:shd w:fill="F3F5F7"/>
            <w:tcMar>
              <w:top w:w="100" w:type="dxa"/>
              <w:start w:w="120" w:type="dxa"/>
              <w:bottom w:w="100" w:type="dxa"/>
              <w:end w:w="120" w:type="dxa"/>
            </w:tcMar>
            <w:vAlign w:val="center"/>
          </w:tcPr>
          <w:p>
            <w:pPr>
              <w:spacing w:after="0" w:line="252" w:lineRule="auto"/>
              <w:jc w:val="left"/>
            </w:pPr>
            <w:r>
              <w:rPr>
                <w:rFonts w:ascii="Arial" w:hAnsi="Arial"/>
                <w:sz w:val="16"/>
              </w:rPr>
              <w:t>hospital130_smoke_holdout_6640beff7a08</w:t>
            </w:r>
          </w:p>
        </w:tc>
        <w:tc>
          <w:tcPr>
            <w:tcW w:type="dxa" w:w="3276"/>
            <w:shd w:fill="F3F5F7"/>
            <w:tcMar>
              <w:top w:w="100" w:type="dxa"/>
              <w:start w:w="120" w:type="dxa"/>
              <w:bottom w:w="100" w:type="dxa"/>
              <w:end w:w="120" w:type="dxa"/>
            </w:tcMar>
            <w:vAlign w:val="center"/>
          </w:tcPr>
          <w:p>
            <w:pPr>
              <w:spacing w:after="0" w:line="252" w:lineRule="auto"/>
              <w:jc w:val="left"/>
            </w:pPr>
            <w:r>
              <w:rPr>
                <w:rFonts w:ascii="Arial" w:hAnsi="Arial"/>
                <w:sz w:val="16"/>
              </w:rPr>
              <w:t>Corrected grouped holdout smoke + SHAP</w:t>
            </w:r>
          </w:p>
        </w:tc>
      </w:tr>
    </w:tbl>
    <w:p>
      <w:pPr>
        <w:spacing w:after="20"/>
      </w:pPr>
    </w:p>
    <w:p>
      <w:pPr>
        <w:pStyle w:val="Heading1"/>
      </w:pPr>
      <w:r>
        <w:t>Appendix B. Key Generated Outputs</w:t>
      </w:r>
    </w:p>
    <w:p>
      <w:pPr>
        <w:pStyle w:val="ListBullet"/>
      </w:pPr>
      <w:r>
        <w:t>Raw and calibrated held-out probabilities.</w:t>
      </w:r>
    </w:p>
    <w:p>
      <w:pPr>
        <w:pStyle w:val="ListBullet"/>
      </w:pPr>
      <w:r>
        <w:t>Fold and pooled metrics across multiple threshold policies.</w:t>
      </w:r>
    </w:p>
    <w:p>
      <w:pPr>
        <w:pStyle w:val="ListBullet"/>
      </w:pPr>
      <w:r>
        <w:t>Bootstrap confidence intervals and paired Holm-adjusted comparisons.</w:t>
      </w:r>
    </w:p>
    <w:p>
      <w:pPr>
        <w:pStyle w:val="ListBullet"/>
      </w:pPr>
      <w:r>
        <w:t>Calibration candidate scores and selected calibration method.</w:t>
      </w:r>
    </w:p>
    <w:p>
      <w:pPr>
        <w:pStyle w:val="ListBullet"/>
      </w:pPr>
      <w:r>
        <w:t>Development-selected thresholds and decision-curve data.</w:t>
      </w:r>
    </w:p>
    <w:p>
      <w:pPr>
        <w:pStyle w:val="ListBullet"/>
      </w:pPr>
      <w:r>
        <w:t>ROC, precision–recall, calibration, probability-distribution and decision-curve figures.</w:t>
      </w:r>
    </w:p>
    <w:p>
      <w:pPr>
        <w:pStyle w:val="ListBullet"/>
      </w:pPr>
      <w:r>
        <w:t>Reloadable preprocessing/model/calibration/threshold bundles.</w:t>
      </w:r>
    </w:p>
    <w:p>
      <w:pPr>
        <w:pStyle w:val="ListBullet"/>
      </w:pPr>
      <w:r>
        <w:t>Held-out SHAP values, global importance, dependence summaries, local factors and reconstruction checks.</w:t>
      </w:r>
    </w:p>
    <w:p>
      <w:pPr>
        <w:pStyle w:val="ListBullet"/>
      </w:pPr>
      <w:r>
        <w:t>Availability-router bundles, model-selection evidence, stress predictions and abstention behavior.</w:t>
      </w:r>
    </w:p>
    <w:p>
      <w:pPr>
        <w:pStyle w:val="ListBullet"/>
      </w:pPr>
      <w:r>
        <w:t>Dataset, split, source and artifact checksums.</w:t>
      </w:r>
    </w:p>
    <w:p>
      <w:pPr>
        <w:pStyle w:val="Heading1"/>
      </w:pPr>
      <w:r>
        <w:t>Appendix C. Data and Method References</w:t>
      </w:r>
    </w:p>
    <w:p>
      <w:r>
        <w:t xml:space="preserve">BRFSS 2015 codebook: </w:t>
      </w:r>
      <w:hyperlink r:id="rId20">
        <w:r>
          <w:rPr>
            <w:color w:val="157A7B"/>
            <w:u w:val="single"/>
          </w:rPr>
          <w:t>CDC documentation</w:t>
        </w:r>
      </w:hyperlink>
    </w:p>
    <w:p>
      <w:r>
        <w:t xml:space="preserve">Sylhet dataset: </w:t>
      </w:r>
      <w:hyperlink r:id="rId21">
        <w:r>
          <w:rPr>
            <w:color w:val="157A7B"/>
            <w:u w:val="single"/>
          </w:rPr>
          <w:t>UCI Early Stage Diabetes Risk Prediction</w:t>
        </w:r>
      </w:hyperlink>
    </w:p>
    <w:p>
      <w:r>
        <w:t xml:space="preserve">Hospital dataset: </w:t>
      </w:r>
      <w:hyperlink r:id="rId22">
        <w:r>
          <w:rPr>
            <w:color w:val="157A7B"/>
            <w:u w:val="single"/>
          </w:rPr>
          <w:t>UCI Diabetes 130-US Hospitals</w:t>
        </w:r>
      </w:hyperlink>
    </w:p>
    <w:p>
      <w:r>
        <w:t xml:space="preserve">Calibration safeguard: Niculescu-Mizil and Caruana (2005), </w:t>
      </w:r>
      <w:hyperlink r:id="rId23">
        <w:r>
          <w:rPr>
            <w:color w:val="157A7B"/>
            <w:u w:val="single"/>
          </w:rPr>
          <w:t>Predicting Good Probabilities with Supervised Learning</w:t>
        </w:r>
      </w:hyperlink>
    </w:p>
    <w:p>
      <w:r>
        <w:t xml:space="preserve">Implementation guidance: </w:t>
      </w:r>
      <w:hyperlink r:id="rId24">
        <w:r>
          <w:rPr>
            <w:color w:val="157A7B"/>
            <w:u w:val="single"/>
          </w:rPr>
          <w:t>scikit-learn probability calibration documentation</w:t>
        </w:r>
      </w:hyperlink>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5717D"/>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57A7B"/>
        <w:sz w:val="15"/>
      </w:rPr>
      <w:t>DIABETES PUBLICATION PIPELINE  |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Arial" w:hAnsi="Arial"/>
      <w:color w:val="20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157A7B"/>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line="252" w:lineRule="auto"/>
    </w:pPr>
    <w:rPr>
      <w:rFonts w:asciiTheme="majorHAnsi" w:eastAsiaTheme="majorEastAsia" w:hAnsiTheme="majorHAnsi" w:cstheme="majorBidi" w:ascii="Arial" w:hAnsi="Arial"/>
      <w:b w:val="0"/>
      <w:i/>
      <w:iCs/>
      <w:color w:val="157A7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360" w:hanging="259"/>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360" w:hanging="259"/>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val="0"/>
      <w:spacing w:before="60" w:after="180"/>
    </w:pPr>
    <w:rPr>
      <w:rFonts w:ascii="Arial" w:hAnsi="Arial"/>
      <w:i/>
      <w:color w:val="65717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ww.cdc.gov/brfss/annual_data/2015/pdf/codebook15_llcp.pdf" TargetMode="External"/><Relationship Id="rId21" Type="http://schemas.openxmlformats.org/officeDocument/2006/relationships/hyperlink" Target="https://archive.ics.uci.edu/dataset/529/early+stage+diabetes+risk+prediction" TargetMode="External"/><Relationship Id="rId22" Type="http://schemas.openxmlformats.org/officeDocument/2006/relationships/hyperlink" Target="https://archive.ics.uci.edu/dataset/296/diabetes+130-us+hospitals+for+years+1999-2008" TargetMode="External"/><Relationship Id="rId23" Type="http://schemas.openxmlformats.org/officeDocument/2006/relationships/hyperlink" Target="https://doi.org/10.1145/1102351.1102430" TargetMode="External"/><Relationship Id="rId24" Type="http://schemas.openxmlformats.org/officeDocument/2006/relationships/hyperlink" Target="https://scikit-learn.org/stable/modules/calibr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Diabetes Publication Pipeline Progress Report</dc:title>
  <dc:subject>Calibrated multi-model diabetes screening and readmission pipeline</dc:subject>
  <dc:creator>Project Team</dc:creator>
  <cp:keywords>diabetes, machine learning, calibration, SHAP, Random Forest, XGBoost, LightGBM, CatBoost</cp:keywords>
  <dc:description>generated by python-docx</dc:description>
  <cp:lastModifiedBy/>
  <cp:revision>1</cp:revision>
  <dcterms:created xsi:type="dcterms:W3CDTF">2013-12-23T23:15:00Z</dcterms:created>
  <dcterms:modified xsi:type="dcterms:W3CDTF">2013-12-23T23:15:00Z</dcterms:modified>
  <cp:category/>
</cp:coreProperties>
</file>