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40"/>
        <w:jc w:val="center"/>
      </w:pPr>
      <w:r>
        <w:rPr>
          <w:rFonts w:ascii="Calibri" w:hAnsi="Calibri"/>
          <w:b/>
          <w:color w:val="2E74B5"/>
          <w:sz w:val="20"/>
        </w:rPr>
        <w:t>DEVELOPMENT CONFERENCE PACKAGE</w:t>
      </w:r>
    </w:p>
    <w:p>
      <w:pPr>
        <w:keepNext/>
        <w:spacing w:after="240"/>
        <w:jc w:val="center"/>
      </w:pPr>
      <w:r>
        <w:rPr>
          <w:rFonts w:ascii="Calibri" w:hAnsi="Calibri"/>
          <w:b/>
          <w:color w:val="0B2545"/>
          <w:sz w:val="52"/>
        </w:rPr>
        <w:t>Supplementary Appendix</w:t>
      </w:r>
    </w:p>
    <w:p>
      <w:pPr>
        <w:spacing w:after="680"/>
        <w:jc w:val="center"/>
      </w:pPr>
      <w:r>
        <w:rPr>
          <w:rFonts w:ascii="Calibri" w:hAnsi="Calibri"/>
          <w:color w:val="667085"/>
          <w:sz w:val="26"/>
        </w:rPr>
        <w:t>Development methods, evidence, and reproducibility map</w:t>
      </w:r>
    </w:p>
    <w:p>
      <w:pPr>
        <w:spacing w:before="120" w:after="160"/>
        <w:jc w:val="center"/>
        <w:shd w:fill="F4F6F9"/>
      </w:pPr>
      <w:r>
        <w:rPr>
          <w:rFonts w:ascii="Calibri" w:hAnsi="Calibri"/>
          <w:b/>
          <w:color w:val="1F4D78"/>
          <w:sz w:val="21"/>
        </w:rPr>
        <w:t>NOT FINAL EVIDENCE  |  NOT AUTHORIZED FOR SUBMISSION</w:t>
      </w:r>
    </w:p>
    <w:p>
      <w:pPr>
        <w:spacing w:after="200"/>
        <w:jc w:val="center"/>
      </w:pPr>
      <w:r>
        <w:rPr>
          <w:rFonts w:ascii="Calibri" w:hAnsi="Calibri"/>
          <w:color w:val="667085"/>
          <w:sz w:val="20"/>
        </w:rPr>
        <w:t>Evidence cutoff: 24 August 2026</w:t>
      </w:r>
    </w:p>
    <w:p>
      <w:r>
        <w:br w:type="page"/>
      </w:r>
    </w:p>
    <w:p>
      <w:pPr>
        <w:pStyle w:val="Heading1"/>
        <w:keepNext w:val="0"/>
        <w:jc w:val="left"/>
      </w:pPr>
      <w:r>
        <w:rPr>
          <w:rFonts w:ascii="Calibri" w:hAnsi="Calibri"/>
          <w:color w:val="000000"/>
        </w:rPr>
        <w:t>S1. Endpoint boundaries</w:t>
      </w:r>
    </w:p>
    <w:tbl>
      <w:tblPr>
        <w:tblStyle w:val="TableGrid"/>
        <w:tblW w:type="dxa" w:w="9360"/>
        <w:jc w:val="left"/>
        <w:tblLayout w:type="fixed"/>
        <w:tblLook w:firstColumn="1" w:firstRow="1" w:lastColumn="0" w:lastRow="0" w:noHBand="0" w:noVBand="1" w:val="04A0"/>
        <w:tblInd w:w="120" w:type="dxa"/>
      </w:tblPr>
      <w:tblGrid>
        <w:gridCol w:w="1400"/>
        <w:gridCol w:w="2900"/>
        <w:gridCol w:w="2200"/>
        <w:gridCol w:w="2860"/>
      </w:tblGrid>
      <w:tr>
        <w:trPr>
          <w:tblHeader w:val="true"/>
          <w:cantSplit w:val="true"/>
        </w:trPr>
        <w:tc>
          <w:tcPr>
            <w:tcW w:type="dxa" w:w="1400"/>
            <w:tcMar>
              <w:top w:w="80" w:type="dxa"/>
              <w:start w:w="120" w:type="dxa"/>
              <w:bottom w:w="80" w:type="dxa"/>
              <w:end w:w="120" w:type="dxa"/>
            </w:tcMar>
            <w:vAlign w:val="center"/>
            <w:shd w:fill="1F4D78"/>
          </w:tcPr>
          <w:p>
            <w:pPr>
              <w:pStyle w:val="TableText"/>
              <w:jc w:val="center"/>
            </w:pPr>
            <w:r/>
            <w:r>
              <w:rPr>
                <w:rFonts w:ascii="Calibri" w:hAnsi="Calibri"/>
                <w:b/>
                <w:color w:val="FFFFFF"/>
                <w:sz w:val="17"/>
              </w:rPr>
              <w:t>Environment</w:t>
            </w:r>
          </w:p>
        </w:tc>
        <w:tc>
          <w:tcPr>
            <w:tcW w:type="dxa" w:w="2900"/>
            <w:tcMar>
              <w:top w:w="80" w:type="dxa"/>
              <w:start w:w="120" w:type="dxa"/>
              <w:bottom w:w="80" w:type="dxa"/>
              <w:end w:w="120" w:type="dxa"/>
            </w:tcMar>
            <w:vAlign w:val="center"/>
            <w:shd w:fill="1F4D78"/>
          </w:tcPr>
          <w:p>
            <w:pPr>
              <w:pStyle w:val="TableText"/>
              <w:jc w:val="center"/>
            </w:pPr>
            <w:r/>
            <w:r>
              <w:rPr>
                <w:rFonts w:ascii="Calibri" w:hAnsi="Calibri"/>
                <w:b/>
                <w:color w:val="FFFFFF"/>
                <w:sz w:val="17"/>
              </w:rPr>
              <w:t>Target</w:t>
            </w:r>
          </w:p>
        </w:tc>
        <w:tc>
          <w:tcPr>
            <w:tcW w:type="dxa" w:w="2200"/>
            <w:tcMar>
              <w:top w:w="80" w:type="dxa"/>
              <w:start w:w="120" w:type="dxa"/>
              <w:bottom w:w="80" w:type="dxa"/>
              <w:end w:w="120" w:type="dxa"/>
            </w:tcMar>
            <w:vAlign w:val="center"/>
            <w:shd w:fill="1F4D78"/>
          </w:tcPr>
          <w:p>
            <w:pPr>
              <w:pStyle w:val="TableText"/>
              <w:jc w:val="center"/>
            </w:pPr>
            <w:r/>
            <w:r>
              <w:rPr>
                <w:rFonts w:ascii="Calibri" w:hAnsi="Calibri"/>
                <w:b/>
                <w:color w:val="FFFFFF"/>
                <w:sz w:val="17"/>
              </w:rPr>
              <w:t>Primary-paper role</w:t>
            </w:r>
          </w:p>
        </w:tc>
        <w:tc>
          <w:tcPr>
            <w:tcW w:type="dxa" w:w="2860"/>
            <w:tcMar>
              <w:top w:w="80" w:type="dxa"/>
              <w:start w:w="120" w:type="dxa"/>
              <w:bottom w:w="80" w:type="dxa"/>
              <w:end w:w="120" w:type="dxa"/>
            </w:tcMar>
            <w:vAlign w:val="center"/>
            <w:shd w:fill="1F4D78"/>
          </w:tcPr>
          <w:p>
            <w:pPr>
              <w:pStyle w:val="TableText"/>
              <w:jc w:val="center"/>
            </w:pPr>
            <w:r/>
            <w:r>
              <w:rPr>
                <w:rFonts w:ascii="Calibri" w:hAnsi="Calibri"/>
                <w:b/>
                <w:color w:val="FFFFFF"/>
                <w:sz w:val="17"/>
              </w:rPr>
              <w:t>Prohibited interpretation</w:t>
            </w:r>
          </w:p>
        </w:tc>
      </w:tr>
      <w:tr>
        <w:trPr>
          <w:cantSplit w:val="true"/>
        </w:trPr>
        <w:tc>
          <w:tcPr>
            <w:tcW w:type="dxa" w:w="1400"/>
            <w:tcMar>
              <w:top w:w="80" w:type="dxa"/>
              <w:start w:w="120" w:type="dxa"/>
              <w:bottom w:w="80" w:type="dxa"/>
              <w:end w:w="120" w:type="dxa"/>
            </w:tcMar>
            <w:vAlign w:val="center"/>
          </w:tcPr>
          <w:p>
            <w:pPr>
              <w:pStyle w:val="TableText"/>
              <w:jc w:val="left"/>
            </w:pPr>
            <w:r/>
            <w:r>
              <w:rPr>
                <w:rFonts w:ascii="Calibri" w:hAnsi="Calibri"/>
                <w:b w:val="0"/>
                <w:color w:val="000000"/>
                <w:sz w:val="17"/>
              </w:rPr>
              <w:t>PIDD</w:t>
            </w:r>
          </w:p>
        </w:tc>
        <w:tc>
          <w:tcPr>
            <w:tcW w:type="dxa" w:w="2900"/>
            <w:tcMar>
              <w:top w:w="80" w:type="dxa"/>
              <w:start w:w="120" w:type="dxa"/>
              <w:bottom w:w="80" w:type="dxa"/>
              <w:end w:w="120" w:type="dxa"/>
            </w:tcMar>
            <w:vAlign w:val="center"/>
          </w:tcPr>
          <w:p>
            <w:pPr>
              <w:pStyle w:val="TableText"/>
              <w:jc w:val="left"/>
            </w:pPr>
            <w:r/>
            <w:r>
              <w:rPr>
                <w:rFonts w:ascii="Calibri" w:hAnsi="Calibri"/>
                <w:b w:val="0"/>
                <w:color w:val="000000"/>
                <w:sz w:val="17"/>
              </w:rPr>
              <w:t>Configured diabetes-positive label</w:t>
            </w:r>
          </w:p>
        </w:tc>
        <w:tc>
          <w:tcPr>
            <w:tcW w:type="dxa" w:w="2200"/>
            <w:tcMar>
              <w:top w:w="80" w:type="dxa"/>
              <w:start w:w="120" w:type="dxa"/>
              <w:bottom w:w="80" w:type="dxa"/>
              <w:end w:w="120" w:type="dxa"/>
            </w:tcMar>
            <w:vAlign w:val="center"/>
          </w:tcPr>
          <w:p>
            <w:pPr>
              <w:pStyle w:val="TableText"/>
              <w:jc w:val="left"/>
            </w:pPr>
            <w:r/>
            <w:r>
              <w:rPr>
                <w:rFonts w:ascii="Calibri" w:hAnsi="Calibri"/>
                <w:b w:val="0"/>
                <w:color w:val="000000"/>
                <w:sz w:val="17"/>
              </w:rPr>
              <w:t>Primary, separate</w:t>
            </w:r>
          </w:p>
        </w:tc>
        <w:tc>
          <w:tcPr>
            <w:tcW w:type="dxa" w:w="2860"/>
            <w:tcMar>
              <w:top w:w="80" w:type="dxa"/>
              <w:start w:w="120" w:type="dxa"/>
              <w:bottom w:w="80" w:type="dxa"/>
              <w:end w:w="120" w:type="dxa"/>
            </w:tcMar>
            <w:vAlign w:val="center"/>
          </w:tcPr>
          <w:p>
            <w:pPr>
              <w:pStyle w:val="TableText"/>
              <w:jc w:val="left"/>
            </w:pPr>
            <w:r/>
            <w:r>
              <w:rPr>
                <w:rFonts w:ascii="Calibri" w:hAnsi="Calibri"/>
                <w:b w:val="0"/>
                <w:color w:val="000000"/>
                <w:sz w:val="17"/>
              </w:rPr>
              <w:t>Universal-population risk or future onset</w:t>
            </w:r>
          </w:p>
        </w:tc>
      </w:tr>
      <w:tr>
        <w:trPr>
          <w:cantSplit w:val="true"/>
        </w:trPr>
        <w:tc>
          <w:tcPr>
            <w:tcW w:type="dxa" w:w="1400"/>
            <w:tcMar>
              <w:top w:w="80" w:type="dxa"/>
              <w:start w:w="120" w:type="dxa"/>
              <w:bottom w:w="80" w:type="dxa"/>
              <w:end w:w="120" w:type="dxa"/>
            </w:tcMar>
            <w:vAlign w:val="center"/>
          </w:tcPr>
          <w:p>
            <w:pPr>
              <w:pStyle w:val="TableText"/>
              <w:jc w:val="left"/>
            </w:pPr>
            <w:r/>
            <w:r>
              <w:rPr>
                <w:rFonts w:ascii="Calibri" w:hAnsi="Calibri"/>
                <w:b w:val="0"/>
                <w:color w:val="000000"/>
                <w:sz w:val="17"/>
              </w:rPr>
              <w:t>Sylhet</w:t>
            </w:r>
          </w:p>
        </w:tc>
        <w:tc>
          <w:tcPr>
            <w:tcW w:type="dxa" w:w="2900"/>
            <w:tcMar>
              <w:top w:w="80" w:type="dxa"/>
              <w:start w:w="120" w:type="dxa"/>
              <w:bottom w:w="80" w:type="dxa"/>
              <w:end w:w="120" w:type="dxa"/>
            </w:tcMar>
            <w:vAlign w:val="center"/>
          </w:tcPr>
          <w:p>
            <w:pPr>
              <w:pStyle w:val="TableText"/>
              <w:jc w:val="left"/>
            </w:pPr>
            <w:r/>
            <w:r>
              <w:rPr>
                <w:rFonts w:ascii="Calibri" w:hAnsi="Calibri"/>
                <w:b w:val="0"/>
                <w:color w:val="000000"/>
                <w:sz w:val="17"/>
              </w:rPr>
              <w:t>Early-stage diabetes-positive label</w:t>
            </w:r>
          </w:p>
        </w:tc>
        <w:tc>
          <w:tcPr>
            <w:tcW w:type="dxa" w:w="2200"/>
            <w:tcMar>
              <w:top w:w="80" w:type="dxa"/>
              <w:start w:w="120" w:type="dxa"/>
              <w:bottom w:w="80" w:type="dxa"/>
              <w:end w:w="120" w:type="dxa"/>
            </w:tcMar>
            <w:vAlign w:val="center"/>
          </w:tcPr>
          <w:p>
            <w:pPr>
              <w:pStyle w:val="TableText"/>
              <w:jc w:val="left"/>
            </w:pPr>
            <w:r/>
            <w:r>
              <w:rPr>
                <w:rFonts w:ascii="Calibri" w:hAnsi="Calibri"/>
                <w:b w:val="0"/>
                <w:color w:val="000000"/>
                <w:sz w:val="17"/>
              </w:rPr>
              <w:t>Primary, separate</w:t>
            </w:r>
          </w:p>
        </w:tc>
        <w:tc>
          <w:tcPr>
            <w:tcW w:type="dxa" w:w="2860"/>
            <w:tcMar>
              <w:top w:w="80" w:type="dxa"/>
              <w:start w:w="120" w:type="dxa"/>
              <w:bottom w:w="80" w:type="dxa"/>
              <w:end w:w="120" w:type="dxa"/>
            </w:tcMar>
            <w:vAlign w:val="center"/>
          </w:tcPr>
          <w:p>
            <w:pPr>
              <w:pStyle w:val="TableText"/>
              <w:jc w:val="left"/>
            </w:pPr>
            <w:r/>
            <w:r>
              <w:rPr>
                <w:rFonts w:ascii="Calibri" w:hAnsi="Calibri"/>
                <w:b w:val="0"/>
                <w:color w:val="000000"/>
                <w:sz w:val="17"/>
              </w:rPr>
              <w:t>Incidence prediction or transport beyond symptom cohort</w:t>
            </w:r>
          </w:p>
        </w:tc>
      </w:tr>
      <w:tr>
        <w:trPr>
          <w:cantSplit w:val="true"/>
        </w:trPr>
        <w:tc>
          <w:tcPr>
            <w:tcW w:type="dxa" w:w="1400"/>
            <w:tcMar>
              <w:top w:w="80" w:type="dxa"/>
              <w:start w:w="120" w:type="dxa"/>
              <w:bottom w:w="80" w:type="dxa"/>
              <w:end w:w="120" w:type="dxa"/>
            </w:tcMar>
            <w:vAlign w:val="center"/>
          </w:tcPr>
          <w:p>
            <w:pPr>
              <w:pStyle w:val="TableText"/>
              <w:jc w:val="left"/>
            </w:pPr>
            <w:r/>
            <w:r>
              <w:rPr>
                <w:rFonts w:ascii="Calibri" w:hAnsi="Calibri"/>
                <w:b w:val="0"/>
                <w:color w:val="000000"/>
                <w:sz w:val="17"/>
              </w:rPr>
              <w:t>BRFSS 2015</w:t>
            </w:r>
          </w:p>
        </w:tc>
        <w:tc>
          <w:tcPr>
            <w:tcW w:type="dxa" w:w="2900"/>
            <w:tcMar>
              <w:top w:w="80" w:type="dxa"/>
              <w:start w:w="120" w:type="dxa"/>
              <w:bottom w:w="80" w:type="dxa"/>
              <w:end w:w="120" w:type="dxa"/>
            </w:tcMar>
            <w:vAlign w:val="center"/>
          </w:tcPr>
          <w:p>
            <w:pPr>
              <w:pStyle w:val="TableText"/>
              <w:jc w:val="left"/>
            </w:pPr>
            <w:r/>
            <w:r>
              <w:rPr>
                <w:rFonts w:ascii="Calibri" w:hAnsi="Calibri"/>
                <w:b w:val="0"/>
                <w:color w:val="000000"/>
                <w:sz w:val="17"/>
              </w:rPr>
              <w:t>Self-reported diagnosed-diabetes status</w:t>
            </w:r>
          </w:p>
        </w:tc>
        <w:tc>
          <w:tcPr>
            <w:tcW w:type="dxa" w:w="2200"/>
            <w:tcMar>
              <w:top w:w="80" w:type="dxa"/>
              <w:start w:w="120" w:type="dxa"/>
              <w:bottom w:w="80" w:type="dxa"/>
              <w:end w:w="120" w:type="dxa"/>
            </w:tcMar>
            <w:vAlign w:val="center"/>
          </w:tcPr>
          <w:p>
            <w:pPr>
              <w:pStyle w:val="TableText"/>
              <w:jc w:val="left"/>
            </w:pPr>
            <w:r/>
            <w:r>
              <w:rPr>
                <w:rFonts w:ascii="Calibri" w:hAnsi="Calibri"/>
                <w:b w:val="0"/>
                <w:color w:val="000000"/>
                <w:sz w:val="17"/>
              </w:rPr>
              <w:t>Primary, separate</w:t>
            </w:r>
          </w:p>
        </w:tc>
        <w:tc>
          <w:tcPr>
            <w:tcW w:type="dxa" w:w="2860"/>
            <w:tcMar>
              <w:top w:w="80" w:type="dxa"/>
              <w:start w:w="120" w:type="dxa"/>
              <w:bottom w:w="80" w:type="dxa"/>
              <w:end w:w="120" w:type="dxa"/>
            </w:tcMar>
            <w:vAlign w:val="center"/>
          </w:tcPr>
          <w:p>
            <w:pPr>
              <w:pStyle w:val="TableText"/>
              <w:jc w:val="left"/>
            </w:pPr>
            <w:r/>
            <w:r>
              <w:rPr>
                <w:rFonts w:ascii="Calibri" w:hAnsi="Calibri"/>
                <w:b w:val="0"/>
                <w:color w:val="000000"/>
                <w:sz w:val="17"/>
              </w:rPr>
              <w:t>Clinical diagnosis or future incidence</w:t>
            </w:r>
          </w:p>
        </w:tc>
      </w:tr>
      <w:tr>
        <w:trPr>
          <w:cantSplit w:val="true"/>
        </w:trPr>
        <w:tc>
          <w:tcPr>
            <w:tcW w:type="dxa" w:w="1400"/>
            <w:tcMar>
              <w:top w:w="80" w:type="dxa"/>
              <w:start w:w="120" w:type="dxa"/>
              <w:bottom w:w="80" w:type="dxa"/>
              <w:end w:w="120" w:type="dxa"/>
            </w:tcMar>
            <w:vAlign w:val="center"/>
          </w:tcPr>
          <w:p>
            <w:pPr>
              <w:pStyle w:val="TableText"/>
              <w:jc w:val="left"/>
            </w:pPr>
            <w:r/>
            <w:r>
              <w:rPr>
                <w:rFonts w:ascii="Calibri" w:hAnsi="Calibri"/>
                <w:b w:val="0"/>
                <w:color w:val="000000"/>
                <w:sz w:val="17"/>
              </w:rPr>
              <w:t>Hospital130</w:t>
            </w:r>
          </w:p>
        </w:tc>
        <w:tc>
          <w:tcPr>
            <w:tcW w:type="dxa" w:w="2900"/>
            <w:tcMar>
              <w:top w:w="80" w:type="dxa"/>
              <w:start w:w="120" w:type="dxa"/>
              <w:bottom w:w="80" w:type="dxa"/>
              <w:end w:w="120" w:type="dxa"/>
            </w:tcMar>
            <w:vAlign w:val="center"/>
          </w:tcPr>
          <w:p>
            <w:pPr>
              <w:pStyle w:val="TableText"/>
              <w:jc w:val="left"/>
            </w:pPr>
            <w:r/>
            <w:r>
              <w:rPr>
                <w:rFonts w:ascii="Calibri" w:hAnsi="Calibri"/>
                <w:b w:val="0"/>
                <w:color w:val="000000"/>
                <w:sz w:val="17"/>
              </w:rPr>
              <w:t>Readmission within 30 days</w:t>
            </w:r>
          </w:p>
        </w:tc>
        <w:tc>
          <w:tcPr>
            <w:tcW w:type="dxa" w:w="2200"/>
            <w:tcMar>
              <w:top w:w="80" w:type="dxa"/>
              <w:start w:w="120" w:type="dxa"/>
              <w:bottom w:w="80" w:type="dxa"/>
              <w:end w:w="120" w:type="dxa"/>
            </w:tcMar>
            <w:vAlign w:val="center"/>
          </w:tcPr>
          <w:p>
            <w:pPr>
              <w:pStyle w:val="TableText"/>
              <w:jc w:val="left"/>
            </w:pPr>
            <w:r/>
            <w:r>
              <w:rPr>
                <w:rFonts w:ascii="Calibri" w:hAnsi="Calibri"/>
                <w:b w:val="0"/>
                <w:color w:val="000000"/>
                <w:sz w:val="17"/>
              </w:rPr>
              <w:t>Secondary, separate endpoint</w:t>
            </w:r>
          </w:p>
        </w:tc>
        <w:tc>
          <w:tcPr>
            <w:tcW w:type="dxa" w:w="2860"/>
            <w:tcMar>
              <w:top w:w="80" w:type="dxa"/>
              <w:start w:w="120" w:type="dxa"/>
              <w:bottom w:w="80" w:type="dxa"/>
              <w:end w:w="120" w:type="dxa"/>
            </w:tcMar>
            <w:vAlign w:val="center"/>
          </w:tcPr>
          <w:p>
            <w:pPr>
              <w:pStyle w:val="TableText"/>
              <w:jc w:val="left"/>
            </w:pPr>
            <w:r/>
            <w:r>
              <w:rPr>
                <w:rFonts w:ascii="Calibri" w:hAnsi="Calibri"/>
                <w:b w:val="0"/>
                <w:color w:val="000000"/>
                <w:sz w:val="17"/>
              </w:rPr>
              <w:t>Diabetes-status prediction</w:t>
            </w:r>
          </w:p>
        </w:tc>
      </w:tr>
      <w:tr>
        <w:trPr>
          <w:cantSplit w:val="true"/>
        </w:trPr>
        <w:tc>
          <w:tcPr>
            <w:tcW w:type="dxa" w:w="1400"/>
            <w:tcMar>
              <w:top w:w="80" w:type="dxa"/>
              <w:start w:w="120" w:type="dxa"/>
              <w:bottom w:w="80" w:type="dxa"/>
              <w:end w:w="120" w:type="dxa"/>
            </w:tcMar>
            <w:vAlign w:val="center"/>
          </w:tcPr>
          <w:p>
            <w:pPr>
              <w:pStyle w:val="TableText"/>
              <w:jc w:val="left"/>
            </w:pPr>
            <w:r/>
            <w:r>
              <w:rPr>
                <w:rFonts w:ascii="Calibri" w:hAnsi="Calibri"/>
                <w:b w:val="0"/>
                <w:color w:val="000000"/>
                <w:sz w:val="17"/>
              </w:rPr>
              <w:t>Mixed router</w:t>
            </w:r>
          </w:p>
        </w:tc>
        <w:tc>
          <w:tcPr>
            <w:tcW w:type="dxa" w:w="2900"/>
            <w:tcMar>
              <w:top w:w="80" w:type="dxa"/>
              <w:start w:w="120" w:type="dxa"/>
              <w:bottom w:w="80" w:type="dxa"/>
              <w:end w:w="120" w:type="dxa"/>
            </w:tcMar>
            <w:vAlign w:val="center"/>
          </w:tcPr>
          <w:p>
            <w:pPr>
              <w:pStyle w:val="TableText"/>
              <w:jc w:val="left"/>
            </w:pPr>
            <w:r/>
            <w:r>
              <w:rPr>
                <w:rFonts w:ascii="Calibri" w:hAnsi="Calibri"/>
                <w:b w:val="0"/>
                <w:color w:val="000000"/>
                <w:sz w:val="17"/>
              </w:rPr>
              <w:t>No shared target</w:t>
            </w:r>
          </w:p>
        </w:tc>
        <w:tc>
          <w:tcPr>
            <w:tcW w:type="dxa" w:w="2200"/>
            <w:tcMar>
              <w:top w:w="80" w:type="dxa"/>
              <w:start w:w="120" w:type="dxa"/>
              <w:bottom w:w="80" w:type="dxa"/>
              <w:end w:w="120" w:type="dxa"/>
            </w:tcMar>
            <w:vAlign w:val="center"/>
          </w:tcPr>
          <w:p>
            <w:pPr>
              <w:pStyle w:val="TableText"/>
              <w:jc w:val="left"/>
            </w:pPr>
            <w:r/>
            <w:r>
              <w:rPr>
                <w:rFonts w:ascii="Calibri" w:hAnsi="Calibri"/>
                <w:b w:val="0"/>
                <w:color w:val="000000"/>
                <w:sz w:val="17"/>
              </w:rPr>
              <w:t>Software demonstration</w:t>
            </w:r>
          </w:p>
        </w:tc>
        <w:tc>
          <w:tcPr>
            <w:tcW w:type="dxa" w:w="2860"/>
            <w:tcMar>
              <w:top w:w="80" w:type="dxa"/>
              <w:start w:w="120" w:type="dxa"/>
              <w:bottom w:w="80" w:type="dxa"/>
              <w:end w:w="120" w:type="dxa"/>
            </w:tcMar>
            <w:vAlign w:val="center"/>
          </w:tcPr>
          <w:p>
            <w:pPr>
              <w:pStyle w:val="TableText"/>
              <w:jc w:val="left"/>
            </w:pPr>
            <w:r/>
            <w:r>
              <w:rPr>
                <w:rFonts w:ascii="Calibri" w:hAnsi="Calibri"/>
                <w:b w:val="0"/>
                <w:color w:val="000000"/>
                <w:sz w:val="17"/>
              </w:rPr>
              <w:t>Cross-cohort probability fusion</w:t>
            </w:r>
          </w:p>
        </w:tc>
      </w:tr>
    </w:tbl>
    <w:p>
      <w:pPr>
        <w:spacing w:after="40"/>
        <w:jc w:val="left"/>
      </w:pPr>
    </w:p>
    <w:p>
      <w:pPr>
        <w:pStyle w:val="Heading1"/>
        <w:keepNext w:val="0"/>
        <w:jc w:val="left"/>
      </w:pPr>
      <w:r>
        <w:rPr>
          <w:rFonts w:ascii="Calibri" w:hAnsi="Calibri"/>
          <w:color w:val="000000"/>
        </w:rPr>
        <w:t>S2. Development protocol</w:t>
      </w:r>
    </w:p>
    <w:p>
      <w:pPr>
        <w:jc w:val="left"/>
      </w:pPr>
      <w:r>
        <w:rPr>
          <w:rFonts w:ascii="Calibri" w:hAnsi="Calibri"/>
          <w:color w:val="000000"/>
        </w:rPr>
        <w:t>The development profile uses seed 42, 30 hyperparameter trials, 500 bootstrap resamples, average precision as the tuning objective, and identity, sigmoid, and isotonic calibration candidates. Isotonic calibration requires at least 1,000 calibration observations. Threshold policies are fixed 0.5, development Youden, and a sensitivity-constrained threshold targeting 0.80 sensitivity.</w:t>
      </w:r>
    </w:p>
    <w:p>
      <w:pPr>
        <w:jc w:val="left"/>
      </w:pPr>
      <w:r>
        <w:rPr>
          <w:rFonts w:ascii="Calibri" w:hAnsi="Calibri"/>
          <w:color w:val="000000"/>
        </w:rPr>
        <w:t>PIDD and Sylhet use repeated nested validation. PIDD uses five repeats, five outer folds, and five inner folds. Sylhet additionally groups identical feature profiles. Large datasets use concealed manifest-based holdouts. Final profile execution is blocked in software until authorization metadata and a frozen protocol are present.</w:t>
      </w:r>
    </w:p>
    <w:p>
      <w:pPr>
        <w:pStyle w:val="Heading1"/>
        <w:keepNext w:val="0"/>
        <w:jc w:val="left"/>
      </w:pPr>
      <w:r>
        <w:rPr>
          <w:rFonts w:ascii="Calibri" w:hAnsi="Calibri"/>
          <w:color w:val="000000"/>
        </w:rPr>
        <w:t>S3. Metric taxonomy</w:t>
      </w:r>
    </w:p>
    <w:tbl>
      <w:tblPr>
        <w:tblStyle w:val="TableGrid"/>
        <w:tblW w:type="dxa" w:w="9360"/>
        <w:jc w:val="left"/>
        <w:tblLayout w:type="fixed"/>
        <w:tblLook w:firstColumn="1" w:firstRow="1" w:lastColumn="0" w:lastRow="0" w:noHBand="0" w:noVBand="1" w:val="04A0"/>
        <w:tblInd w:w="120" w:type="dxa"/>
      </w:tblPr>
      <w:tblGrid>
        <w:gridCol w:w="2034"/>
        <w:gridCol w:w="3662"/>
        <w:gridCol w:w="3664"/>
      </w:tblGrid>
      <w:tr>
        <w:trPr>
          <w:tblHeader w:val="true"/>
          <w:cantSplit w:val="true"/>
        </w:trPr>
        <w:tc>
          <w:tcPr>
            <w:tcW w:type="dxa" w:w="2034"/>
            <w:tcMar>
              <w:top w:w="80" w:type="dxa"/>
              <w:start w:w="120" w:type="dxa"/>
              <w:bottom w:w="80" w:type="dxa"/>
              <w:end w:w="120" w:type="dxa"/>
            </w:tcMar>
            <w:vAlign w:val="center"/>
            <w:shd w:fill="1F4D78"/>
          </w:tcPr>
          <w:p>
            <w:pPr>
              <w:pStyle w:val="TableText"/>
              <w:jc w:val="center"/>
            </w:pPr>
            <w:r/>
            <w:r>
              <w:rPr>
                <w:rFonts w:ascii="Calibri" w:hAnsi="Calibri"/>
                <w:b/>
                <w:color w:val="FFFFFF"/>
                <w:sz w:val="17"/>
              </w:rPr>
              <w:t>Domain</w:t>
            </w:r>
          </w:p>
        </w:tc>
        <w:tc>
          <w:tcPr>
            <w:tcW w:type="dxa" w:w="3662"/>
            <w:tcMar>
              <w:top w:w="80" w:type="dxa"/>
              <w:start w:w="120" w:type="dxa"/>
              <w:bottom w:w="80" w:type="dxa"/>
              <w:end w:w="120" w:type="dxa"/>
            </w:tcMar>
            <w:vAlign w:val="center"/>
            <w:shd w:fill="1F4D78"/>
          </w:tcPr>
          <w:p>
            <w:pPr>
              <w:pStyle w:val="TableText"/>
              <w:jc w:val="center"/>
            </w:pPr>
            <w:r/>
            <w:r>
              <w:rPr>
                <w:rFonts w:ascii="Calibri" w:hAnsi="Calibri"/>
                <w:b/>
                <w:color w:val="FFFFFF"/>
                <w:sz w:val="17"/>
              </w:rPr>
              <w:t>Metrics</w:t>
            </w:r>
          </w:p>
        </w:tc>
        <w:tc>
          <w:tcPr>
            <w:tcW w:type="dxa" w:w="3664"/>
            <w:tcMar>
              <w:top w:w="80" w:type="dxa"/>
              <w:start w:w="120" w:type="dxa"/>
              <w:bottom w:w="80" w:type="dxa"/>
              <w:end w:w="120" w:type="dxa"/>
            </w:tcMar>
            <w:vAlign w:val="center"/>
            <w:shd w:fill="1F4D78"/>
          </w:tcPr>
          <w:p>
            <w:pPr>
              <w:pStyle w:val="TableText"/>
              <w:jc w:val="center"/>
            </w:pPr>
            <w:r/>
            <w:r>
              <w:rPr>
                <w:rFonts w:ascii="Calibri" w:hAnsi="Calibri"/>
                <w:b/>
                <w:color w:val="FFFFFF"/>
                <w:sz w:val="17"/>
              </w:rPr>
              <w:t>Interpretation rule</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Probability accuracy</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Brier, scaled Brier, log loss</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Primary reliability evidence; lower is better</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Discrimination</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AUROC, average precision</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AP is prevalence-sensitive and is always paired with prevalence</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Calibration</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Intercept, slope, O:E, ECE, curves</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A percentage is not treated as reliable from AUROC alone</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Classification</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Sensitivity, specificity, PPV, NPV, F1, MCC, balanced accuracy</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Secondary and threshold-dependent</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Diagnostic</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LR+, LR-, diagnostic odds ratio</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Descriptive; undefined values handled explicitly</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Clinical utility</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Net benefit over threshold range</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Compared with treat-all and treat-none</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Applicability</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Supported-panel coverage, abstention rate and reason</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Reported with every incomplete-input analysis</w:t>
            </w:r>
          </w:p>
        </w:tc>
      </w:tr>
      <w:tr>
        <w:trPr>
          <w:cantSplit w:val="true"/>
        </w:trPr>
        <w:tc>
          <w:tcPr>
            <w:tcW w:type="dxa" w:w="2034"/>
            <w:tcMar>
              <w:top w:w="80" w:type="dxa"/>
              <w:start w:w="120" w:type="dxa"/>
              <w:bottom w:w="80" w:type="dxa"/>
              <w:end w:w="120" w:type="dxa"/>
            </w:tcMar>
            <w:vAlign w:val="center"/>
          </w:tcPr>
          <w:p>
            <w:pPr>
              <w:pStyle w:val="TableText"/>
              <w:jc w:val="left"/>
            </w:pPr>
            <w:r/>
            <w:r>
              <w:rPr>
                <w:rFonts w:ascii="Calibri" w:hAnsi="Calibri"/>
                <w:b w:val="0"/>
                <w:color w:val="000000"/>
                <w:sz w:val="17"/>
              </w:rPr>
              <w:t>Selective prediction</w:t>
            </w:r>
          </w:p>
        </w:tc>
        <w:tc>
          <w:tcPr>
            <w:tcW w:type="dxa" w:w="3662"/>
            <w:tcMar>
              <w:top w:w="80" w:type="dxa"/>
              <w:start w:w="120" w:type="dxa"/>
              <w:bottom w:w="80" w:type="dxa"/>
              <w:end w:w="120" w:type="dxa"/>
            </w:tcMar>
            <w:vAlign w:val="center"/>
          </w:tcPr>
          <w:p>
            <w:pPr>
              <w:pStyle w:val="TableText"/>
              <w:jc w:val="left"/>
            </w:pPr>
            <w:r/>
            <w:r>
              <w:rPr>
                <w:rFonts w:ascii="Calibri" w:hAnsi="Calibri"/>
                <w:b w:val="0"/>
                <w:color w:val="000000"/>
                <w:sz w:val="17"/>
              </w:rPr>
              <w:t>Risk-coverage, event coverage, accepted prevalence</w:t>
            </w:r>
          </w:p>
        </w:tc>
        <w:tc>
          <w:tcPr>
            <w:tcW w:type="dxa" w:w="3664"/>
            <w:tcMar>
              <w:top w:w="80" w:type="dxa"/>
              <w:start w:w="120" w:type="dxa"/>
              <w:bottom w:w="80" w:type="dxa"/>
              <w:end w:w="120" w:type="dxa"/>
            </w:tcMar>
            <w:vAlign w:val="center"/>
          </w:tcPr>
          <w:p>
            <w:pPr>
              <w:pStyle w:val="TableText"/>
              <w:jc w:val="left"/>
            </w:pPr>
            <w:r/>
            <w:r>
              <w:rPr>
                <w:rFonts w:ascii="Calibri" w:hAnsi="Calibri"/>
                <w:b w:val="0"/>
                <w:color w:val="000000"/>
                <w:sz w:val="17"/>
              </w:rPr>
              <w:t>Gains are invalid if achieved by hidden disproportionate rejection</w:t>
            </w:r>
          </w:p>
        </w:tc>
      </w:tr>
    </w:tbl>
    <w:p>
      <w:pPr>
        <w:spacing w:after="40"/>
        <w:jc w:val="left"/>
      </w:pPr>
    </w:p>
    <w:p>
      <w:pPr>
        <w:pStyle w:val="Heading1"/>
        <w:keepNext w:val="0"/>
        <w:jc w:val="left"/>
      </w:pPr>
      <w:r>
        <w:rPr>
          <w:rFonts w:ascii="Calibri" w:hAnsi="Calibri"/>
          <w:color w:val="000000"/>
        </w:rPr>
        <w:t>S4. PIDD artifact-completeness audit</w:t>
      </w:r>
    </w:p>
    <w:p>
      <w:pPr>
        <w:jc w:val="left"/>
      </w:pPr>
      <w:r>
        <w:rPr>
          <w:rFonts w:ascii="Calibri" w:hAnsi="Calibri"/>
          <w:color w:val="000000"/>
        </w:rPr>
        <w:t xml:space="preserve">Experiment </w:t>
      </w:r>
      <w:r>
        <w:rPr>
          <w:rFonts w:ascii="Aptos Mono" w:hAnsi="Aptos Mono"/>
          <w:color w:val="1F4D78"/>
        </w:rPr>
        <w:t>pidd_development_072cd2104089</w:t>
      </w:r>
      <w:r>
        <w:rPr>
          <w:rFonts w:ascii="Calibri" w:hAnsi="Calibri"/>
          <w:color w:val="000000"/>
        </w:rPr>
        <w:t xml:space="preserve"> contains 25 outer split pairs for each of five model families, 19,200 held-out fold predictions, 3,840 aggregated participant-model rows, complete tuning records and saved models, 20 primary summary rows, and no non-finite numeric values in the primary summary. Metadata records the complete 25-split manifest, five inner folds, model list, raw-data hash, dataset-configuration hash, source-tree hash, and participant-level inference scope.</w:t>
      </w:r>
    </w:p>
    <w:p>
      <w:pPr>
        <w:jc w:val="left"/>
      </w:pPr>
      <w:r>
        <w:rPr>
          <w:rFonts w:ascii="Calibri" w:hAnsi="Calibri"/>
          <w:color w:val="000000"/>
        </w:rPr>
        <w:t>Dependent evidence directories include availability routing, matched panel contrasts, artifact ablations, missing-indicator retraining, selective prediction, subgroup analysis, missingness stress, explanations, and reporting ablations. Panel-specific retraining is complete across all 25 outer splits for the prespecified Random Forest and XGBoost reduced-panel comparisons.</w:t>
      </w:r>
    </w:p>
    <w:p>
      <w:pPr>
        <w:pStyle w:val="Heading1"/>
        <w:keepNext w:val="0"/>
        <w:jc w:val="left"/>
      </w:pPr>
      <w:r>
        <w:rPr>
          <w:rFonts w:ascii="Calibri" w:hAnsi="Calibri"/>
          <w:color w:val="000000"/>
        </w:rPr>
        <w:t>S5. Applicability and abstention contract</w:t>
      </w:r>
    </w:p>
    <w:p>
      <w:pPr>
        <w:jc w:val="left"/>
      </w:pPr>
      <w:r>
        <w:rPr>
          <w:rFonts w:ascii="Calibri" w:hAnsi="Calibri"/>
          <w:color w:val="000000"/>
        </w:rPr>
        <w:t>Prediction proceeds in this order:</w:t>
      </w:r>
    </w:p>
    <w:p>
      <w:pPr>
        <w:spacing w:after="80" w:line="264" w:lineRule="auto"/>
        <w:ind w:left="720" w:hanging="360"/>
        <w:jc w:val="left"/>
        <w:numPr>
          <w:ilvl w:val="0"/>
          <w:numId w:val="11"/>
        </w:numPr>
      </w:pPr>
      <w:r>
        <w:rPr>
          <w:rFonts w:ascii="Calibri" w:hAnsi="Calibri"/>
          <w:color w:val="000000"/>
        </w:rPr>
        <w:t>Parse dataset-qualified feature names and reject unknown or conflicting keys.</w:t>
      </w:r>
    </w:p>
    <w:p>
      <w:pPr>
        <w:spacing w:after="80" w:line="264" w:lineRule="auto"/>
        <w:ind w:left="720" w:hanging="360"/>
        <w:jc w:val="left"/>
        <w:numPr>
          <w:ilvl w:val="0"/>
          <w:numId w:val="11"/>
        </w:numPr>
      </w:pPr>
      <w:r>
        <w:rPr>
          <w:rFonts w:ascii="Calibri" w:hAnsi="Calibri"/>
          <w:color w:val="000000"/>
        </w:rPr>
        <w:t>Validate type, coding, plausible range, and required endpoint contract.</w:t>
      </w:r>
    </w:p>
    <w:p>
      <w:pPr>
        <w:spacing w:after="80" w:line="264" w:lineRule="auto"/>
        <w:ind w:left="720" w:hanging="360"/>
        <w:jc w:val="left"/>
        <w:numPr>
          <w:ilvl w:val="0"/>
          <w:numId w:val="11"/>
        </w:numPr>
      </w:pPr>
      <w:r>
        <w:rPr>
          <w:rFonts w:ascii="Calibri" w:hAnsi="Calibri"/>
          <w:color w:val="000000"/>
        </w:rPr>
        <w:t>Identify supported panels within each dataset router.</w:t>
      </w:r>
    </w:p>
    <w:p>
      <w:pPr>
        <w:spacing w:after="80" w:line="264" w:lineRule="auto"/>
        <w:ind w:left="720" w:hanging="360"/>
        <w:jc w:val="left"/>
        <w:numPr>
          <w:ilvl w:val="0"/>
          <w:numId w:val="11"/>
        </w:numPr>
      </w:pPr>
      <w:r>
        <w:rPr>
          <w:rFonts w:ascii="Calibri" w:hAnsi="Calibri"/>
          <w:color w:val="000000"/>
        </w:rPr>
        <w:t>If no route is eligible, abstain with a machine-readable reason.</w:t>
      </w:r>
    </w:p>
    <w:p>
      <w:pPr>
        <w:spacing w:after="80" w:line="264" w:lineRule="auto"/>
        <w:ind w:left="720" w:hanging="360"/>
        <w:jc w:val="left"/>
        <w:numPr>
          <w:ilvl w:val="0"/>
          <w:numId w:val="11"/>
        </w:numPr>
      </w:pPr>
      <w:r>
        <w:rPr>
          <w:rFonts w:ascii="Calibri" w:hAnsi="Calibri"/>
          <w:color w:val="000000"/>
        </w:rPr>
        <w:t>If multiple incompatible environments remain eligible, require explicit dataset selection or abstain; do not fuse probabilities.</w:t>
      </w:r>
    </w:p>
    <w:p>
      <w:pPr>
        <w:spacing w:after="80" w:line="264" w:lineRule="auto"/>
        <w:ind w:left="720" w:hanging="360"/>
        <w:jc w:val="left"/>
        <w:numPr>
          <w:ilvl w:val="0"/>
          <w:numId w:val="11"/>
        </w:numPr>
      </w:pPr>
      <w:r>
        <w:rPr>
          <w:rFonts w:ascii="Calibri" w:hAnsi="Calibri"/>
          <w:color w:val="000000"/>
        </w:rPr>
        <w:t>Load the saved bundle for the selected panel and fold ensemble.</w:t>
      </w:r>
    </w:p>
    <w:p>
      <w:pPr>
        <w:spacing w:after="80" w:line="264" w:lineRule="auto"/>
        <w:ind w:left="720" w:hanging="360"/>
        <w:jc w:val="left"/>
        <w:numPr>
          <w:ilvl w:val="0"/>
          <w:numId w:val="11"/>
        </w:numPr>
      </w:pPr>
      <w:r>
        <w:rPr>
          <w:rFonts w:ascii="Calibri" w:hAnsi="Calibri"/>
          <w:color w:val="000000"/>
        </w:rPr>
        <w:t>Apply fitted preprocessing and calibration.</w:t>
      </w:r>
    </w:p>
    <w:p>
      <w:pPr>
        <w:spacing w:after="80" w:line="264" w:lineRule="auto"/>
        <w:ind w:left="720" w:hanging="360"/>
        <w:jc w:val="left"/>
        <w:numPr>
          <w:ilvl w:val="0"/>
          <w:numId w:val="11"/>
        </w:numPr>
      </w:pPr>
      <w:r>
        <w:rPr>
          <w:rFonts w:ascii="Calibri" w:hAnsi="Calibri"/>
          <w:color w:val="000000"/>
        </w:rPr>
        <w:t>Return the label probability, uncertainty/provenance fields, selected dataset, panel, model family, calibration method, and threshold interpretation.</w:t>
      </w:r>
    </w:p>
    <w:p>
      <w:pPr>
        <w:pStyle w:val="Heading1"/>
        <w:keepNext w:val="0"/>
        <w:jc w:val="left"/>
      </w:pPr>
      <w:r>
        <w:rPr>
          <w:rFonts w:ascii="Calibri" w:hAnsi="Calibri"/>
          <w:color w:val="000000"/>
        </w:rPr>
        <w:t>S6. Ablation inventory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vAlign w:val="center"/>
            <w:shd w:fill="1F4D78"/>
          </w:tcPr>
          <w:p>
            <w:pPr>
              <w:pStyle w:val="TableText"/>
              <w:jc w:val="center"/>
            </w:pPr>
            <w:r/>
            <w:r>
              <w:rPr>
                <w:rFonts w:ascii="Calibri" w:hAnsi="Calibri"/>
                <w:b/>
                <w:color w:val="FFFFFF"/>
                <w:sz w:val="17"/>
              </w:rPr>
              <w:t>Ablation</w:t>
            </w:r>
          </w:p>
        </w:tc>
        <w:tc>
          <w:tcPr>
            <w:tcW w:type="dxa" w:w="3120"/>
            <w:tcMar>
              <w:top w:w="80" w:type="dxa"/>
              <w:start w:w="120" w:type="dxa"/>
              <w:bottom w:w="80" w:type="dxa"/>
              <w:end w:w="120" w:type="dxa"/>
            </w:tcMar>
            <w:vAlign w:val="center"/>
            <w:shd w:fill="1F4D78"/>
          </w:tcPr>
          <w:p>
            <w:pPr>
              <w:pStyle w:val="TableText"/>
              <w:jc w:val="center"/>
            </w:pPr>
            <w:r/>
            <w:r>
              <w:rPr>
                <w:rFonts w:ascii="Calibri" w:hAnsi="Calibri"/>
                <w:b/>
                <w:color w:val="FFFFFF"/>
                <w:sz w:val="17"/>
              </w:rPr>
              <w:t>Scientific question</w:t>
            </w:r>
          </w:p>
        </w:tc>
        <w:tc>
          <w:tcPr>
            <w:tcW w:type="dxa" w:w="3120"/>
            <w:tcMar>
              <w:top w:w="80" w:type="dxa"/>
              <w:start w:w="120" w:type="dxa"/>
              <w:bottom w:w="80" w:type="dxa"/>
              <w:end w:w="120" w:type="dxa"/>
            </w:tcMar>
            <w:vAlign w:val="center"/>
            <w:shd w:fill="1F4D78"/>
          </w:tcPr>
          <w:p>
            <w:pPr>
              <w:pStyle w:val="TableText"/>
              <w:jc w:val="center"/>
            </w:pPr>
            <w:r/>
            <w:r>
              <w:rPr>
                <w:rFonts w:ascii="Calibri" w:hAnsi="Calibri"/>
                <w:b/>
                <w:color w:val="FFFFFF"/>
                <w:sz w:val="17"/>
              </w:rPr>
              <w:t>Evaluation control</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Calibration selected vs raw</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Does calibration improve probability accuracy?</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Same outer predictions and participants</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Router vs robust fixed model</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Does model switching add value?</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Same panels and participants</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Brier vs AP/log-loss routing</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Is routing objective consequential?</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Same candidate model bank</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Tree models vs Logistic Regression</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Is complexity justified?</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Paired held-out participants</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Missing indicators on vs off</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Do indicator features add value?</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Separate tuning; same splits, models, budgets, seeds</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Panel-specific fit vs masked full model</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Does training for a panel outperform masking?</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Same split, panel, family, budget, participant</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Named panels vs size-only heuristic</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Is panel composition more informative than count?</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Regression on held-out panel results</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Grouped vs encoded SHAP</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Does clinical grouping change interpretation?</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Same held-out SHAP values</w:t>
            </w:r>
          </w:p>
        </w:tc>
      </w:tr>
      <w:tr>
        <w:trPr>
          <w:cantSplit w:val="true"/>
        </w:trPr>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Leakage demonstrations</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How optimistic are invalid designs?</w:t>
            </w:r>
          </w:p>
        </w:tc>
        <w:tc>
          <w:tcPr>
            <w:tcW w:type="dxa" w:w="3120"/>
            <w:tcMar>
              <w:top w:w="80" w:type="dxa"/>
              <w:start w:w="120" w:type="dxa"/>
              <w:bottom w:w="80" w:type="dxa"/>
              <w:end w:w="120" w:type="dxa"/>
            </w:tcMar>
            <w:vAlign w:val="center"/>
          </w:tcPr>
          <w:p>
            <w:pPr>
              <w:pStyle w:val="TableText"/>
              <w:jc w:val="left"/>
            </w:pPr>
            <w:r/>
            <w:r>
              <w:rPr>
                <w:rFonts w:ascii="Calibri" w:hAnsi="Calibri"/>
                <w:b w:val="0"/>
                <w:color w:val="000000"/>
                <w:sz w:val="17"/>
              </w:rPr>
              <w:t>Explicitly prohibited from efficacy selection</w:t>
            </w:r>
          </w:p>
        </w:tc>
      </w:tr>
    </w:tbl>
    <w:p>
      <w:pPr>
        <w:spacing w:after="40"/>
        <w:jc w:val="left"/>
      </w:pPr>
    </w:p>
    <w:p>
      <w:pPr>
        <w:pStyle w:val="Heading1"/>
        <w:keepNext w:val="0"/>
        <w:jc w:val="left"/>
      </w:pPr>
      <w:r>
        <w:rPr>
          <w:rFonts w:ascii="Calibri" w:hAnsi="Calibri"/>
          <w:color w:val="000000"/>
        </w:rPr>
        <w:t>S7. PIDD development robustness summary</w:t>
      </w:r>
    </w:p>
    <w:p>
      <w:pPr>
        <w:jc w:val="left"/>
      </w:pPr>
      <w:r>
        <w:rPr>
          <w:rFonts w:ascii="Calibri" w:hAnsi="Calibri"/>
          <w:color w:val="000000"/>
        </w:rPr>
        <w:t>The five full-panel models occupied a narrow performance range. The full-panel availability router and robust fixed baseline were effectively tied at the reported precision. No matched reduced-panel comparison survived Holm correction. The core-metabolic panel retained most probability performance, while the non-laboratory and glucose-plus-age panels showed larger descriptive loss.</w:t>
      </w:r>
    </w:p>
    <w:p>
      <w:pPr>
        <w:jc w:val="left"/>
      </w:pPr>
      <w:r>
        <w:rPr>
          <w:rFonts w:ascii="Calibri" w:hAnsi="Calibri"/>
          <w:color w:val="000000"/>
        </w:rPr>
        <w:t>The full missing-indicator retraining study found no corrected benefit for indicator-on Logistic Regression or Random Forest across AUROC, average precision, Brier score, or log loss. Adjusted p-values ranged from 0.200 to 1.000, and all paired intervals crossed no improvement.</w:t>
      </w:r>
    </w:p>
    <w:p>
      <w:pPr>
        <w:jc w:val="left"/>
      </w:pPr>
      <w:r>
        <w:rPr>
          <w:rFonts w:ascii="Calibri" w:hAnsi="Calibri"/>
          <w:color w:val="000000"/>
        </w:rPr>
        <w:t>Panel-specific Random Forest and XGBoost fitting was evaluated for five reduced panels over all 25 outer folds, producing 76,800 prediction rows and 40 paired metric contrasts. Several unadjusted intervals favoured panel-specific fitting, but no comparison survived Holm correction; the minimum adjusted p-value was 0.120. The evidence does not justify a claim that retraining a specialist model is generally superior to masked full-panel inference.</w:t>
      </w:r>
    </w:p>
    <w:p>
      <w:pPr>
        <w:jc w:val="left"/>
      </w:pPr>
      <w:r>
        <w:rPr>
          <w:rFonts w:ascii="Calibri" w:hAnsi="Calibri"/>
          <w:color w:val="000000"/>
        </w:rPr>
        <w:t>Selective probability-certainty acceptance improved retained-case Brier score as coverage decreased, but retained positive events less often than negative cases. Age-group coverage was heterogeneous and the oldest group was too small for stable performance estimation. Severe simulated missingness raised probability loss and left fewer than 7% of participants compatible with a named panel. These results favour explicit abstention over extrapolation.</w:t>
      </w:r>
    </w:p>
    <w:p>
      <w:pPr>
        <w:pStyle w:val="Heading1"/>
        <w:keepNext w:val="0"/>
        <w:jc w:val="left"/>
      </w:pPr>
      <w:r>
        <w:rPr>
          <w:rFonts w:ascii="Calibri" w:hAnsi="Calibri"/>
          <w:color w:val="000000"/>
        </w:rPr>
        <w:t>S8. Reporting and risk-of-bias controls</w:t>
      </w:r>
    </w:p>
    <w:p>
      <w:pPr>
        <w:jc w:val="left"/>
      </w:pPr>
      <w:r>
        <w:rPr>
          <w:rFonts w:ascii="Calibri" w:hAnsi="Calibri"/>
          <w:color w:val="000000"/>
        </w:rPr>
        <w:t>The full grouped Sylhet benchmark (</w:t>
      </w:r>
      <w:r>
        <w:rPr>
          <w:rFonts w:ascii="Aptos Mono" w:hAnsi="Aptos Mono"/>
          <w:color w:val="1F4D78"/>
        </w:rPr>
        <w:t>sylhet_development_b52477910fe6</w:t>
      </w:r>
      <w:r>
        <w:rPr>
          <w:rFonts w:ascii="Calibri" w:hAnsi="Calibri"/>
          <w:color w:val="000000"/>
        </w:rPr>
        <w:t>) contains 25 grouped outer splits per model, complete aggregation for all 520 participants, cluster-bootstrap intervals, 20 primary summary rows, and no non-finite primary metrics. The full router achieved participant-level AUROC 0.965 and Brier 0.068, but no routing, model-family, calibration, selector-metric, or matched-panel comparison survived Holm correction. Extreme calibration slopes, suppressed subgroups, and severe-dropout applicability collapse are retained as limitations rather than hidden behind the cohort's high discrimination.</w:t>
      </w:r>
    </w:p>
    <w:p>
      <w:pPr>
        <w:jc w:val="left"/>
      </w:pPr>
      <w:r>
        <w:rPr>
          <w:rFonts w:ascii="Calibri" w:hAnsi="Calibri"/>
          <w:color w:val="000000"/>
        </w:rPr>
        <w:t>Full Sylhet panel-specific retraining covered four reduced panels, two model families, and all 25 grouped outer splits. It produced 41,600 held-out prediction rows and 32 paired metric contrasts. No contrast survived Holm correction; the minimum adjusted p-value was 0.064. The full missing-indicator retraining family also produced no corrected benefit: Random Forest was numerically equivalent, and all Logistic Regression adjusted p-values were 1.000. Neither component supports a model-superiority claim.</w:t>
      </w:r>
    </w:p>
    <w:p>
      <w:pPr>
        <w:jc w:val="left"/>
      </w:pPr>
      <w:r>
        <w:rPr>
          <w:rFonts w:ascii="Calibri" w:hAnsi="Calibri"/>
          <w:color w:val="000000"/>
        </w:rPr>
        <w:t>The final package must include a completed TRIPOD+AI checklist and a reviewed PROBAST+AI assessment. Key safeguards already implemented are fold-local preprocessing, nested selection, participant-level repeated-CV aggregation, profile-cluster resampling for Sylhet, patient grouping for Hospital130, outcome-blind manifests, calibration evaluated on held-out data, paired comparisons, multiplicity correction, complete artifact provenance, and fail-closed final authorization.</w:t>
      </w:r>
    </w:p>
    <w:p>
      <w:pPr>
        <w:jc w:val="left"/>
      </w:pPr>
      <w:r>
        <w:rPr>
          <w:rFonts w:ascii="Calibri" w:hAnsi="Calibri"/>
          <w:color w:val="000000"/>
        </w:rPr>
        <w:t>Residual concerns are public-benchmark reuse, small cohorts, self-reported BRFSS status, limited transportability, missingness-mechanism uncertainty, subgroup sample size, and absence of external or temporal validation. These limitations must remain visible even if final internal metrics are strong.</w:t>
      </w:r>
    </w:p>
    <w:p>
      <w:pPr>
        <w:pStyle w:val="Heading1"/>
        <w:keepNext w:val="0"/>
        <w:jc w:val="left"/>
      </w:pPr>
      <w:r>
        <w:rPr>
          <w:rFonts w:ascii="Calibri" w:hAnsi="Calibri"/>
          <w:color w:val="000000"/>
        </w:rPr>
        <w:t>S9. Reproducibility artifact map</w:t>
      </w:r>
    </w:p>
    <w:tbl>
      <w:tblPr>
        <w:tblStyle w:val="TableGrid"/>
        <w:tblW w:type="dxa" w:w="9360"/>
        <w:jc w:val="left"/>
        <w:tblLayout w:type="fixed"/>
        <w:tblLook w:firstColumn="1" w:firstRow="1" w:lastColumn="0" w:lastRow="0" w:noHBand="0" w:noVBand="1" w:val="04A0"/>
        <w:tblInd w:w="120" w:type="dxa"/>
      </w:tblPr>
      <w:tblGrid>
        <w:gridCol w:w="4011"/>
        <w:gridCol w:w="5349"/>
      </w:tblGrid>
      <w:tr>
        <w:trPr>
          <w:tblHeader w:val="true"/>
          <w:cantSplit w:val="true"/>
        </w:trPr>
        <w:tc>
          <w:tcPr>
            <w:tcW w:type="dxa" w:w="4011"/>
            <w:tcMar>
              <w:top w:w="80" w:type="dxa"/>
              <w:start w:w="120" w:type="dxa"/>
              <w:bottom w:w="80" w:type="dxa"/>
              <w:end w:w="120" w:type="dxa"/>
            </w:tcMar>
            <w:vAlign w:val="center"/>
            <w:shd w:fill="1F4D78"/>
          </w:tcPr>
          <w:p>
            <w:pPr>
              <w:pStyle w:val="TableText"/>
              <w:jc w:val="center"/>
            </w:pPr>
            <w:r/>
            <w:r>
              <w:rPr>
                <w:rFonts w:ascii="Calibri" w:hAnsi="Calibri"/>
                <w:b/>
                <w:color w:val="FFFFFF"/>
                <w:sz w:val="17"/>
              </w:rPr>
              <w:t>Artifact</w:t>
            </w:r>
          </w:p>
        </w:tc>
        <w:tc>
          <w:tcPr>
            <w:tcW w:type="dxa" w:w="5349"/>
            <w:tcMar>
              <w:top w:w="80" w:type="dxa"/>
              <w:start w:w="120" w:type="dxa"/>
              <w:bottom w:w="80" w:type="dxa"/>
              <w:end w:w="120" w:type="dxa"/>
            </w:tcMar>
            <w:vAlign w:val="center"/>
            <w:shd w:fill="1F4D78"/>
          </w:tcPr>
          <w:p>
            <w:pPr>
              <w:pStyle w:val="TableText"/>
              <w:jc w:val="center"/>
            </w:pPr>
            <w:r/>
            <w:r>
              <w:rPr>
                <w:rFonts w:ascii="Calibri" w:hAnsi="Calibri"/>
                <w:b/>
                <w:color w:val="FFFFFF"/>
                <w:sz w:val="17"/>
              </w:rPr>
              <w:t>Location</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Development configuration</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config/experiments/development.yaml</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Publication controls</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config/publication_protocol.yaml</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Statistical analysis plan</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docs/research/Statistical_Analysis_Plan.md</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Endpoint hierarchy</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docs/research/Endpoint_and_Claim_Hierarchy.md</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Leakage/applicability audit</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docs/research/Data_Leakage_and_Applicability_Audit.md</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Decision log</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docs/research/Decision_Log.md</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PIDD development study</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outputs/publication_pipeline/studies/pidd_development_072cd2104089</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Sylhet development study</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outputs/publication_pipeline/studies/sylhet_development_b52477910fe6</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Command reference</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docs/RUNBOOK.md</w:t>
            </w:r>
          </w:p>
        </w:tc>
      </w:tr>
      <w:tr>
        <w:trPr>
          <w:cantSplit w:val="true"/>
        </w:trPr>
        <w:tc>
          <w:tcPr>
            <w:tcW w:type="dxa" w:w="4011"/>
            <w:tcMar>
              <w:top w:w="80" w:type="dxa"/>
              <w:start w:w="120" w:type="dxa"/>
              <w:bottom w:w="80" w:type="dxa"/>
              <w:end w:w="120" w:type="dxa"/>
            </w:tcMar>
            <w:vAlign w:val="center"/>
          </w:tcPr>
          <w:p>
            <w:pPr>
              <w:pStyle w:val="TableText"/>
              <w:jc w:val="left"/>
            </w:pPr>
            <w:r/>
            <w:r>
              <w:rPr>
                <w:rFonts w:ascii="Calibri" w:hAnsi="Calibri"/>
                <w:b w:val="0"/>
                <w:color w:val="000000"/>
                <w:sz w:val="17"/>
              </w:rPr>
              <w:t>Automated tests</w:t>
            </w:r>
          </w:p>
        </w:tc>
        <w:tc>
          <w:tcPr>
            <w:tcW w:type="dxa" w:w="5349"/>
            <w:tcMar>
              <w:top w:w="80" w:type="dxa"/>
              <w:start w:w="120" w:type="dxa"/>
              <w:bottom w:w="80" w:type="dxa"/>
              <w:end w:w="120" w:type="dxa"/>
            </w:tcMar>
            <w:vAlign w:val="center"/>
          </w:tcPr>
          <w:p>
            <w:pPr>
              <w:pStyle w:val="TableText"/>
              <w:jc w:val="left"/>
            </w:pPr>
            <w:r/>
            <w:r>
              <w:rPr>
                <w:rFonts w:ascii="Calibri" w:hAnsi="Calibri"/>
                <w:b w:val="0"/>
                <w:color w:val="000000"/>
                <w:sz w:val="17"/>
              </w:rPr>
              <w:t>tests/</w:t>
            </w:r>
          </w:p>
        </w:tc>
      </w:tr>
    </w:tbl>
    <w:p>
      <w:pPr>
        <w:spacing w:after="40"/>
        <w:jc w:val="left"/>
      </w:pPr>
    </w:p>
    <w:p>
      <w:pPr>
        <w:pStyle w:val="Heading1"/>
        <w:keepNext w:val="0"/>
        <w:jc w:val="left"/>
      </w:pPr>
      <w:r>
        <w:rPr>
          <w:rFonts w:ascii="Calibri" w:hAnsi="Calibri"/>
          <w:color w:val="000000"/>
        </w:rPr>
        <w:t>S10. Items reserved for locked evidence</w:t>
      </w:r>
    </w:p>
    <w:p>
      <w:pPr>
        <w:spacing w:after="80" w:line="264" w:lineRule="auto"/>
        <w:ind w:left="720" w:hanging="360"/>
        <w:jc w:val="left"/>
        <w:numPr>
          <w:ilvl w:val="0"/>
          <w:numId w:val="10"/>
        </w:numPr>
      </w:pPr>
      <w:r>
        <w:rPr>
          <w:rFonts w:ascii="Calibri" w:hAnsi="Calibri"/>
          <w:color w:val="000000"/>
        </w:rPr>
        <w:t>Final participant-flow counts, exclusions, and the protected authorized BRFSS decision table.</w:t>
      </w:r>
    </w:p>
    <w:p>
      <w:pPr>
        <w:spacing w:after="80" w:line="264" w:lineRule="auto"/>
        <w:ind w:left="720" w:hanging="360"/>
        <w:jc w:val="left"/>
        <w:numPr>
          <w:ilvl w:val="0"/>
          <w:numId w:val="10"/>
        </w:numPr>
      </w:pPr>
      <w:r>
        <w:rPr>
          <w:rFonts w:ascii="Calibri" w:hAnsi="Calibri"/>
          <w:color w:val="000000"/>
        </w:rPr>
        <w:t>Frozen model/panel choices and justified non-inferiority margins.</w:t>
      </w:r>
    </w:p>
    <w:p>
      <w:pPr>
        <w:spacing w:after="80" w:line="264" w:lineRule="auto"/>
        <w:ind w:left="720" w:hanging="360"/>
        <w:jc w:val="left"/>
        <w:numPr>
          <w:ilvl w:val="0"/>
          <w:numId w:val="10"/>
        </w:numPr>
      </w:pPr>
      <w:r>
        <w:rPr>
          <w:rFonts w:ascii="Calibri" w:hAnsi="Calibri"/>
          <w:color w:val="000000"/>
        </w:rPr>
        <w:t>Authorized concealed estimates with 2,000-resample intervals, decision curves, calibration plots, subgroup tables, and the claim-evidence map.</w:t>
      </w:r>
    </w:p>
    <w:p>
      <w:pPr>
        <w:spacing w:after="80" w:line="264" w:lineRule="auto"/>
        <w:ind w:left="720" w:hanging="360"/>
        <w:jc w:val="left"/>
        <w:numPr>
          <w:ilvl w:val="0"/>
          <w:numId w:val="10"/>
        </w:numPr>
      </w:pPr>
      <w:r>
        <w:rPr>
          <w:rFonts w:ascii="Calibri" w:hAnsi="Calibri"/>
          <w:color w:val="000000"/>
        </w:rPr>
        <w:t>Repository release tag, archive DOI, author list, affiliations, funding, conflicts, ethics wording, and venue-specific formatting.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Development package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085"/>
        <w:sz w:val="18"/>
      </w:rPr>
      <w:t>Availability-aware diabetes screening | Supplementary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20" w:after="16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val="0"/>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val="0"/>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40"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dc:title>
  <dc:subject>Development-only conference package</dc:subject>
  <dc:creator>Project authors</dc:creator>
  <cp:keywords>diabetes screening, availability routing, calibration, abstention</cp:keywords>
  <dc:description>Development evidence; not authorized for submission</dc:description>
  <cp:lastModifiedBy/>
  <cp:revision>1</cp:revision>
  <dcterms:created xsi:type="dcterms:W3CDTF">2013-12-23T23:15:00Z</dcterms:created>
  <dcterms:modified xsi:type="dcterms:W3CDTF">2013-12-23T23:15:00Z</dcterms:modified>
  <cp:category/>
</cp:coreProperties>
</file>