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OPIP Profit Intelligence</w:t>
        <w:br/>
        <w:t>Platform Architecture</w:t>
      </w:r>
    </w:p>
    <w:p>
      <w:pPr>
        <w:pStyle w:val="Subtitle"/>
      </w:pPr>
      <w:r>
        <w:t>Version 1.4.4</w:t>
      </w:r>
    </w:p>
    <w:p>
      <w:pPr>
        <w:pStyle w:val="Subtitle"/>
      </w:pPr>
      <w:r>
        <w:t>Precision Agent Continuous Protection and Experience Intelligence</w:t>
      </w:r>
    </w:p>
    <w:p>
      <w:r>
        <w:t>Focused amendment to v1.4.3 • 4 October 2026</w:t>
      </w:r>
    </w:p>
    <w:p>
      <w:pPr>
        <w:pStyle w:val="Heading2"/>
      </w:pPr>
      <w:r>
        <w:t>Purpose and decision</w:t>
      </w:r>
    </w:p>
    <w:p>
      <w:r>
        <w:t>This amendment sharpens O’Pip’s precision-profit objective and makes timely signals, continuous observation, capital protection, explainable decisions and measurable learning explicit acceptance outcomes. It extends the existing F1–F12 architecture. It does not replace the platform or its history.</w:t>
      </w:r>
    </w:p>
    <w:p>
      <w:r>
        <w:t>Read this amendment with the authoritative v1.4.3 DOCX. Unchanged requirements remain binding. The new clauses below specify target requirements; publication of this file does not certify implementation, approve a release, activate Paper-v2 or authorize funded execution.</w:t>
      </w:r>
    </w:p>
    <w:tbl>
      <w:tblPr>
        <w:tblW w:type="auto" w:w="0"/>
        <w:jc w:val="center"/>
        <w:tblLayout w:type="fixed"/>
        <w:tblLook w:firstColumn="1" w:firstRow="1" w:lastColumn="0" w:lastRow="0" w:noHBand="0" w:noVBand="1" w:val="04A0"/>
      </w:tblPr>
      <w:tblGrid>
        <w:gridCol w:w="4680"/>
        <w:gridCol w:w="5544"/>
      </w:tblGrid>
      <w:tr>
        <w:trPr>
          <w:cantSplit/>
          <w:tblHeader/>
        </w:trPr>
        <w:tc>
          <w:tcPr>
            <w:tcW w:type="dxa" w:w="468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What is preserved</w:t>
            </w:r>
          </w:p>
        </w:tc>
        <w:tc>
          <w:tcPr>
            <w:tcW w:type="dxa" w:w="5544"/>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What is refined</w:t>
            </w:r>
          </w:p>
        </w:tc>
      </w:tr>
      <w:tr>
        <w:trPr>
          <w:cantSplit/>
        </w:trPr>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One canonical history and writer; one F3–F7 decision spine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Precision-profit objective; fresh confirmation and contradiction evidence</w:t>
            </w:r>
          </w:p>
        </w:tc>
      </w:tr>
      <w:tr>
        <w:trPr>
          <w:cantSplit/>
        </w:trPr>
        <w:tc>
          <w:tcPr>
            <w:tcW w:type="dxa" w:w="468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Deterministic safety and selection; F6 statistical probability</w:t>
            </w:r>
          </w:p>
        </w:tc>
        <w:tc>
          <w:tcPr>
            <w:tcW w:type="dxa" w:w="554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Continuous sensing and read-only account guardianship</w:t>
            </w:r>
          </w:p>
        </w:tc>
      </w:tr>
      <w:tr>
        <w:trPr>
          <w:cantSplit/>
        </w:trPr>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protection; asynchronous advisory Committee</w:t>
            </w:r>
          </w:p>
        </w:tc>
        <w:tc>
          <w:tcPr>
            <w:tcW w:type="dxa" w:w="55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 actual → error → attribution → learning</w:t>
            </w:r>
          </w:p>
        </w:tc>
      </w:tr>
      <w:tr>
        <w:trPr>
          <w:cantSplit/>
        </w:trPr>
        <w:tc>
          <w:tcPr>
            <w:tcW w:type="dxa" w:w="468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Human promotion; paper isolation; F10 read-only cockpit</w:t>
            </w:r>
          </w:p>
        </w:tc>
        <w:tc>
          <w:tcPr>
            <w:tcW w:type="dxa" w:w="554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Evidence-based completion scorecard and prospective usefulness gate</w:t>
            </w:r>
          </w:p>
        </w:tc>
      </w:tr>
    </w:tbl>
    <w:p/>
    <w:p>
      <w:pPr>
        <w:pStyle w:val="Heading2"/>
      </w:pPr>
      <w:r>
        <w:t>How to use this document</w:t>
      </w:r>
    </w:p>
    <w:p>
      <w:r>
        <w:t>Sections 1–9 define the amendment. Sections 10–15 show the scorecard and delivery sequence. Appendix A specifies ATDD-OPIP-PRECISION-AGENT-v1; Appendix B specifies ATDD-OPIP-SIGNAL-QUALITY-v1. Appendix C records source identity and adoption controls.</w:t>
      </w:r>
    </w:p>
    <w:p>
      <w:pPr>
        <w:pStyle w:val="Heading2"/>
      </w:pPr>
      <w:r>
        <w:t>Evidence position</w:t>
      </w:r>
    </w:p>
    <w:p>
      <w:r>
        <w:t>The scorecard is a dated baseline, not a live health report. Its built-state entries reference the repository conformance ledger at the pinned conversation revision. Code existence, target wiring, runtime activity, production proof and user-value proof are separate dimensions. Unknown values do not count as completion.</w:t>
      </w:r>
    </w:p>
    <w:p>
      <w:r>
        <w:br w:type="page"/>
      </w:r>
    </w:p>
    <w:p>
      <w:pPr>
        <w:pStyle w:val="Heading1"/>
      </w:pPr>
      <w:r>
        <w:t>1 Authority and preserved history</w:t>
      </w:r>
    </w:p>
    <w:p>
      <w:r>
        <w:t>The v1.4.3 source remains byte-for-byte intact. Its body identifies the architecture dated 22 September 2026. The DOCX controls over its Markdown extraction. On explicit owner adoption, v1.4.4 amends only the clauses identified here; all other v1.4.3 requirements and inherited constraints continue to apply. Until adoption is recorded, the existing repository authority remains in force. [S1, S2]</w:t>
      </w:r>
    </w:p>
    <w:tbl>
      <w:tblPr>
        <w:tblW w:type="auto" w:w="0"/>
        <w:jc w:val="center"/>
        <w:tblLayout w:type="fixed"/>
        <w:tblLook w:firstColumn="1" w:firstRow="1" w:lastColumn="0" w:lastRow="0" w:noHBand="0" w:noVBand="1" w:val="04A0"/>
      </w:tblPr>
      <w:tblGrid>
        <w:gridCol w:w="2880"/>
        <w:gridCol w:w="2952"/>
        <w:gridCol w:w="4392"/>
      </w:tblGrid>
      <w:tr>
        <w:trPr>
          <w:cantSplit/>
          <w:tblHeader/>
        </w:trPr>
        <w:tc>
          <w:tcPr>
            <w:tcW w:type="dxa" w:w="288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Amendment area</w:t>
            </w:r>
          </w:p>
        </w:tc>
        <w:tc>
          <w:tcPr>
            <w:tcW w:type="dxa" w:w="295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Inherited anchor</w:t>
            </w:r>
          </w:p>
        </w:tc>
        <w:tc>
          <w:tcPr>
            <w:tcW w:type="dxa" w:w="439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Effect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Precision objective and qualification</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Executive objective; F4–F7; section 19</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economic and presentation acceptance</w:t>
            </w:r>
          </w:p>
        </w:tc>
      </w:tr>
      <w:tr>
        <w:trPr>
          <w:cantSplit/>
        </w:trPr>
        <w:tc>
          <w:tcPr>
            <w:tcW w:type="dxa" w:w="288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Continuous sensing and guardian</w:t>
            </w:r>
          </w:p>
        </w:tc>
        <w:tc>
          <w:tcPr>
            <w:tcW w:type="dxa" w:w="29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F1, F4, F11; sections 2–4</w:t>
            </w:r>
          </w:p>
        </w:tc>
        <w:tc>
          <w:tcPr>
            <w:tcW w:type="dxa" w:w="43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Clarify operating priorities and funded read-only boundary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Selective Committee analysis</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F12; sections 5–8 and 16–21</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Preserve asynchronous non-authority; bound cost and delay</w:t>
            </w:r>
          </w:p>
        </w:tc>
      </w:tr>
      <w:tr>
        <w:trPr>
          <w:cantSplit/>
        </w:trPr>
        <w:tc>
          <w:tcPr>
            <w:tcW w:type="dxa" w:w="288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Experience and attribution</w:t>
            </w:r>
          </w:p>
        </w:tc>
        <w:tc>
          <w:tcPr>
            <w:tcW w:type="dxa" w:w="29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F9; sections 3, 8, 20–21</w:t>
            </w:r>
          </w:p>
        </w:tc>
        <w:tc>
          <w:tcPr>
            <w:tcW w:type="dxa" w:w="43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Freeze expectations; add explicit causal evidence classes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Decision cockpit</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F10; sections 9–12 and 21</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Complete existing eight-page semantic experience</w:t>
            </w:r>
          </w:p>
        </w:tc>
      </w:tr>
      <w:tr>
        <w:trPr>
          <w:cantSplit/>
        </w:trPr>
        <w:tc>
          <w:tcPr>
            <w:tcW w:type="dxa" w:w="288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Usefulness and traceability</w:t>
            </w:r>
          </w:p>
        </w:tc>
        <w:tc>
          <w:tcPr>
            <w:tcW w:type="dxa" w:w="29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Delivery gates; source traceability</w:t>
            </w:r>
          </w:p>
        </w:tc>
        <w:tc>
          <w:tcPr>
            <w:tcW w:type="dxa" w:w="43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Add evidence dimensions and a Paper-v2 gate</w:t>
            </w:r>
          </w:p>
        </w:tc>
      </w:tr>
    </w:tbl>
    <w:p/>
    <w:p>
      <w:pPr>
        <w:pStyle w:val="Heading2"/>
      </w:pPr>
      <w:r>
        <w:t>Authority boundaries that do not change</w:t>
      </w:r>
    </w:p>
    <w:p>
      <w:r>
        <w:t>F5 owns deterministic feasibility and safety checks. F6 owns statistical forecasts and their calibration. F7 owns constrained economic selection under approved policy. F11 protection is independent of discovery, F6, F7, the Committee and the dashboard. F12 supplies asynchronous advisory evidence only. No Committee vote, text, score or deterministic wrapper around it may change entry, exit, probability, sizing, stops, risk limits or promotion.</w:t>
      </w:r>
    </w:p>
    <w:p>
      <w:r>
        <w:t>Continuous watchers submit typed intents through existing canonical ownership. They may not introduce a second writer, allocator, detector, outcome engine or protection authority. The target is one canonical history per fact; migration must reconcile the existing split stores before claiming that target is achieved.</w:t>
      </w:r>
    </w:p>
    <w:p>
      <w:r>
        <w:t>No Kelly sizing, leverage, dynamic risk expansion or funded order authority is introduced. Funded Kraken observation remains read-only/advisory: no placing, confirming, modifying or cancelling funded orders. Automatic suspension remains within existing deterministic safety policy; human approval is required for resumption.</w:t>
      </w:r>
    </w:p>
    <w:p>
      <w:pPr>
        <w:pStyle w:val="Heading2"/>
      </w:pPr>
      <w:r>
        <w:t>Release control</w:t>
      </w:r>
    </w:p>
    <w:p>
      <w:r>
        <w:t>Document approval is separate from implementation, model promotion, merge, deployment and cutover approval. Every operational change needs its existing owner gate, exact release identity, tests, evidence, rollback and health checks. Historical constraints and superseded records are retained rather than rewritten.</w:t>
      </w:r>
    </w:p>
    <w:p>
      <w:r>
        <w:br w:type="page"/>
      </w:r>
    </w:p>
    <w:p>
      <w:pPr>
        <w:pStyle w:val="Heading1"/>
      </w:pPr>
      <w:r>
        <w:t>2 Precision profit objective</w:t>
      </w:r>
    </w:p>
    <w:p>
      <w:r>
        <w:t>O’Pip continuously searches for the strongest available opportunity to realize attractive risk-adjusted net profit over an efficient capital-occupancy period, subject to bounded and explainable downside risk, executable liquidity, evidence quality, portfolio constraints, and capital protection. It does not optimize for signal count or market participation. No trade is preferred when a sufficiently strong economic advantage is not established. [S5]</w:t>
      </w:r>
    </w:p>
    <w:p>
      <w:pPr>
        <w:pStyle w:val="Heading2"/>
      </w:pPr>
      <w:r>
        <w:t>Economic interpretation</w:t>
      </w:r>
    </w:p>
    <w:p>
      <w:r>
        <w:t>The governing objective remains MAXIMIZE SUSTAINABLE REALIZED NET PROFIT AFTER ALL COSTS. Ex ante selection uses calibrated expectations under approved constraints; realized outcomes evaluate whether those expectations were useful. Efficient capital occupancy is an explicit consideration, not a requirement to exit as quickly as possible or a replacement for portfolio net economics.</w:t>
      </w:r>
    </w:p>
    <w:p>
      <w:r>
        <w:t>F7 compares eligible candidates and cash/no-trade on the same point-in-time panel. It records expected net economics, uncertainty, downside, liquidity, capital required and holding horizon. A profit-per-capital-time diagnostic may aid comparison only under a versioned policy with minimum evidence and duration rules. It must not favor a tiny, uncertain gain merely because its predicted duration is short.</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Required distinction</w:t>
            </w:r>
          </w:p>
        </w:tc>
        <w:tc>
          <w:tcPr>
            <w:tcW w:type="dxa" w:w="792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Definition</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Trading net</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Realized proceeds less acquisition basis and recorded trading costs. Fees, spread, slippage and other execution costs follow the versioned accounting model; avoid double counting costs embedded in fill prices.</w:t>
            </w:r>
          </w:p>
        </w:tc>
      </w:tr>
      <w:tr>
        <w:trPr>
          <w:cantSplit/>
        </w:trPr>
        <w:tc>
          <w:tcPr>
            <w:tcW w:type="dxa" w:w="23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Operating net</w:t>
            </w:r>
          </w:p>
        </w:tc>
        <w:tc>
          <w:tcPr>
            <w:tcW w:type="dxa" w:w="79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Trading net less attributable AI, data, compute and operating costs. Unallocated or unknown costs remain explicit.</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Capital occupancy</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Integral of committed capital over elapsed time, including reservations as declared by policy. Report capital-hours and holding duration.</w:t>
            </w:r>
          </w:p>
        </w:tc>
      </w:tr>
      <w:tr>
        <w:trPr>
          <w:cantSplit/>
        </w:trPr>
        <w:tc>
          <w:tcPr>
            <w:tcW w:type="dxa" w:w="23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value</w:t>
            </w:r>
          </w:p>
        </w:tc>
        <w:tc>
          <w:tcPr>
            <w:tcW w:type="dxa" w:w="79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Frozen forecast, horizon, uncertainty and cost assumptions at the decision cutoff; never a guarantee.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 trade</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 valid ranked outcome when advantage, feasibility, calibration, evidence or risk conditions are insufficient.</w:t>
            </w:r>
          </w:p>
        </w:tc>
      </w:tr>
    </w:tbl>
    <w:p/>
    <w:p>
      <w:pPr>
        <w:pStyle w:val="Heading2"/>
      </w:pPr>
      <w:r>
        <w:t>Precision requirements</w:t>
      </w:r>
    </w:p>
    <w:p>
      <w:r>
        <w:t>PR-01: No signal quota or minimum trade count may force selection. PR-02: Each actionable candidate needs a valid entry zone, expiry, explicit invalidation, realistic targets, bounded downside and execution feasibility at its declared notional. PR-03: Selection must record why it outranks the observed alternatives and cash. Claims are limited to the observed eligible universe.</w:t>
      </w:r>
    </w:p>
    <w:p>
      <w:r>
        <w:t>After paper entry, approved deterministic protection and policy continue to assess thesis validity and remaining reward versus risk. Changing that policy remains a separate governed implementation. A faster exit is beneficial only if its measured economics and capital protection justify it.</w:t>
      </w:r>
    </w:p>
    <w:p>
      <w:r>
        <w:br w:type="page"/>
      </w:r>
    </w:p>
    <w:p>
      <w:pPr>
        <w:pStyle w:val="Heading1"/>
      </w:pPr>
      <w:r>
        <w:t>3 Continuous sensing and account guardian</w:t>
      </w:r>
    </w:p>
    <w:p>
      <w:r>
        <w:t>Continuous observation does not imply continuous action. Market and account sensing may remain continuously active while qualification, AI invocation, admission, allocation and execution remain selective, bounded and fail-closed. [S5]</w:t>
      </w:r>
    </w:p>
    <w:tbl>
      <w:tblPr>
        <w:tblW w:type="auto" w:w="0"/>
        <w:jc w:val="center"/>
        <w:tblLayout w:type="fixed"/>
        <w:tblLook w:firstColumn="1" w:firstRow="1" w:lastColumn="0" w:lastRow="0" w:noHBand="0" w:noVBand="1" w:val="04A0"/>
      </w:tblPr>
      <w:tblGrid>
        <w:gridCol w:w="2016"/>
        <w:gridCol w:w="4896"/>
        <w:gridCol w:w="3312"/>
      </w:tblGrid>
      <w:tr>
        <w:trPr>
          <w:cantSplit/>
          <w:tblHeader/>
        </w:trPr>
        <w:tc>
          <w:tcPr>
            <w:tcW w:type="dxa" w:w="201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Tier</w:t>
            </w:r>
          </w:p>
        </w:tc>
        <w:tc>
          <w:tcPr>
            <w:tcW w:type="dxa" w:w="489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Work and trigger</w:t>
            </w:r>
          </w:p>
        </w:tc>
        <w:tc>
          <w:tcPr>
            <w:tcW w:type="dxa" w:w="331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Control</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Continuous and inexpensive</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Observe market trades/prices, basic liquidity, account balances, positions, orders, fills and protection state wherever feeds support it.</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Bounded queues, freshness checks, stable identities and reconnect reconciliation.</w:t>
            </w:r>
          </w:p>
        </w:tc>
      </w:tr>
      <w:tr>
        <w:trPr>
          <w:cantSplit/>
        </w:trPr>
        <w:tc>
          <w:tcPr>
            <w:tcW w:type="dxa" w:w="201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Deterministic analysis</w:t>
            </w:r>
          </w:p>
        </w:tc>
        <w:tc>
          <w:tcPr>
            <w:tcW w:type="dxa" w:w="489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Material changes trigger existing F1–F7 processing, timing, economics and risk assessment.</w:t>
            </w:r>
          </w:p>
        </w:tc>
        <w:tc>
          <w:tcPr>
            <w:tcW w:type="dxa" w:w="331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One decision spine; debounce and coalesce repeated events without losing material risk.</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Selective deep analysis</w:t>
            </w:r>
          </w:p>
        </w:tc>
        <w:tc>
          <w:tcPr>
            <w:tcW w:type="dxa" w:w="48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Serious candidates and material changes in open positions trigger relevant external evidence and Committee work.</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Asynchronous, budgeted, deadline-aware and isolated from protection.</w:t>
            </w:r>
          </w:p>
        </w:tc>
      </w:tr>
    </w:tbl>
    <w:p/>
    <w:p>
      <w:pPr>
        <w:pStyle w:val="Heading2"/>
      </w:pPr>
      <w:r>
        <w:t>Priority under contention</w:t>
      </w:r>
    </w:p>
    <w:p>
      <w:r>
        <w:t>Protection and reconciliation → open-position monitoring → active entry watch → new discovery → optional AI/research. Existing-position protection receives reserved processing and writer capacity. Saturating discovery or advisory queues must not starve protective intents or reconciliation.</w:t>
      </w:r>
    </w:p>
    <w:p>
      <w:pPr>
        <w:pStyle w:val="Heading2"/>
      </w:pPr>
      <w:r>
        <w:t>Guardian contract</w:t>
      </w:r>
    </w:p>
    <w:p>
      <w:r>
        <w:t>CG-01: Every observable Kraken position, order and fill must link to an account, environment, instrument, source identity and last successful observation. Reconcile event streams against periodic snapshots. Distinguish acknowledged coverage from unknown or unsupported assets; “24/7” is an operating target, not a claim of perfect availability.</w:t>
      </w:r>
    </w:p>
    <w:p>
      <w:r>
        <w:t>CG-02: Detect stale feeds, sequence gaps, duplicate/out-of-order events, reconnects and divergent account state. Preserve gaps and corrections. Reconciliation may establish current state but cannot invent missing historical events or their ordering. A watcher failure must mark affected coverage stale/unknown and trigger the existing incident path.</w:t>
      </w:r>
    </w:p>
    <w:p>
      <w:r>
        <w:t>CG-03: Funded accounts supply observation and advisory alerts only. Paper protection operates solely through its approved isolated path. Observing a funded position cannot enroll it into paper execution as though it were a canonical paper fact or grant a write-capable exchange route.</w:t>
      </w:r>
    </w:p>
    <w:p>
      <w:r>
        <w:t>CG-04: Protection continues when discovery, forecasts, selector, Committee or cockpit are unavailable. If the canonical writer is unavailable, do not claim an uncommitted protective exit; halt new reservations/fills as prescribed and expose the incident. Human resumption rules remain binding.</w:t>
      </w:r>
    </w:p>
    <w:p>
      <w:pPr>
        <w:pStyle w:val="Heading2"/>
      </w:pPr>
      <w:r>
        <w:t>Required operating parameters</w:t>
      </w:r>
    </w:p>
    <w:p>
      <w:r>
        <w:t>Before activation, freeze per-stream freshness limits, gap/recovery policy, polling fallback, sustained/burst capacity, protection latency, advisory queue budgets and incident ownership. Numeric limits require evidence and owner ratification; this amendment supplies no invented service-level values.</w:t>
      </w:r>
    </w:p>
    <w:p>
      <w:r>
        <w:br w:type="page"/>
      </w:r>
    </w:p>
    <w:p>
      <w:pPr>
        <w:pStyle w:val="Heading1"/>
      </w:pPr>
      <w:r>
        <w:t>4 Confirmation and contradiction</w:t>
      </w:r>
    </w:p>
    <w:p>
      <w:r>
        <w:t>A discovered opportunity is not an actionable signal. Before operator presentation it must survive independent confirmation, contradiction search, execution/economic validation, portfolio-risk assessment and applicable advisory analysis using point-in-time eligible evidence. [S5]</w:t>
      </w:r>
    </w:p>
    <w:p>
      <w:r>
        <w:t>The deterministic path remains discovery → candidate → timing and confirmation → contradiction checks → F5 feasibility → F6 forecast → F7 selection → ACTIONABLE / WAIT / REJECT. The Committee receives an asynchronous copy alongside this path. Its completion and stance are separate display fields, never runtime admission predicates.</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Check</w:t>
            </w:r>
          </w:p>
        </w:tc>
        <w:tc>
          <w:tcPr>
            <w:tcW w:type="dxa" w:w="813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Required record or behavior</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Timing</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Discovery, qualification, actionable, alert emission/delivery and expiry times; entry zone, evaluation cutoff and validity at presentation.</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support</w:t>
            </w:r>
          </w:p>
        </w:tc>
        <w:tc>
          <w:tcPr>
            <w:tcW w:type="dxa" w:w="81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Applicable structure, volume, momentum, volatility/regime, liquidity/order book and cross-market evidence. Correlated signals do not count as independent votes.</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Contradiction</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Explicit invalidators, opposing evidence, unresolved conflicts and reasons for WAIT/REJECT or permitted uncertainty.</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External evidence</w:t>
            </w:r>
          </w:p>
        </w:tc>
        <w:tc>
          <w:tcPr>
            <w:tcW w:type="dxa" w:w="81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Relevant news/events, social/sentiment, whale/on-chain and future validated families. Record provenance, source time, availability time, cutoff eligibility and revisions.</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Economics and risk</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F5/F6/F7 references, declared notional, cost assumptions, liquidity, downside, uncertainty, portfolio constraints and cash comparison.</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Presentation</w:t>
            </w:r>
          </w:p>
        </w:tc>
        <w:tc>
          <w:tcPr>
            <w:tcW w:type="dxa" w:w="81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Canonical disposition and current validity. AI review state and opinion remain separately labeled advisory metadata.</w:t>
            </w:r>
          </w:p>
        </w:tc>
      </w:tr>
    </w:tbl>
    <w:p/>
    <w:p>
      <w:pPr>
        <w:pStyle w:val="Heading2"/>
      </w:pPr>
      <w:r>
        <w:t>Applicability and missingness</w:t>
      </w:r>
    </w:p>
    <w:p>
      <w:r>
        <w:t>Use all effective and applicable evidence sources, not every available source. The versioned evidence policy declares which inputs are mandatory for a setup and which are optional. Mandatory missing/stale/invalid evidence causes abstention or rejection. Optional missing evidence is visible and cannot count as confirmation. Source inclusion requires incremental-value evaluation, not persuasive anecdote.</w:t>
      </w:r>
    </w:p>
    <w:p>
      <w:r>
        <w:t>A large on-chain transfer is an observed fact with attribution uncertainty. It does not by itself establish buying/selling intent or causal price impact. Separate transfer observation, entity attribution, economic interpretation and statistical evidence.</w:t>
      </w:r>
    </w:p>
    <w:p>
      <w:pPr>
        <w:pStyle w:val="Heading2"/>
      </w:pPr>
      <w:r>
        <w:t>Expiry and requalification</w:t>
      </w:r>
    </w:p>
    <w:p>
      <w:r>
        <w:t>REJECTED, NO_ACTION, LATE_EXTENSION, expired and missed-entry candidates cannot produce normal actionable trade alerts. Requalification creates a new point-in-time decision linked to the prior episode; it cannot reuse an old rejection or approval. Recheck validity at alert emission. If delivery consumes the remaining window, label the delivered state stale/expired using observed delivery evidence.</w:t>
      </w:r>
    </w:p>
    <w:p>
      <w:r>
        <w:t>Confirmation has a bounded validity window. Late AI or backfilled evidence may create a separately timed later assessment; it cannot improve an earlier qualification or silently extend its expiry. Diagnostics and watch notices remain distinct from actionable trade alerts.</w:t>
      </w:r>
    </w:p>
    <w:p>
      <w:r>
        <w:br w:type="page"/>
      </w:r>
    </w:p>
    <w:p>
      <w:pPr>
        <w:pStyle w:val="Heading1"/>
      </w:pPr>
      <w:r>
        <w:t>5 Selective AI Committee analysis</w:t>
      </w:r>
    </w:p>
    <w:p>
      <w:r>
        <w:t>The Committee deepens inspection of a serious candidate or a material position-risk event. It remains an asynchronous, shadow/advisory consumer of committed evidence. This amendment does not activate it or relax the v1.4.3 quantitative-trust stages. [S1 sections 5–8 and 16–21]</w:t>
      </w:r>
    </w:p>
    <w:p>
      <w:pPr>
        <w:pStyle w:val="Heading2"/>
      </w:pPr>
      <w:r>
        <w:t>Analysis contract</w:t>
      </w:r>
    </w:p>
    <w:p>
      <w:r>
        <w:t>SC-01: Use governed roles such as Bull, Bear, Risk, Regime, Liquidity and Events/Social where applicable. Freeze the evidence snapshot and routing configuration before dispatch. Role disagreement is retained; a synthesis must not conceal missing roles or convert consensus into calibrated probability.</w:t>
      </w:r>
    </w:p>
    <w:p>
      <w:r>
        <w:t>SC-02: Record role, provider, model and version, prompt/schema version, registry version, evidence references, request and completion times, deadline, validity, output validation, retry/fallback path, completeness, stance, disagreement, tokens and cost. Unknown billed cost remains unknown until reconciled; all attempts count toward cost.</w:t>
      </w:r>
    </w:p>
    <w:p>
      <w:r>
        <w:t>SC-03: Routing uses approved primary/fallback models and bounded budgets, concurrency and deadlines. Provider model availability and cost are release inputs requiring revalidation. This document selects no new model and does not resolve the ledger’s recorded registry drift by assumption.</w:t>
      </w:r>
    </w:p>
    <w:tbl>
      <w:tblPr>
        <w:tblW w:type="auto" w:w="0"/>
        <w:jc w:val="center"/>
        <w:tblLayout w:type="fixed"/>
        <w:tblLook w:firstColumn="1" w:firstRow="1" w:lastColumn="0" w:lastRow="0" w:noHBand="0" w:noVBand="1" w:val="04A0"/>
      </w:tblPr>
      <w:tblGrid>
        <w:gridCol w:w="2592"/>
        <w:gridCol w:w="7632"/>
      </w:tblGrid>
      <w:tr>
        <w:trPr>
          <w:cantSplit/>
          <w:tblHeader/>
        </w:trPr>
        <w:tc>
          <w:tcPr>
            <w:tcW w:type="dxa" w:w="259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Condition</w:t>
            </w:r>
          </w:p>
        </w:tc>
        <w:tc>
          <w:tcPr>
            <w:tcW w:type="dxa" w:w="763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Required treatment</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Valid timely result</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Commit advisory record linked to the frozen decision; show role-level support/opposition and evidence.</w:t>
            </w:r>
          </w:p>
        </w:tc>
      </w:tr>
      <w:tr>
        <w:trPr>
          <w:cantSplit/>
        </w:trPr>
        <w:tc>
          <w:tcPr>
            <w:tcW w:type="dxa" w:w="25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Timeout or budget exhaustion</w:t>
            </w:r>
          </w:p>
        </w:tc>
        <w:tc>
          <w:tcPr>
            <w:tcW w:type="dxa" w:w="76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Record incomplete/abstained state; do not fabricate consensus. Baseline deterministic processing remains independent.</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Late response</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Preserve cost and timestamps; label late and exclude from earlier-decision comparisons.</w:t>
            </w:r>
          </w:p>
        </w:tc>
      </w:tr>
      <w:tr>
        <w:trPr>
          <w:cantSplit/>
        </w:trPr>
        <w:tc>
          <w:tcPr>
            <w:tcW w:type="dxa" w:w="25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Invalid or fabricated reference</w:t>
            </w:r>
          </w:p>
        </w:tc>
        <w:tc>
          <w:tcPr>
            <w:tcW w:type="dxa" w:w="76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Reject/quarantine the result with a reason; no favorable default or silent repair.</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Attempt to change a trade control</w:t>
            </w:r>
          </w:p>
        </w:tc>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Reject the attempted action; prove no mutation of probability, size, stop, risk, selection or authority.</w:t>
            </w:r>
          </w:p>
        </w:tc>
      </w:tr>
    </w:tbl>
    <w:p/>
    <w:p>
      <w:pPr>
        <w:pStyle w:val="Heading2"/>
      </w:pPr>
      <w:r>
        <w:t>Confirmation without an inline AI gate</w:t>
      </w:r>
    </w:p>
    <w:p>
      <w:r>
        <w:t>Deterministic qualification is established by F4–F7. The cockpit may additionally show AI REVIEW COMPLETE, PENDING, INCOMPLETE or LATE and SUPPORT, OPPOSE, WATCH or ABSTAIN. “Ready for owner review” is a presentation description, not an order command. Missing AI must never be presented as favorable analysis; AI opposition must never become an unauthorized runtime veto.</w:t>
      </w:r>
    </w:p>
    <w:p>
      <w:pPr>
        <w:pStyle w:val="Heading2"/>
      </w:pPr>
      <w:r>
        <w:t>Measured usefulness</w:t>
      </w:r>
    </w:p>
    <w:p>
      <w:r>
        <w:t>Retain v1.4.3 trust metrics: matched baseline comparisons, incremental trading net, incremental operating net, false-intervention risk, weakness precision, coverage, role reliability, regime stability and post-change effectiveness. Trust advancement permits a human review only. Even a successful experiment does not grant automatic influence or funded execution.</w:t>
      </w:r>
    </w:p>
    <w:p>
      <w:r>
        <w:br w:type="page"/>
      </w:r>
    </w:p>
    <w:p>
      <w:pPr>
        <w:pStyle w:val="Heading1"/>
      </w:pPr>
      <w:r>
        <w:t>6 Experience and measurable learning</w:t>
      </w:r>
    </w:p>
    <w:p>
      <w:r>
        <w:t>The experience loop is EXPECTED → ACTUAL → ERROR → ATTRIBUTION → HYPOTHESIS → REGISTERED EXPERIMENT → PROSPECTIVE VALIDATION → HUMAN PROMOTION → POST-CHANGE MEASUREMENT. It extends F9 and the existing weakness registry, not a second learning engine.</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Record</w:t>
            </w:r>
          </w:p>
        </w:tc>
        <w:tc>
          <w:tcPr>
            <w:tcW w:type="dxa" w:w="792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Minimum content</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Expected before outcome</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Decision/episode identity; entry zone; horizon; expected net return and downside; probability/calibration and uncertainty; expected MFE/MAE distribution when available; holding time/capital occupancy; costs; invalidators; regime; source evidence and AI assessment status.</w:t>
            </w:r>
          </w:p>
        </w:tc>
      </w:tr>
      <w:tr>
        <w:trPr>
          <w:cantSplit/>
        </w:trPr>
        <w:tc>
          <w:tcPr>
            <w:tcW w:type="dxa" w:w="23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Actual with maturity state</w:t>
            </w:r>
          </w:p>
        </w:tc>
        <w:tc>
          <w:tcPr>
            <w:tcW w:type="dxa" w:w="79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Fill/no-fill/partial fill; prices and costs; MFE/MAE; realized net P&amp;L; time-to-profit; duration; exit reason; regime changes; protection interventions; later news/social/on-chain changes with their own timestamps.</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Error and regret</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Forecast and downside error; timing and entry lateness; target, execution and exit error; false-positive cost; missed opportunities; false-negative opportunity cost; capital-time efficiency. Unidentifiable components remain unknown.</w:t>
            </w:r>
          </w:p>
        </w:tc>
      </w:tr>
      <w:tr>
        <w:trPr>
          <w:cantSplit/>
        </w:trPr>
        <w:tc>
          <w:tcPr>
            <w:tcW w:type="dxa" w:w="23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Attribution</w:t>
            </w:r>
          </w:p>
        </w:tc>
        <w:tc>
          <w:tcPr>
            <w:tcW w:type="dxa" w:w="79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Success/failure observation; mechanism or hypothesis; confidence category; supporting and contradictory references; competing explanations; review state and version.</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Learning disposition</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Weakness or strength → hypothesis → experiment → result → human approval/rejection → artifact/release → measured post-change effect. Every eligible artifact has a traceable disposition.</w:t>
            </w:r>
          </w:p>
        </w:tc>
      </w:tr>
    </w:tbl>
    <w:p/>
    <w:p>
      <w:pPr>
        <w:pStyle w:val="Heading2"/>
      </w:pPr>
      <w:r>
        <w:t>Immutable expectations and outcome maturity</w:t>
      </w:r>
    </w:p>
    <w:p>
      <w:r>
        <w:t>EL-01: Freeze expected records, evidence cutoff, policy/model versions and hashes before outcomes mature. Actual outcomes append linked facts; they never rewrite expectations. Later corrections retain supersession history. Do not manufacture an expected field retrospectively when it was absent at decision time.</w:t>
      </w:r>
    </w:p>
    <w:p>
      <w:r>
        <w:t>EL-02: Maintain TAKEN, REJECTED, MISSED, EXPIRED, NO_FILL and NO_TRADE populations. Declare the evaluation universe, episode deduplication and horizon at registration. Outcomes are PENDING, MATURED, CENSORED or INSUFFICIENT_EVIDENCE with explicit reasons. A missing label is not a loss, win or zero return.</w:t>
      </w:r>
    </w:p>
    <w:p>
      <w:r>
        <w:t>EL-03: Keep realized paper results, declared-policy counterfactual results and hindsight MFE/MAE separate. A rejected winner or no-trade evaluation uses a preregistered feasible policy and cost model. Hindsight best price is diagnostic and is never an achievable-fill claim.</w:t>
      </w:r>
    </w:p>
    <w:p>
      <w:pPr>
        <w:pStyle w:val="Heading2"/>
      </w:pPr>
      <w:r>
        <w:t>Evidence that learning improved</w:t>
      </w:r>
    </w:p>
    <w:p>
      <w:r>
        <w:t>Measure proper forecast scores/calibration, prospective net uplift after operating cost versus a frozen baseline, coverage, weakness recurrence and post-fix economic loss. Show cohort size, uncertainty, version and independent time windows. More stored cases or more AI explanations alone do not establish learning.</w:t>
      </w:r>
    </w:p>
    <w:p>
      <w:r>
        <w:t>A separately labeled Legacy Experience Corpus may use owner-provided Kraken history for execution and behavior analysis. It must not be mixed with clean prospective evidence or treated as reconstructed prior reasoning. Continuous learning creates candidates for improvement; operational behavior changes only through existing approval gates.</w:t>
      </w:r>
    </w:p>
    <w:p>
      <w:r>
        <w:br w:type="page"/>
      </w:r>
    </w:p>
    <w:p>
      <w:pPr>
        <w:pStyle w:val="Heading1"/>
      </w:pPr>
      <w:r>
        <w:t>7 Causal confidence and attribution</w:t>
      </w:r>
    </w:p>
    <w:p>
      <w:r>
        <w:t>Success and failure both require evidence-based attribution. No AI-generated post-hoc explanation may be recorded as proven causality without evidence. An observed fact may be proven while its causal contribution to the outcome remains unknown.</w:t>
      </w:r>
    </w:p>
    <w:tbl>
      <w:tblPr>
        <w:tblW w:type="auto" w:w="0"/>
        <w:jc w:val="center"/>
        <w:tblLayout w:type="fixed"/>
        <w:tblLook w:firstColumn="1" w:firstRow="1" w:lastColumn="0" w:lastRow="0" w:noHBand="0" w:noVBand="1" w:val="04A0"/>
      </w:tblPr>
      <w:tblGrid>
        <w:gridCol w:w="2160"/>
        <w:gridCol w:w="4032"/>
        <w:gridCol w:w="4032"/>
      </w:tblGrid>
      <w:tr>
        <w:trPr>
          <w:cantSplit/>
          <w:tblHeader/>
        </w:trPr>
        <w:tc>
          <w:tcPr>
            <w:tcW w:type="dxa" w:w="216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Category</w:t>
            </w:r>
          </w:p>
        </w:tc>
        <w:tc>
          <w:tcPr>
            <w:tcW w:type="dxa" w:w="403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Required standard</w:t>
            </w:r>
          </w:p>
        </w:tc>
        <w:tc>
          <w:tcPr>
            <w:tcW w:type="dxa" w:w="403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Example and limit</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PROVEN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Direct trace or controlled evidence demonstrates the specified mechanism; scope and evidence references are explicit.</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 recorded fee deterministically reduced ledger net by its amount. A late entry is measurable; that fact alone does not prove why the entire trade lost.</w:t>
            </w:r>
          </w:p>
        </w:tc>
      </w:tr>
      <w:tr>
        <w:trPr>
          <w:cantSplit/>
        </w:trPr>
        <w:tc>
          <w:tcPr>
            <w:tcW w:type="dxa" w:w="216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STRONGLY_SUPPORTED</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Multiple consistent eligible observations, temporal order and a credible mechanism; alternatives assessed, residual uncertainty retained.</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Execution deterioration is strongly supported by depth, spread and fill traces; unmeasured market effects remain possible.</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HYPOTHESIS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Plausible explanation needing a registered test; no causal certainty implied.</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Whale selling may have contributed to a reversal; entity intent and counterfactual price effect are not established.</w:t>
            </w:r>
          </w:p>
        </w:tc>
      </w:tr>
      <w:tr>
        <w:trPr>
          <w:cantSplit/>
        </w:trPr>
        <w:tc>
          <w:tcPr>
            <w:tcW w:type="dxa" w:w="216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UNKNOWN</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Evidence is insufficient, contradictory or missing. Unknown is a valid final state.</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Intrabar target/stop ordering cannot be recovered from the retained price data.</w:t>
            </w:r>
          </w:p>
        </w:tc>
      </w:tr>
    </w:tbl>
    <w:p/>
    <w:p>
      <w:pPr>
        <w:pStyle w:val="Heading2"/>
      </w:pPr>
      <w:r>
        <w:t>Attribution record</w:t>
      </w:r>
    </w:p>
    <w:p>
      <w:r>
        <w:t>CA-01: Each claim stores claim identity, linked decision/outcome, outcome population, exact causal proposition, confidence category, evidence references and timestamps, mechanism, alternatives, contradictions, method/version, author or model provenance, reviewer, review state and supersession history. A numerical confidence score is optional and requires its own definition; it never substitutes for these categories.</w:t>
      </w:r>
    </w:p>
    <w:p>
      <w:r>
        <w:t>CA-02: Separate fact confidence, source/entity attribution confidence and causal confidence. “BTC broke support before exit” can be an observed sequence without proving that it caused the loss. A high Committee agreement score cannot upgrade causality.</w:t>
      </w:r>
    </w:p>
    <w:p>
      <w:pPr>
        <w:pStyle w:val="Heading2"/>
      </w:pPr>
      <w:r>
        <w:t>From explanation to improvement</w:t>
      </w:r>
    </w:p>
    <w:p>
      <w:r>
        <w:t>A weakness record names its recurrence, economic impact and affected regimes. It links to a falsifiable hypothesis and preregistered experiment with a frozen comparator, population, cost model and stopping rule. Favorable anecdotes and a retrospective fit do not qualify for promotion.</w:t>
      </w:r>
    </w:p>
    <w:p>
      <w:r>
        <w:t>Validation may confirm, reject or leave a finding inconclusive. Rejected and inconclusive findings remain visible. After an approved release, evaluate whether recurrence and economic harm actually declined on a new population while protection and reliability remained acceptable.</w:t>
      </w:r>
    </w:p>
    <w:p>
      <w:pPr>
        <w:pStyle w:val="Heading2"/>
      </w:pPr>
      <w:r>
        <w:t>Avoid false precision</w:t>
      </w:r>
    </w:p>
    <w:p>
      <w:r>
        <w:t>Error categories may overlap. Sum attributed economic contributions only when the decomposition method is identified and non-overlapping; otherwise report components separately. Unknown residuals stay visible. No retrospective explanation may leak into the original qualification, model input or prospective Committee comparison.</w:t>
      </w:r>
    </w:p>
    <w:p>
      <w:r>
        <w:br w:type="page"/>
      </w:r>
    </w:p>
    <w:p>
      <w:pPr>
        <w:pStyle w:val="Heading1"/>
      </w:pPr>
      <w:r>
        <w:t>8 F10 decision cockpit requirements</w:t>
      </w:r>
    </w:p>
    <w:p>
      <w:r>
        <w:t>F10 retains the existing eight-page architecture. One versioned semantic read service supplies canonical projections, typed filters, cross-filtering, saved views and drill-down. The UI has no trading authority and must not invent trust, profitability, calibration or causal logic. [S1, S3]</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Page</w:t>
            </w:r>
          </w:p>
        </w:tc>
        <w:tc>
          <w:tcPr>
            <w:tcW w:type="dxa" w:w="727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Required operator answer</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System Pulse</w:t>
            </w:r>
          </w:p>
        </w:tc>
        <w:tc>
          <w:tcPr>
            <w:tcW w:type="dxa" w:w="72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What is healthy, stale, degraded or unavailable? Show coverage, source watermarks, release alignment and authority mode.</w:t>
            </w:r>
          </w:p>
        </w:tc>
      </w:tr>
      <w:tr>
        <w:trPr>
          <w:cantSplit/>
        </w:trPr>
        <w:tc>
          <w:tcPr>
            <w:tcW w:type="dxa" w:w="29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Discovery and Regime</w:t>
            </w:r>
          </w:p>
        </w:tc>
        <w:tc>
          <w:tcPr>
            <w:tcW w:type="dxa" w:w="727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What was observed, when, in which universe and regime? Show gaps, discovery timing and candidate funnel.</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Decision Trace</w:t>
            </w:r>
          </w:p>
        </w:tc>
        <w:tc>
          <w:tcPr>
            <w:tcW w:type="dxa" w:w="72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Why this candidate and not the alternatives or cash? Show current entry validity, F5/F6/F7, contradictions and AI provenance.</w:t>
            </w:r>
          </w:p>
        </w:tc>
      </w:tr>
      <w:tr>
        <w:trPr>
          <w:cantSplit/>
        </w:trPr>
        <w:tc>
          <w:tcPr>
            <w:tcW w:type="dxa" w:w="29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Paper Portfolio</w:t>
            </w:r>
          </w:p>
        </w:tc>
        <w:tc>
          <w:tcPr>
            <w:tcW w:type="dxa" w:w="727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What capital is reserved/exposed? Reconcile fills, positions, costs, P&amp;L and independent protection state.</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Quality and Missed Opportunity</w:t>
            </w:r>
          </w:p>
        </w:tc>
        <w:tc>
          <w:tcPr>
            <w:tcW w:type="dxa" w:w="72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Were entries timely and useful? Show rejected/missed/no-fill/no-trade cohorts, expected versus actual and valid regret.</w:t>
            </w:r>
          </w:p>
        </w:tc>
      </w:tr>
      <w:tr>
        <w:trPr>
          <w:cantSplit/>
        </w:trPr>
        <w:tc>
          <w:tcPr>
            <w:tcW w:type="dxa" w:w="29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Committee Value and AI Cost</w:t>
            </w:r>
          </w:p>
        </w:tc>
        <w:tc>
          <w:tcPr>
            <w:tcW w:type="dxa" w:w="727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What did AI add? Show trust stage, disagreement, coverage, paired comparisons, latency and all attributable cost.</w:t>
            </w:r>
          </w:p>
        </w:tc>
      </w:tr>
      <w:tr>
        <w:trPr>
          <w:cantSplit/>
        </w:trP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Learning and Releases</w:t>
            </w:r>
          </w:p>
        </w:tc>
        <w:tc>
          <w:tcPr>
            <w:tcW w:type="dxa" w:w="72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What was learned and validated? Link weaknesses to experiments, approval, release and post-change evidence.</w:t>
            </w:r>
          </w:p>
        </w:tc>
      </w:tr>
      <w:tr>
        <w:trPr>
          <w:cantSplit/>
        </w:trPr>
        <w:tc>
          <w:tcPr>
            <w:tcW w:type="dxa" w:w="29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Incidents and Infrastructure</w:t>
            </w:r>
          </w:p>
        </w:tc>
        <w:tc>
          <w:tcPr>
            <w:tcW w:type="dxa" w:w="727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What failed and what remains untrusted? Show feed/writer/projection gaps, recovery and human resumption state.</w:t>
            </w:r>
          </w:p>
        </w:tc>
      </w:tr>
    </w:tbl>
    <w:p/>
    <w:p>
      <w:pPr>
        <w:pStyle w:val="Heading2"/>
      </w:pPr>
      <w:r>
        <w:t>A complete candidate drill down</w:t>
      </w:r>
    </w:p>
    <w:p>
      <w:r>
        <w:t>The operator must reconstruct what O’Pip knew and when; selection and rejection reasons; entry validity and invalidators; expected net return, downside, costs and holding time; F6 uncertainty and calibration; AI support/opposition, role/model versions and completeness; unknown evidence; comparable paper cohorts; actual results; attribution and learning disposition.</w:t>
      </w:r>
    </w:p>
    <w:p>
      <w:r>
        <w:t>Show the chain metric → candidate → frozen decision → evidence cutoff/watermark → F5/F6/F7 → advisory records → paper execution/outcome or no-trade policy → attribution → experiment → approved release → post-change result. Aggregate and detail must use the same population and watermark.</w:t>
      </w:r>
    </w:p>
    <w:p>
      <w:pPr>
        <w:pStyle w:val="Heading2"/>
      </w:pPr>
      <w:r>
        <w:t>Trust and interaction</w:t>
      </w:r>
    </w:p>
    <w:p>
      <w:r>
        <w:t>FC-01: Visually distinguish DETERMINISTIC FACT, STATISTICAL ESTIMATE, AI ADVISORY OPINION, HYPOTHESIS and UNKNOWN. An ordinal “Continuation 100/100” cannot look like a calibrated probability. Every metric carries definition/version, denominator, time window, units, costs and coverage.</w:t>
      </w:r>
    </w:p>
    <w:p>
      <w:r>
        <w:t>FC-02: Support filterable comparisons by time, pair, regime, disposition, rejection reason, outcome, version and AI route. Display account/environment distinctly. Required stale or unreconciled evidence blocks favorable actionable/readiness claims. Saved views store preferences only; no execution, policy or risk control is exposed.</w:t>
      </w:r>
    </w:p>
    <w:p>
      <w:r>
        <w:br w:type="page"/>
      </w:r>
    </w:p>
    <w:p>
      <w:pPr>
        <w:pStyle w:val="Heading1"/>
      </w:pPr>
      <w:r>
        <w:t>9 Signal quality and Paper v2 usefulness</w:t>
      </w:r>
    </w:p>
    <w:p>
      <w:r>
        <w:t>Engineering conformance is necessary but insufficient for target paper cutover. Paper-v2 shall not become the target paper authority merely because its engineering gates pass. Target cutover additionally requires prospective evidence that the selected signal path is timely, economically useful, inspectable and materially preferable to the legacy operator experience. [S5]</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Gate</w:t>
            </w:r>
          </w:p>
        </w:tc>
        <w:tc>
          <w:tcPr>
            <w:tcW w:type="dxa" w:w="7848"/>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Required acceptance evidence</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G1 Integrity and eligibility</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Frozen population and versions; point-in-time evidence; stable identities; explicit missingness; no hindsight contamination. Integrity violations invalidate the affected trusted cohort.</w:t>
            </w:r>
          </w:p>
        </w:tc>
      </w:tr>
      <w:tr>
        <w:trPr>
          <w:cantSplit/>
        </w:trPr>
        <w:tc>
          <w:tcPr>
            <w:tcW w:type="dxa" w:w="237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G2 Timeliness and entry</w:t>
            </w:r>
          </w:p>
        </w:tc>
        <w:tc>
          <w:tcPr>
            <w:tcW w:type="dxa" w:w="784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Prospective discovery-before-move and actionable-at-alert evidence; lateness/confirmation latency and expiry; suppression and requalification tests.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G3 Economic usefulness</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Matched target, legacy and cash comparison with realistic fills, fees, slippage, risk, occupancy and attributable operating cost. Report effect and uncertainty.</w:t>
            </w:r>
          </w:p>
        </w:tc>
      </w:tr>
      <w:tr>
        <w:trPr>
          <w:cantSplit/>
        </w:trPr>
        <w:tc>
          <w:tcPr>
            <w:tcW w:type="dxa" w:w="237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G4 Operator inspection</w:t>
            </w:r>
          </w:p>
        </w:tc>
        <w:tc>
          <w:tcPr>
            <w:tcW w:type="dxa" w:w="784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Canonical decision trace, alternatives, downside, uncertainty, current entry validity, AI status and expected/actual evidence are understandable in operator acceptance sessions.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G5 Protection and runtime</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protection, capacity/failure drills, release alignment, evidence/notional/watermark checks and one intended admission source.</w:t>
            </w:r>
          </w:p>
        </w:tc>
      </w:tr>
      <w:tr>
        <w:trPr>
          <w:cantSplit/>
        </w:trPr>
        <w:tc>
          <w:tcPr>
            <w:tcW w:type="dxa" w:w="237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G6 Governance and cutover</w:t>
            </w:r>
          </w:p>
        </w:tc>
        <w:tc>
          <w:tcPr>
            <w:tcW w:type="dxa" w:w="784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Human ratification of evaluation result plus exact release approval, rollback, legacy drain, metadata, reconciliation and existing Paper-v2 gates.</w:t>
            </w:r>
          </w:p>
        </w:tc>
      </w:tr>
    </w:tbl>
    <w:p/>
    <w:p>
      <w:pPr>
        <w:pStyle w:val="Heading2"/>
      </w:pPr>
      <w:r>
        <w:t>Freeze the evaluation before measuring success</w:t>
      </w:r>
    </w:p>
    <w:p>
      <w:r>
        <w:t>SQ-01: Register universe, eligibility/exclusions, episode grain, target and frozen legacy versions, cash comparator, horizons, entry policy, notional, costs, execution model, primary outcomes, guardrails, regime/time strata and censoring. Freeze minimum sample/maturity, uncertainty method, effect threshold, maximum duration and stopping rules before observing evaluation results.</w:t>
      </w:r>
    </w:p>
    <w:p>
      <w:r>
        <w:t>No fixed success percentage is invented here. Those numeric decisions are OPEN governance inputs and therefore block a PASS. They may not be tuned to rescue a failing cohort. Any change starts a new versioned evaluation; retain the old result.</w:t>
      </w:r>
    </w:p>
    <w:p>
      <w:pPr>
        <w:pStyle w:val="Heading2"/>
      </w:pPr>
      <w:r>
        <w:t>Gate verdicts and activation boundary</w:t>
      </w:r>
    </w:p>
    <w:p>
      <w:r>
        <w:t>Each gate returns PASS, FAIL or INSUFFICIENT_EVIDENCE with an evidence manifest and reason. Missing cases, costs, intervals, baseline reconciliation or runtime proof yield INSUFFICIENT_EVIDENCE, never PASS. Paper-v2 readiness requires every gate PASS plus separate owner authorization. Passing this document’s tests does not activate anything.</w:t>
      </w:r>
    </w:p>
    <w:p>
      <w:r>
        <w:t>The comparison must use the intended F3–F7 signal path. Running Paper-v2 against the legacy selector does not prove target signal usefulness. Keep the paper engines and their accounting versions distinct; preserve legacy open obligations through drain and rollback. Funded execution is outside all six gates.</w:t>
      </w:r>
    </w:p>
    <w:p>
      <w:r>
        <w:br w:type="page"/>
      </w:r>
    </w:p>
    <w:p>
      <w:pPr>
        <w:pStyle w:val="Heading1"/>
      </w:pPr>
      <w:r>
        <w:t>10 Traceability scorecard semantics</w:t>
      </w:r>
    </w:p>
    <w:p>
      <w:r>
        <w:t>Every F-section and cross-cutting requirement has a durable requirement ID, source clause, accountable role, evidence reference, observation date, commit/configuration identity and acceptance status. The following fields prevent a built module from being mistaken for a complete operating product.</w:t>
      </w:r>
    </w:p>
    <w:tbl>
      <w:tblPr>
        <w:tblW w:type="auto" w:w="0"/>
        <w:jc w:val="center"/>
        <w:tblLayout w:type="fixed"/>
        <w:tblLook w:firstColumn="1" w:firstRow="1" w:lastColumn="0" w:lastRow="0" w:noHBand="0" w:noVBand="1" w:val="04A0"/>
      </w:tblPr>
      <w:tblGrid>
        <w:gridCol w:w="2736"/>
        <w:gridCol w:w="7488"/>
      </w:tblGrid>
      <w:tr>
        <w:trPr>
          <w:cantSplit/>
          <w:tblHeader/>
        </w:trPr>
        <w:tc>
          <w:tcPr>
            <w:tcW w:type="dxa" w:w="273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Field</w:t>
            </w:r>
          </w:p>
        </w:tc>
        <w:tc>
          <w:tcPr>
            <w:tcW w:type="dxa" w:w="7488"/>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Meaning and allowed evidence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ARCH_COVERAGE</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Requirement is explicitly represented in the authoritative baseline or adopted amendment; reference clause and version.</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CODE_COMPLETE</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Target implementation and applicable tests accepted at a pinned revision. File presence alone is not completion.</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TARGET_WIRED</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Component participates in the intended end-to-end path with evidenced producer/consumer and authority boundaries.</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RUNTIME_ACTIVE</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Intended component is observed running at an exact release/configuration and timestamp; mode is explicit.</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PROD_PROVEN</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Runtime evidence proves the required behavior in the production environment. This field grants no funded authority.</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USER_VALUE_PROVEN</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Prospective economic and operator acceptance passes frozen criteria; code and uptime are insufficient.</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REVISIT</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NONE / TUNE / REFINE / PARTIAL_REWORK / REDESIGN, with rationale and impact.</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NEXT_GAP</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Exact missing work and dependency, with proposed accountable role.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ACCEPTANCE_EVIDENCE</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Tests, replay, runtime, economic or operator artifacts needed to close the gap.</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AUTHORITY</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Current and target permitted actor; advisory and runtime authority stay distinct.</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CUTOVER_BLOCKER</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Unmet condition preventing the intended target from owning the path.</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RETIRE_AFTER</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Legacy path, replacement, consumer census, archive, drain/stop time and rollback gate.</w:t>
            </w:r>
          </w:p>
        </w:tc>
      </w:tr>
    </w:tbl>
    <w:p/>
    <w:p>
      <w:pPr>
        <w:pStyle w:val="Heading2"/>
      </w:pPr>
      <w:r>
        <w:t>Evidence based metrics</w:t>
      </w:r>
    </w:p>
    <w:p>
      <w:r>
        <w:t>For each dimension, report accepted atomic requirements / applicable registered requirements, together with pending, failed and unknown counts. Exclude NOT_APPLICABLE only with a recorded reason. Show evidence coverage as assessed requirements / applicable requirements. Unknown remains in the denominator of completion and cannot silently disappear.</w:t>
      </w:r>
    </w:p>
    <w:p>
      <w:r>
        <w:t>A row is BUILT for a dimension only when its acceptance evidence is present. REVISIT identifies existing work needing refinement or proof. TO BUILD identifies missing target behavior. These are different axes: an existing component may require both revisit and additional build work.</w:t>
      </w:r>
    </w:p>
    <w:p>
      <w:r>
        <w:t>Rollups remain separate for architecture, code, wiring, runtime, production proof and user value. Do not average these into a single product percentage. The earlier chat’s roughly 70–75% code and 40% runtime estimates are historical planning estimates, not audited measures; they are not adopted as this scorecard’s completion metrics.</w:t>
      </w:r>
    </w:p>
    <w:p>
      <w:r>
        <w:br w:type="page"/>
      </w:r>
    </w:p>
    <w:p>
      <w:pPr>
        <w:pStyle w:val="Heading1"/>
      </w:pPr>
      <w:r>
        <w:t>11 Capability completion snapshot</w:t>
      </w:r>
    </w:p>
    <w:p>
      <w:r>
        <w:t>Evidence baseline: ledger and status documents read at repository revision 315716aa82f004bd5ec863f8cfe36a6efed2079c. The ledger names a808e84f as its reconciled code baseline on 3 October; its production observations are older. These are source-reported statuses, not a new runtime audit. [S2–S4]</w:t>
      </w:r>
    </w:p>
    <w:p>
      <w:r>
        <w:t>A = architecture represented in v1.4.3; C = target code; W = intended wiring; R = active target runtime; P = target production proof; V = user value. PRESENT means implementation is reported but code completion is not newly certified. PART means partial. U means unknown/unproven. NO means the cited ledger explicitly says inactive or not wired. A is YES for all F1–F12.</w:t>
      </w:r>
    </w:p>
    <w:tbl>
      <w:tblPr>
        <w:tblW w:type="auto" w:w="0"/>
        <w:jc w:val="center"/>
        <w:tblLayout w:type="fixed"/>
        <w:tblLook w:firstColumn="1" w:firstRow="1" w:lastColumn="0" w:lastRow="0" w:noHBand="0" w:noVBand="1" w:val="04A0"/>
      </w:tblPr>
      <w:tblGrid>
        <w:gridCol w:w="2088"/>
        <w:gridCol w:w="1152"/>
        <w:gridCol w:w="792"/>
        <w:gridCol w:w="720"/>
        <w:gridCol w:w="720"/>
        <w:gridCol w:w="720"/>
        <w:gridCol w:w="4032"/>
      </w:tblGrid>
      <w:tr>
        <w:trPr>
          <w:cantSplit/>
          <w:tblHeader/>
        </w:trPr>
        <w:tc>
          <w:tcPr>
            <w:tcW w:type="dxa" w:w="2088"/>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Capability</w:t>
            </w:r>
          </w:p>
        </w:tc>
        <w:tc>
          <w:tcPr>
            <w:tcW w:type="dxa" w:w="115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w:t>
            </w:r>
          </w:p>
        </w:tc>
        <w:tc>
          <w:tcPr>
            <w:tcW w:type="dxa" w:w="79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W</w:t>
            </w:r>
          </w:p>
        </w:tc>
        <w:tc>
          <w:tcPr>
            <w:tcW w:type="dxa" w:w="72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w:t>
            </w:r>
          </w:p>
        </w:tc>
        <w:tc>
          <w:tcPr>
            <w:tcW w:type="dxa" w:w="72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P</w:t>
            </w:r>
          </w:p>
        </w:tc>
        <w:tc>
          <w:tcPr>
            <w:tcW w:type="dxa" w:w="72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V</w:t>
            </w:r>
          </w:p>
        </w:tc>
        <w:tc>
          <w:tcPr>
            <w:tcW w:type="dxa" w:w="4032"/>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Disposition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F1 Observation</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Revisit capture</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F2 Feature Bus</w:t>
            </w:r>
          </w:p>
        </w:tc>
        <w:tc>
          <w:tcPr>
            <w:tcW w:type="dxa" w:w="11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w:t>
            </w:r>
          </w:p>
        </w:tc>
        <w:tc>
          <w:tcPr>
            <w:tcW w:type="dxa" w:w="7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Wire after evidence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F3 IGNITION</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Wire and prove</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F4 Lifecycle</w:t>
            </w:r>
          </w:p>
        </w:tc>
        <w:tc>
          <w:tcPr>
            <w:tcW w:type="dxa" w:w="11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timing</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F5 Feasibility</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and wire</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F6 Forecast</w:t>
            </w:r>
          </w:p>
        </w:tc>
        <w:tc>
          <w:tcPr>
            <w:tcW w:type="dxa" w:w="11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Build calibration evidence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F7 Selector</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economics</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F8 Paper v2</w:t>
            </w:r>
          </w:p>
        </w:tc>
        <w:tc>
          <w:tcPr>
            <w:tcW w:type="dxa" w:w="11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w:t>
            </w:r>
          </w:p>
        </w:tc>
        <w:tc>
          <w:tcPr>
            <w:tcW w:type="dxa" w:w="7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Hold target cutover</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F9 Learning</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Consolidate</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F10 Cockpit</w:t>
            </w:r>
          </w:p>
        </w:tc>
        <w:tc>
          <w:tcPr>
            <w:tcW w:type="dxa" w:w="11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Build full experience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F11 Protection</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NO</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Prove independence</w:t>
            </w:r>
          </w:p>
        </w:tc>
      </w:tr>
      <w:tr>
        <w:trPr>
          <w:cantSplit/>
        </w:trPr>
        <w:tc>
          <w:tcPr>
            <w:tcW w:type="dxa" w:w="20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F12 Committee</w:t>
            </w:r>
          </w:p>
        </w:tc>
        <w:tc>
          <w:tcPr>
            <w:tcW w:type="dxa" w:w="115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PRESENT</w:t>
            </w:r>
          </w:p>
        </w:tc>
        <w:tc>
          <w:tcPr>
            <w:tcW w:type="dxa" w:w="79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w:t>
            </w:r>
          </w:p>
        </w:tc>
        <w:tc>
          <w:tcPr>
            <w:tcW w:type="dxa" w:w="4032"/>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Align and prove shadow</w:t>
            </w:r>
          </w:p>
        </w:tc>
      </w:tr>
    </w:tbl>
    <w:p/>
    <w:p>
      <w:pPr>
        <w:pStyle w:val="Heading2"/>
      </w:pPr>
      <w:r>
        <w:t>What the snapshot establishes</w:t>
      </w:r>
    </w:p>
    <w:p>
      <w:r>
        <w:t>All 12 architecture areas are represented in the inherited package. The ledger reports substantial target modules, including F3–F7 and Paper-v2, alongside active legacy paths. F9 and F10 remain fragmented. F6 lacks a proven approved calibrated model. No row in this snapshot establishes prospective user-value completion.</w:t>
      </w:r>
    </w:p>
    <w:p>
      <w:pPr>
        <w:pStyle w:val="Heading2"/>
      </w:pPr>
      <w:r>
        <w:t>What must be reconciled next</w:t>
      </w:r>
    </w:p>
    <w:p>
      <w:r>
        <w:t>The source set contains historical “Feature Bus off” wording alongside a later owner-authorized EVIDENCE_SHADOW profile statement. A shadow configuration is not decision authority or proof that the target path runs. Runtime truth must be re-observed at the exact deployed release before RUNTIME_ACTIVE or PROD_PROVEN is accepted.</w:t>
      </w:r>
    </w:p>
    <w:p>
      <w:r>
        <w:t>Likewise, healthy Freqtrade containers and a default Paper-v2 mode do not identify the live paper authority. The roadmap explicitly marks that observation incomplete. Preserve UNKNOWN_NEEDS_EVIDENCE until actual mode, routing and ledger evidence are reconciled.</w:t>
      </w:r>
    </w:p>
    <w:p>
      <w:pPr>
        <w:pStyle w:val="Heading2"/>
      </w:pPr>
      <w:r>
        <w:t>Reading the detailed scorecards</w:t>
      </w:r>
    </w:p>
    <w:p>
      <w:r>
        <w:t>The next pages state what is already reported, what needs revisit, what remains to build, the evidence to close it, authority and retirement conditions. Responsible roles describe ownership areas, not assigned people. All production and value claims require fresh evidence.</w:t>
      </w:r>
    </w:p>
    <w:p>
      <w:r>
        <w:br w:type="page"/>
      </w:r>
    </w:p>
    <w:p>
      <w:pPr>
        <w:pStyle w:val="Heading1"/>
      </w:pPr>
      <w:r>
        <w:t>12 Traceability for observation and qualification</w:t>
      </w:r>
    </w:p>
    <w:p>
      <w:pPr>
        <w:pStyle w:val="Heading2"/>
      </w:pPr>
      <w:r>
        <w:t>F1 Validated market observation</w:t>
      </w:r>
    </w:p>
    <w:p>
      <w:r>
        <w:t>Built baseline: Legacy market validation and full-market JSONL observation exist; FeatureSnapshot capture is separate. Architecture coverage: S1 F1 and sections 2–3; status: LEGACY_ACTIVE. [S3 F1]</w:t>
      </w:r>
    </w:p>
    <w:p>
      <w:r>
        <w:t>REVISIT: REFINE provenance, coverage and continuous capture. NEXT_GAP / TO BUILD: Observation owner unifies eligible market/account input into existing canonical contracts; retains gap and availability records.</w:t>
      </w:r>
    </w:p>
    <w:p>
      <w:r>
        <w:t>ACCEPTANCE_EVIDENCE / CUTOVER_BLOCKER: PIT and reconnect replay, consumer census, capture-to-snapshot lineage and runtime freshness proof; accepted parity is prerequisite to target capture ownership.</w:t>
      </w:r>
    </w:p>
    <w:p>
      <w:r>
        <w:t>AUTHORITY: Current scanner/observation services; target validated input through canonical ownership. RETIRE_AFTER: JSONL writer only after canonical capture, archive, consumer migration and rollback. Keep the underlying observation facts.</w:t>
      </w:r>
    </w:p>
    <w:p>
      <w:pPr>
        <w:pStyle w:val="Heading2"/>
      </w:pPr>
      <w:r>
        <w:t>F2 Shared Feature Bus</w:t>
      </w:r>
    </w:p>
    <w:p>
      <w:r>
        <w:t>Built baseline: Feature engine, publisher, parity and replay exist. R2 sealed replay/parity is recorded accepted; runtime decision authority remains absent. [S3 F2]</w:t>
      </w:r>
    </w:p>
    <w:p>
      <w:r>
        <w:t>REVISIT: REFINE wiring and resolve historical mode statements. NEXT_GAP / TO BUILD: Feature owner supplies the intended snapshot source and proves bounded event-driven operation under the approved profile.</w:t>
      </w:r>
    </w:p>
    <w:p>
      <w:r>
        <w:t>ACCEPTANCE_EVIDENCE / CUTOVER_BLOCKER: Existing R2 contract plus snapshot-source wiring, warm-up/gap/restart and load evidence; mode flags alone do not pass.</w:t>
      </w:r>
    </w:p>
    <w:p>
      <w:r>
        <w:t>AUTHORITY: No current target decision authority; target one shared Feature Bus. RETIRE_AFTER: Duplicate technical calculations only after consumer census, parity acceptance and owner-approved cutover with rollback.</w:t>
      </w:r>
    </w:p>
    <w:p>
      <w:pPr>
        <w:pStyle w:val="Heading2"/>
      </w:pPr>
      <w:r>
        <w:t>F3 Stateful IGNITION detector</w:t>
      </w:r>
    </w:p>
    <w:p>
      <w:r>
        <w:t>Built baseline: app/opip/detectors/ignition.py is reported implemented in shadow/dormant mode, not wired to run_cycle. [S3 F3]</w:t>
      </w:r>
    </w:p>
    <w:p>
      <w:r>
        <w:t>REVISIT: REFINE runtime integration; preserve pure evaluation. NEXT_GAP / TO BUILD: Detector owner connects eligible snapshots and durable prior state to one claim stream.</w:t>
      </w:r>
    </w:p>
    <w:p>
      <w:r>
        <w:t>ACCEPTANCE_EVIDENCE / CUTOVER_BLOCKER: test_opip_r3_f3_ignition_detector.py plus deterministic replay, duplicate/out-of-order, restart and claim-lineage proof; no target snapshot source blocks cutover.</w:t>
      </w:r>
    </w:p>
    <w:p>
      <w:r>
        <w:t>AUTHORITY: IGNITION remains the sole detector family; no watcher creates a second detector. RETIRE_AFTER: Legacy explosion phase classifier after IGNITION owns transitions and all consumers move.</w:t>
      </w:r>
    </w:p>
    <w:p>
      <w:pPr>
        <w:pStyle w:val="Heading2"/>
      </w:pPr>
      <w:r>
        <w:t>F4 Opportunity lifecycle</w:t>
      </w:r>
    </w:p>
    <w:p>
      <w:r>
        <w:t>Built baseline: Target lifecycle/persistence modules exist; scan, entry-watch, radar, pending and timing ledgers remain fragmented. Status PARTIAL. [S3 F4]</w:t>
      </w:r>
    </w:p>
    <w:p>
      <w:r>
        <w:t>REVISIT: PARTIAL_REWORK episode identity, timing and alert eligibility. NEXT_GAP / TO BUILD: Lifecycle owner adds fresh qualification linkage, expiry enforcement and unified confirmation/contradiction records.</w:t>
      </w:r>
    </w:p>
    <w:p>
      <w:r>
        <w:t>ACCEPTANCE_EVIDENCE / CUTOVER_BLOCKER: PA-01–PA-04 and PA-06; one identity, terminal vocabulary and complete clock census; target claim source is prerequisite.</w:t>
      </w:r>
    </w:p>
    <w:p>
      <w:r>
        <w:t>AUTHORITY: Legacy scan currently owns admission; target one lifecycle over detector claims. RETIRE_AFTER: Parallel episode clocks after replacement, named stop time, archived history and consumer migration.</w:t>
      </w:r>
    </w:p>
    <w:p>
      <w:r>
        <w:br w:type="page"/>
      </w:r>
    </w:p>
    <w:p>
      <w:pPr>
        <w:pStyle w:val="Heading1"/>
      </w:pPr>
      <w:r>
        <w:t>13 Traceability for economics and paper execution</w:t>
      </w:r>
    </w:p>
    <w:p>
      <w:pPr>
        <w:pStyle w:val="Heading2"/>
      </w:pPr>
      <w:r>
        <w:t>F5 Feasibility and safety</w:t>
      </w:r>
    </w:p>
    <w:p>
      <w:r>
        <w:t>Built baseline: Legacy vetoes are active; target feasibility seam and evidence codec/event/reader exist in shadow. [S3 F5]</w:t>
      </w:r>
    </w:p>
    <w:p>
      <w:r>
        <w:t>REVISIT: REFINE fresh execution evidence at intended notional. NEXT_GAP / TO BUILD: Feasibility owner consolidates confirmation, liquidity, costs and explicit abstention without weakening existing vetoes.</w:t>
      </w:r>
    </w:p>
    <w:p>
      <w:r>
        <w:t>ACCEPTANCE_EVIDENCE / CUTOVER_BLOCKER: Frozen-candidate veto parity plus PA-06, PA-16 and PA-17; stale/missing evidence and SHORT/side coverage must be explicit.</w:t>
      </w:r>
    </w:p>
    <w:p>
      <w:r>
        <w:t>AUTHORITY: Existing deterministic gates retain authority until approved target seam cutover. RETIRE_AFTER: Duplicate gate adapters only after accepted parity and target admission proof; never remove live vetoes first.</w:t>
      </w:r>
    </w:p>
    <w:p>
      <w:pPr>
        <w:pStyle w:val="Heading2"/>
      </w:pPr>
      <w:r>
        <w:t>F6 Statistical forecast</w:t>
      </w:r>
    </w:p>
    <w:p>
      <w:r>
        <w:t>Built baseline: Forecast and evaluation/label modules exist in shadow; registry is recorded empty with NO_CALIBRATED_MODEL. [S3 F6]</w:t>
      </w:r>
    </w:p>
    <w:p>
      <w:r>
        <w:t>REVISIT: REFINE labels, calibration and eligible side coverage. NEXT_GAP / TO BUILD: Forecast/learning owner builds qualified prospective evidence and a reviewed calibrated artifact for declared horizons.</w:t>
      </w:r>
    </w:p>
    <w:p>
      <w:r>
        <w:t>ACCEPTANCE_EVIDENCE / CUTOVER_BLOCKER: Proper scoring, calibration, sealed chronological evaluation, uncertainty and version evidence; no qualifying model blocks allocation eligibility.</w:t>
      </w:r>
    </w:p>
    <w:p>
      <w:r>
        <w:t>AUTHORITY: F6 alone supplies approved probability; rank and LLM scores cannot substitute. RETIRE_AFTER: Misleading score-as-probability displays; preserve history and label old scores accurately.</w:t>
      </w:r>
    </w:p>
    <w:p>
      <w:pPr>
        <w:pStyle w:val="Heading2"/>
      </w:pPr>
      <w:r>
        <w:t>F7 Economic and portfolio selector</w:t>
      </w:r>
    </w:p>
    <w:p>
      <w:r>
        <w:t>Built baseline: Target selector/comparator exist dormant; legacy Top-8 and profit ranking still govern the scan. [S3 F7]</w:t>
      </w:r>
    </w:p>
    <w:p>
      <w:r>
        <w:t>REVISIT: REFINE cash comparison and capital-time economics. NEXT_GAP / TO BUILD: Selection owner proves target F3–F7 ranking against frozen legacy and cash on the same candidate panel.</w:t>
      </w:r>
    </w:p>
    <w:p>
      <w:r>
        <w:t>ACCEPTANCE_EVIDENCE / CUTOVER_BLOCKER: PA-05, PA-06 and SQ-07–SQ-10; matched economics, risk, uncertainty and atomic reservation; F6 readiness and intended admission path block cutover.</w:t>
      </w:r>
    </w:p>
    <w:p>
      <w:r>
        <w:t>AUTHORITY: Existing deterministic ranking/risk until separately approved target F7 ownership. RETIRE_AFTER: Top-8 and legacy ranking only after comparison, migration and rollback acceptance.</w:t>
      </w:r>
    </w:p>
    <w:p>
      <w:pPr>
        <w:pStyle w:val="Heading2"/>
      </w:pPr>
      <w:r>
        <w:t>F8 Realistic Paper v2</w:t>
      </w:r>
    </w:p>
    <w:p>
      <w:r>
        <w:t>Built baseline: Paper-v2 execution/quote/fill/ledger contracts exist; legacy Paper-v1 and Freqtrade paths remain. Exact live v2 mode is not proven. [S3 F8; S4]</w:t>
      </w:r>
    </w:p>
    <w:p>
      <w:r>
        <w:t>REVISIT: REFINE runtime evidence and target-signal linkage. NEXT_GAP / TO BUILD: Paper owner completes usefulness evidence, independent protection integration, drain and exact-mode reconciliation.</w:t>
      </w:r>
    </w:p>
    <w:p>
      <w:r>
        <w:t>ACCEPTANCE_EVIDENCE / CUTOVER_BLOCKER: G1–G6 plus existing paper contracts: feasible fills/fees/latency, no-fill/partial-fill, protection, zero legacy obligations, metadata and rollback. Ledger records no pending-limit state machine or short engine; do not imply those capabilities.</w:t>
      </w:r>
    </w:p>
    <w:p>
      <w:r>
        <w:t>AUTHORITY: Isolated paper only; no funded credentials or endpoints. RETIRE_AFTER: Legacy new enrollments, monitors and Freqtrade role in order, only after every open obligation is drained and evidence archived.</w:t>
      </w:r>
    </w:p>
    <w:p>
      <w:r>
        <w:br w:type="page"/>
      </w:r>
    </w:p>
    <w:p>
      <w:pPr>
        <w:pStyle w:val="Heading1"/>
      </w:pPr>
      <w:r>
        <w:t>14 Traceability for learning and operator trust</w:t>
      </w:r>
    </w:p>
    <w:p>
      <w:pPr>
        <w:pStyle w:val="Heading2"/>
      </w:pPr>
      <w:r>
        <w:t>F9 Outcomes and learning</w:t>
      </w:r>
    </w:p>
    <w:p>
      <w:r>
        <w:t>Built baseline: Canonical terminal outcomes, Phase3C, discovery outcomes and trade journals coexist; status PARTIAL. [S3 F9]</w:t>
      </w:r>
    </w:p>
    <w:p>
      <w:r>
        <w:t>REVISIT: PARTIAL_REWORK fact ownership and label consolidation. NEXT_GAP / TO BUILD: Learning owner unifies frozen expectations, mature outcomes, error, attribution and experiment dispositions as linked canonical facts/projections.</w:t>
      </w:r>
    </w:p>
    <w:p>
      <w:r>
        <w:t>ACCEPTANCE_EVIDENCE / CUTOVER_BLOCKER: PA-09–PA-12; outcome reconciliation, label maturity, cohort coverage, release alignment and post-change measurements. Split ownership blocks completion.</w:t>
      </w:r>
    </w:p>
    <w:p>
      <w:r>
        <w:t>AUTHORITY: Derived learning only; human-governed promotion. RETIRE_AFTER: Duplicate forward-label jobs after one fact owner is declared, projections match, consumers move and archives remain.</w:t>
      </w:r>
    </w:p>
    <w:p>
      <w:pPr>
        <w:pStyle w:val="Heading2"/>
      </w:pPr>
      <w:r>
        <w:t>F10 Decision cockpit</w:t>
      </w:r>
    </w:p>
    <w:p>
      <w:r>
        <w:t>Built baseline: Legacy dashboard/read model, Grafana cockpit, B/C-4 API and Profit Intelligence library exist; none covers the full eight-page experience. [S3 F10]</w:t>
      </w:r>
    </w:p>
    <w:p>
      <w:r>
        <w:t>REVISIT: PARTIAL_REWORK semantic consistency and fragmentation. NEXT_GAP / TO BUILD: Analytics/UI owners deliver section 8 pages and canonical drill-downs, uncertainty, entry validity, AI trust and expected/actual comparisons.</w:t>
      </w:r>
    </w:p>
    <w:p>
      <w:r>
        <w:t>ACCEPTANCE_EVIDENCE / CUTOVER_BLOCKER: PA-18–PA-19, canonical counts/P&amp;L fixtures, null/filter/timezone tests, watermark-consistent drill links and operator acceptance; absent source facts cannot be synthesized.</w:t>
      </w:r>
    </w:p>
    <w:p>
      <w:r>
        <w:t>AUTHORITY: Read-only semantic projections; saved views are preferences only. RETIRE_AFTER: Duplicate pages and legacy /dashboard after full query/consumer census, equivalent answers and rollback.</w:t>
      </w:r>
    </w:p>
    <w:p>
      <w:pPr>
        <w:pStyle w:val="Heading2"/>
      </w:pPr>
      <w:r>
        <w:t>F11 Independent protection</w:t>
      </w:r>
    </w:p>
    <w:p>
      <w:r>
        <w:t>Built baseline: Active-trade monitoring precedes discovery; target Paper-v2 sweep is recorded inside scan; Event Risk Shield is inactive. [S3 F11]</w:t>
      </w:r>
    </w:p>
    <w:p>
      <w:r>
        <w:t>REVISIT: PARTIAL_REWORK dependency isolation and guardian coverage. NEXT_GAP / TO BUILD: Protection owner proves independent scheduling/reserved capacity and complete observed-position coverage with read-only funded alerts.</w:t>
      </w:r>
    </w:p>
    <w:p>
      <w:r>
        <w:t>ACCEPTANCE_EVIDENCE / CUTOVER_BLOCKER: PA-13–PA-15; discovery/F6/F7/AI/UI outage and saturation drills; writer-failure semantics; stale account evidence. Independent target protection is a cutover blocker.</w:t>
      </w:r>
    </w:p>
    <w:p>
      <w:r>
        <w:t>AUTHORITY: Existing protection policy; funded observation/advice only. RETIRE_AFTER: No active protection retirement until replacement covers all open obligations and the open-position drill passes.</w:t>
      </w:r>
    </w:p>
    <w:p>
      <w:pPr>
        <w:pStyle w:val="Heading2"/>
      </w:pPr>
      <w:r>
        <w:t>F12 Advisory Committee</w:t>
      </w:r>
    </w:p>
    <w:p>
      <w:r>
        <w:t>Built baseline: Role/transport/registry, trust and weakness types exist in shadow; old activation proof had timer disabled and zero role results. [S3 F12]</w:t>
      </w:r>
    </w:p>
    <w:p>
      <w:r>
        <w:t>REVISIT: REFINE release/registry alignment and durable findings. NEXT_GAP / TO BUILD: Committee owner proves real bounded provider cycles, durable weakness records and prospective trust reports on an approved shadow release.</w:t>
      </w:r>
    </w:p>
    <w:p>
      <w:r>
        <w:t>ACCEPTANCE_EVIDENCE / CUTOVER_BLOCKER: PA-07–PA-08, provider failure/cost/deadline tests, role completeness and matched economics; stale release and unproven live cases block value claims.</w:t>
      </w:r>
    </w:p>
    <w:p>
      <w:r>
        <w:t>AUTHORITY: Asynchronous advisory only; no runtime trading authority. RETIRE_AFTER: No package retirement; routes change only via registry review. Preserve all attempts, costs, findings and superseded versions.</w:t>
      </w:r>
    </w:p>
    <w:p>
      <w:r>
        <w:br w:type="page"/>
      </w:r>
    </w:p>
    <w:p>
      <w:pPr>
        <w:pStyle w:val="Heading1"/>
      </w:pPr>
      <w:r>
        <w:t>15 Cross cutting traceability</w:t>
      </w:r>
    </w:p>
    <w:p>
      <w:r>
        <w:t>These rows extend the F-scorecards. Architecture coverage is explicit in this amendment but its adoption status must be recorded. Code, target wiring, runtime, production and user-value completion remain UNKNOWN unless the cited F-row provides narrower evidence. The accountable roles must attach acceptance manifests before closing a row.</w:t>
      </w:r>
    </w:p>
    <w:tbl>
      <w:tblPr>
        <w:tblW w:type="auto" w:w="0"/>
        <w:jc w:val="center"/>
        <w:tblLayout w:type="fixed"/>
        <w:tblLook w:firstColumn="1" w:firstRow="1" w:lastColumn="0" w:lastRow="0" w:noHBand="0" w:noVBand="1" w:val="04A0"/>
      </w:tblPr>
      <w:tblGrid>
        <w:gridCol w:w="3096"/>
        <w:gridCol w:w="3528"/>
        <w:gridCol w:w="3600"/>
      </w:tblGrid>
      <w:tr>
        <w:trPr>
          <w:cantSplit/>
          <w:tblHeader/>
        </w:trPr>
        <w:tc>
          <w:tcPr>
            <w:tcW w:type="dxa" w:w="309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Requirement and built baseline</w:t>
            </w:r>
          </w:p>
        </w:tc>
        <w:tc>
          <w:tcPr>
            <w:tcW w:type="dxa" w:w="3528"/>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Revisit and remaining work</w:t>
            </w:r>
          </w:p>
        </w:tc>
        <w:tc>
          <w:tcPr>
            <w:tcW w:type="dxa" w:w="360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Evidence and authority</w:t>
            </w:r>
          </w:p>
        </w:tc>
      </w:tr>
      <w:tr>
        <w:trPr>
          <w:cantSplit/>
        </w:trPr>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X1 Continuous sensing</w:t>
              <w:br/>
              <w:t>Existing observation, entry-watch and stream pieces; full target unproven.</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F1/F4/F11 event triggers, debouncing, freshness and bounded queues.</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PA-03, PA-14–PA-17; stream-gap and saturation proof. Canonical input only; retire redundant polling only after fallback parity.</w:t>
            </w:r>
          </w:p>
        </w:tc>
      </w:tr>
      <w:tr>
        <w:trPr>
          <w:cantSplit/>
        </w:trPr>
        <w:tc>
          <w:tcPr>
            <w:tcW w:type="dxa" w:w="309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X2 Kraken guardian</w:t>
              <w:br/>
              <w:t>Reconciliation/protection pieces; complete account coverage unproven.</w:t>
            </w:r>
          </w:p>
        </w:tc>
        <w:tc>
          <w:tcPr>
            <w:tcW w:type="dxa" w:w="352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coverage ledger, snapshot reconciliation, incident routing and funded read-only boundary.</w:t>
            </w:r>
          </w:p>
        </w:tc>
        <w:tc>
          <w:tcPr>
            <w:tcW w:type="dxa" w:w="360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PA-13–PA-15 plus account fixtures and zero funded-write proof. No retirement before every observed obligation is covered.</w:t>
            </w:r>
          </w:p>
        </w:tc>
      </w:tr>
      <w:tr>
        <w:trPr>
          <w:cantSplit/>
        </w:trPr>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X3 External intelligence</w:t>
              <w:br/>
              <w:t>News/social fit inherited design; first-class on-chain completion unproven.</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existing adapters; TO BUILD optional on-chain evidence only if its incremental value is demonstrated.</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PA-16–PA-17; source/availability/revision and relevance tests. Evidence adapter only; no whale engine or mandatory universal source.</w:t>
            </w:r>
          </w:p>
        </w:tc>
      </w:tr>
      <w:tr>
        <w:trPr>
          <w:cantSplit/>
        </w:trPr>
        <w:tc>
          <w:tcPr>
            <w:tcW w:type="dxa" w:w="309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X4 Precision alerting</w:t>
              <w:br/>
              <w:t>Legacy trade cards; decision-first system incident wording exists.</w:t>
            </w:r>
          </w:p>
        </w:tc>
        <w:tc>
          <w:tcPr>
            <w:tcW w:type="dxa" w:w="352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PARTIAL_REWORK eligibility and canonical disposition rendering; new qualification for renewed candidates.</w:t>
            </w:r>
          </w:p>
        </w:tc>
        <w:tc>
          <w:tcPr>
            <w:tcW w:type="dxa" w:w="360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PA-01–PA-06; SQ-01–SQ-03. No alert creates a decision; retire template only after trace parity and staged rollout.</w:t>
            </w:r>
          </w:p>
        </w:tc>
      </w:tr>
      <w:tr>
        <w:trPr>
          <w:cantSplit/>
        </w:trPr>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X5 Expected actual attribution</w:t>
              <w:br/>
              <w:t>F9 and Committee types exist across split stores.</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PARTIAL_REWORK frozen expectations, full populations, causal classes and durable experiment linkage.</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PA-09–PA-12; attribution evidence and reconciliation. One outcome history; retire duplicate labels after migration.</w:t>
            </w:r>
          </w:p>
        </w:tc>
      </w:tr>
      <w:tr>
        <w:trPr>
          <w:cantSplit/>
        </w:trPr>
        <w:tc>
          <w:tcPr>
            <w:tcW w:type="dxa" w:w="309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X6 Usefulness and cutover</w:t>
              <w:br/>
              <w:t>Engineering gates exist; new prospective acceptance not proven.</w:t>
            </w:r>
          </w:p>
        </w:tc>
        <w:tc>
          <w:tcPr>
            <w:tcW w:type="dxa" w:w="352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TO BUILD registered comparison, stopping rules, operator evaluation and gate evaluator.</w:t>
            </w:r>
          </w:p>
        </w:tc>
        <w:tc>
          <w:tcPr>
            <w:tcW w:type="dxa" w:w="360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PA-20 and SQ-01–SQ-10; all G1–G6 pass and owner approval. No automatic activation or funded scope.</w:t>
            </w:r>
          </w:p>
        </w:tc>
      </w:tr>
      <w:tr>
        <w:trPr>
          <w:cantSplit/>
        </w:trPr>
        <w:tc>
          <w:tcPr>
            <w:tcW w:type="dxa" w:w="30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X7 Release and evidence integrity</w:t>
              <w:br/>
              <w:t>Control-plane and replica mechanisms are recorded.</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exact-release/runtime evidence, worker alignment, notional and watermarks.</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Existing release contracts plus PA-13/PA-18; drift fails closed. Preserve rollback and historical release evidence.</w:t>
            </w:r>
          </w:p>
        </w:tc>
      </w:tr>
    </w:tbl>
    <w:p/>
    <w:p>
      <w:r>
        <w:t>Shared CUTOVER_BLOCKER: unmet mapped acceptance, unknown runtime identity, missing source facts or missing adoption/owner decision. Shared RETIRE_AFTER: no deletion until replacement proof, consumer census, drain where applicable, archive and rollback are accepted. This document proposes no immediate retirement.</w:t>
      </w:r>
    </w:p>
    <w:p>
      <w:r>
        <w:br w:type="page"/>
      </w:r>
    </w:p>
    <w:p>
      <w:pPr>
        <w:pStyle w:val="Heading1"/>
      </w:pPr>
      <w:r>
        <w:t>16 Delivery sequence and closure criteria</w:t>
      </w:r>
    </w:p>
    <w:tbl>
      <w:tblPr>
        <w:tblW w:type="auto" w:w="0"/>
        <w:jc w:val="center"/>
        <w:tblLayout w:type="fixed"/>
        <w:tblLook w:firstColumn="1" w:firstRow="1" w:lastColumn="0" w:lastRow="0" w:noHBand="0" w:noVBand="1" w:val="04A0"/>
      </w:tblPr>
      <w:tblGrid>
        <w:gridCol w:w="1944"/>
        <w:gridCol w:w="4104"/>
        <w:gridCol w:w="4176"/>
      </w:tblGrid>
      <w:tr>
        <w:trPr>
          <w:cantSplit/>
          <w:tblHeader/>
        </w:trPr>
        <w:tc>
          <w:tcPr>
            <w:tcW w:type="dxa" w:w="1944"/>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Order</w:t>
            </w:r>
          </w:p>
        </w:tc>
        <w:tc>
          <w:tcPr>
            <w:tcW w:type="dxa" w:w="4104"/>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Bounded work</w:t>
            </w:r>
          </w:p>
        </w:tc>
        <w:tc>
          <w:tcPr>
            <w:tcW w:type="dxa" w:w="417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Exit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 Stabilize current release</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Finish incident/release recovery and exact production-state diagnosis; resolve runtime-verifier deadline issue within its existing scope.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Exact release and health evidence; successful authorized EVIDENCE_SHADOW deployment; evidence/notional/watermark checks; matching learning worker.</w:t>
            </w:r>
          </w:p>
        </w:tc>
      </w:tr>
      <w:tr>
        <w:trPr>
          <w:cantSplit/>
        </w:trPr>
        <w:tc>
          <w:tcPr>
            <w:tcW w:type="dxa" w:w="194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 Adopt the amendment</w:t>
            </w:r>
          </w:p>
        </w:tc>
        <w:tc>
          <w:tcPr>
            <w:tcW w:type="dxa" w:w="41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Preserve v1.4.3; record v1.4.4 identity, clause mapping and ATDD contracts.</w:t>
            </w:r>
          </w:p>
        </w:tc>
        <w:tc>
          <w:tcPr>
            <w:tcW w:type="dxa" w:w="417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Owner adoption record, source hash, acceptance inventory and named accountable roles. No runtime change.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3 Recover signal quality</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Refine F4/F5/F7 timing, confirmation, contradictions, cash and precision alerting.</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PA-01–PA-06 and registered prospective signal cohort; no second spine.</w:t>
            </w:r>
          </w:p>
        </w:tc>
      </w:tr>
      <w:tr>
        <w:trPr>
          <w:cantSplit/>
        </w:trPr>
        <w:tc>
          <w:tcPr>
            <w:tcW w:type="dxa" w:w="194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4 Build operator visibility</w:t>
            </w:r>
          </w:p>
        </w:tc>
        <w:tc>
          <w:tcPr>
            <w:tcW w:type="dxa" w:w="41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Deliver F10 with its semantic read model; refine continuous/account guardian contracts.</w:t>
            </w:r>
          </w:p>
        </w:tc>
        <w:tc>
          <w:tcPr>
            <w:tcW w:type="dxa" w:w="417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PA-13–PA-19; canonical reconciliation, independent protection and operator inspection evidence.</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5 Consolidate experience</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Unify F9 expectations/outcomes/attribution; mature F6 and bounded Committee evidence.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PA-07–PA-12; full cohort, model/registry provenance, trust reports and post-change learning evidence.</w:t>
            </w:r>
          </w:p>
        </w:tc>
      </w:tr>
      <w:tr>
        <w:trPr>
          <w:cantSplit/>
        </w:trPr>
        <w:tc>
          <w:tcPr>
            <w:tcW w:type="dxa" w:w="194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6 Decide paper cutover</w:t>
            </w:r>
          </w:p>
        </w:tc>
        <w:tc>
          <w:tcPr>
            <w:tcW w:type="dxa" w:w="41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Evaluate prospective usefulness and all inherited Paper-v2 prerequisites.</w:t>
            </w:r>
          </w:p>
        </w:tc>
        <w:tc>
          <w:tcPr>
            <w:tcW w:type="dxa" w:w="417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G1–G6 PASS, exact release and drain/rollback evidence, separate owner activation decision.</w:t>
            </w:r>
          </w:p>
        </w:tc>
      </w:tr>
    </w:tbl>
    <w:p/>
    <w:p>
      <w:pPr>
        <w:pStyle w:val="Heading2"/>
      </w:pPr>
      <w:r>
        <w:t>Completion checklist for a release</w:t>
      </w:r>
    </w:p>
    <w:p>
      <w:r>
        <w:t>A release closes a requirement only when its ID maps to an implementation revision, passing acceptance artifact, intended wiring evidence, observed runtime/configuration where relevant and economic/operator evidence where required. Record the evidence owner, timestamp, population and limitations. A merged PR alone cannot close runtime or value dimensions.</w:t>
      </w:r>
    </w:p>
    <w:p>
      <w:r>
        <w:t>Update scorecards append-only with a supersedes link and reason. A later contradiction reopens the relevant dimension without erasing prior acceptance. Stale evidence must be marked stale and revalidated for the new release. An architecture clause can be complete while its implementation and user-value fields remain open.</w:t>
      </w:r>
    </w:p>
    <w:p>
      <w:pPr>
        <w:pStyle w:val="Heading2"/>
      </w:pPr>
      <w:r>
        <w:t>Scope of this deliverable</w:t>
      </w:r>
    </w:p>
    <w:p>
      <w:r>
        <w:t>This DOCX defines the focused amendment and acceptance requirements. Appendix scenarios are specifications for implementation and review, not a claim that executable tests were added or run. No repository authority file, application code, deployed service, timer, policy, trade control or funded account is changed by creating the document.</w:t>
      </w:r>
    </w:p>
    <w:p>
      <w:r>
        <w:br w:type="page"/>
      </w:r>
    </w:p>
    <w:p>
      <w:pPr>
        <w:pStyle w:val="Heading1"/>
      </w:pPr>
      <w:r>
        <w:t>Appendix A Precision agent acceptance contract</w:t>
      </w:r>
    </w:p>
    <w:p>
      <w:r>
        <w:t>Contract: ATDD-OPIP-PRECISION-AGENT-v1. Status: requirements specified; implementation/test execution pending. These scenarios supplement existing contracts. They do not replace regression coverage or broaden release authority. Stable IDs below map to sections 2–9 and scorecards X1–X7.</w:t>
      </w:r>
    </w:p>
    <w:p>
      <w:pPr>
        <w:pStyle w:val="Heading2"/>
      </w:pPr>
      <w:r>
        <w:t>PA-01 Suppress nonactionable trade alerts</w:t>
      </w:r>
    </w:p>
    <w:p>
      <w:r>
        <w:t>Given a candidate in each of REJECTED, NO_ACTION, LATE_EXTENSION, EXPIRED and MISSED_ENTRY, When the normal trade-alert route renders or retries it, Then no actionable trade card is emitted; a diagnostic/watch item, if allowed, is clearly nonactionable and references its canonical reason.</w:t>
      </w:r>
    </w:p>
    <w:p>
      <w:r>
        <w:t>Acceptance evidence: Parameterized renderer and end-to-end delivery-ledger assertions for each state, including queued/retried alerts after expiry. Maps F4/F10, X4.</w:t>
      </w:r>
    </w:p>
    <w:p>
      <w:pPr>
        <w:pStyle w:val="Heading2"/>
      </w:pPr>
      <w:r>
        <w:t>PA-02 Require fresh qualification</w:t>
      </w:r>
    </w:p>
    <w:p>
      <w:r>
        <w:t>Given a previously rejected or expired episode and a later market change, When the candidate is reconsidered, Then actionability requires a new decision ID, cutoff, evidence and current gates linked to the old episode. Reusing the prior approval/rejection cannot authorize a new alert.</w:t>
      </w:r>
    </w:p>
    <w:p>
      <w:r>
        <w:t>Acceptance evidence: Old/new immutable record comparison; duplicate retry and supersession tests. Maps F4, X4.</w:t>
      </w:r>
    </w:p>
    <w:p>
      <w:pPr>
        <w:pStyle w:val="Heading2"/>
      </w:pPr>
      <w:r>
        <w:t>PA-03 Preserve timing and validity</w:t>
      </w:r>
    </w:p>
    <w:p>
      <w:r>
        <w:t>Given an episode with discovery, qualification, actionable and expiry instants plus alert emission/delivery evidence, When processing delay, clock anomalies or missing delivery telemetry occurs, Then lateness and latency use declared time semantics; unknown timing stays unknown, and expired entries never become current through formatting.</w:t>
      </w:r>
    </w:p>
    <w:p>
      <w:r>
        <w:t>Acceptance evidence: Deterministic clock fixtures, cutoff boundaries and delayed delivery cases; field-level lineage. Maps F1/F4, X1/X4.</w:t>
      </w:r>
    </w:p>
    <w:p>
      <w:pPr>
        <w:pStyle w:val="Heading2"/>
      </w:pPr>
      <w:r>
        <w:t>PA-04 Include cash and avoid forced selection</w:t>
      </w:r>
    </w:p>
    <w:p>
      <w:r>
        <w:t>Given no economically sufficient eligible candidate, When F7 ranks the panel with cash/no-trade, Then NO_TRADE can win even if an alert quota or attractive raw score exists. Repeated evaluations remain deterministic.</w:t>
      </w:r>
    </w:p>
    <w:p>
      <w:r>
        <w:t>Acceptance evidence: Zero-candidate, all-rejected and weak-positive panels, with selection reasons and unchanged risk controls. Maps F7, X6.</w:t>
      </w:r>
    </w:p>
    <w:p>
      <w:pPr>
        <w:pStyle w:val="Heading2"/>
      </w:pPr>
      <w:r>
        <w:t>PA-05 Select constrained economic value</w:t>
      </w:r>
    </w:p>
    <w:p>
      <w:r>
        <w:t>Given candidates with different net economics, capital occupancy, downside and costs, When F7 compares the same frozen panel against the legacy baseline and cash, Then selection follows approved economics and constraints, never volume of alerts or an uncalibrated score. A short duration cannot bypass minimum advantage.</w:t>
      </w:r>
    </w:p>
    <w:p>
      <w:r>
        <w:t>Acceptance evidence: Matched comparator fixtures, costs and uncertainty, constraint failures and deterministic tie rules. Maps F6/F7, X6.</w:t>
      </w:r>
    </w:p>
    <w:p>
      <w:r>
        <w:br w:type="page"/>
      </w:r>
    </w:p>
    <w:p>
      <w:pPr>
        <w:pStyle w:val="Heading1"/>
      </w:pPr>
      <w:r>
        <w:t>Appendix A Evidence and immutable experience</w:t>
      </w:r>
    </w:p>
    <w:p>
      <w:pPr>
        <w:pStyle w:val="Heading2"/>
      </w:pPr>
      <w:r>
        <w:t>PA-06 Require traceable qualification evidence</w:t>
      </w:r>
    </w:p>
    <w:p>
      <w:r>
        <w:t>Given a candidate with F5/F6/F7 evidence, applicable confirmation inputs and contradictions, When an input is absent, stale, wrong-notional or outside its cutoff, Then mandatory evidence fails closed; optional missing evidence is explicit and never favorable. Every actionable record links the accepted evidence and risk/entry validity.</w:t>
      </w:r>
    </w:p>
    <w:p>
      <w:r>
        <w:t>Acceptance evidence: Parameterized missingness, identity, freshness, notional and contradiction cases. Maps F4–F7, X3/X4.</w:t>
      </w:r>
    </w:p>
    <w:p>
      <w:pPr>
        <w:pStyle w:val="Heading2"/>
      </w:pPr>
      <w:r>
        <w:t>PA-07 Keep AI advisory</w:t>
      </w:r>
    </w:p>
    <w:p>
      <w:r>
        <w:t>Given a Committee result proposing a changed probability, position size, stop, risk limit, selection or authority, When it is validated, stored and displayed, Then no runtime control changes and no funded order operation is available. AI failure or opposition cannot become an unauthorized admission predicate.</w:t>
      </w:r>
    </w:p>
    <w:p>
      <w:r>
        <w:t>Acceptance evidence: Forbidden side-effect assertions on every control; output/schema rejection and timeout paths. Maps F12, X2.</w:t>
      </w:r>
    </w:p>
    <w:p>
      <w:pPr>
        <w:pStyle w:val="Heading2"/>
      </w:pPr>
      <w:r>
        <w:t>PA-08 Expose AI provenance and completeness</w:t>
      </w:r>
    </w:p>
    <w:p>
      <w:r>
        <w:t>Given a multi-role request with timeout, fallback, disagreement, invalid reference or late completion, When the result is persisted and displayed, Then role/model/version, evidence, timing, cost, attempts and incomplete/late status are visible. Late output cannot improve the earlier comparison or create consensus.</w:t>
      </w:r>
    </w:p>
    <w:p>
      <w:r>
        <w:t>Acceptance evidence: Provider fakes, bounded budget/deadline/concurrency tests and trace inspection. Maps F12/F10.</w:t>
      </w:r>
    </w:p>
    <w:p>
      <w:pPr>
        <w:pStyle w:val="Heading2"/>
      </w:pPr>
      <w:r>
        <w:t>PA-09 Freeze expectations before outcomes</w:t>
      </w:r>
    </w:p>
    <w:p>
      <w:r>
        <w:t>Given an eligible opportunity including a rejected or no-trade case, When its decision is committed before outcome maturity, Then expected values, horizon, cutoff, versions and hash are immutable. Missing expectations remain missing rather than being backfilled from the realized path.</w:t>
      </w:r>
    </w:p>
    <w:p>
      <w:r>
        <w:t>Acceptance evidence: Pre-outcome snapshot/hash, later-label access guard and chronology tests. Maps F9, X5.</w:t>
      </w:r>
    </w:p>
    <w:p>
      <w:pPr>
        <w:pStyle w:val="Heading2"/>
      </w:pPr>
      <w:r>
        <w:t>PA-10 Append actual outcomes safely</w:t>
      </w:r>
    </w:p>
    <w:p>
      <w:r>
        <w:t>Given a frozen expected record and actual fills/costs/outcomes, When events duplicate, arrive out of order, correct prior facts or retry after a crash, Then one canonical outcome history is produced without rewriting expectations or double-counting fills/costs. Corrections append explicit supersession.</w:t>
      </w:r>
    </w:p>
    <w:p>
      <w:r>
        <w:t>Acceptance evidence: Idempotency, partial-write recovery, replay and accounting reconciliation fixtures. Maps F8/F9, X5/X7.</w:t>
      </w:r>
    </w:p>
    <w:p>
      <w:r>
        <w:br w:type="page"/>
      </w:r>
    </w:p>
    <w:p>
      <w:pPr>
        <w:pStyle w:val="Heading1"/>
      </w:pPr>
      <w:r>
        <w:t>Appendix A Attribution and protection</w:t>
      </w:r>
    </w:p>
    <w:p>
      <w:pPr>
        <w:pStyle w:val="Heading2"/>
      </w:pPr>
      <w:r>
        <w:t>PA-11 Enforce causal confidence categories</w:t>
      </w:r>
    </w:p>
    <w:p>
      <w:r>
        <w:t>Given observed facts, supported mechanisms, speculative AI explanations and missing evidence, When an attribution is recorded or upgraded, Then only PROVEN, STRONGLY_SUPPORTED, HYPOTHESIS or UNKNOWN is used with supporting scope and references. An observed sequence or AI confidence alone cannot prove causality.</w:t>
      </w:r>
    </w:p>
    <w:p>
      <w:r>
        <w:t>Acceptance evidence: Claim validation, rejected unsupported upgrades, reviewer/supersession history and unknown residual cases. Maps F9/F12, X5.</w:t>
      </w:r>
    </w:p>
    <w:p>
      <w:pPr>
        <w:pStyle w:val="Heading2"/>
      </w:pPr>
      <w:r>
        <w:t>PA-12 Retain the full opportunity population</w:t>
      </w:r>
    </w:p>
    <w:p>
      <w:r>
        <w:t>Given TAKEN, REJECTED, MISSED, EXPIRED, NO_FILL and NO_TRADE episodes, When labels mature or coverage is incomplete, Then all remain in declared cohort counts, with pending/censored/insufficient states. Counterfactual policy and hindsight excursions stay separate from realized P&amp;L.</w:t>
      </w:r>
    </w:p>
    <w:p>
      <w:r>
        <w:t>Acceptance evidence: Population reconciliation, deduplication, horizon and censoring tests; no silent excluded losers or missing labels. Maps F9, X5/X6.</w:t>
      </w:r>
    </w:p>
    <w:p>
      <w:pPr>
        <w:pStyle w:val="Heading2"/>
      </w:pPr>
      <w:r>
        <w:t>PA-13 Protect independently of discovery</w:t>
      </w:r>
    </w:p>
    <w:p>
      <w:r>
        <w:t>Given open paper obligations and read-only funded observations, When discovery, F6, F7, Committee and dashboard are independently or jointly unavailable, Then approved protection/reconciliation continues. Writer failure blocks new fills/reservations and cannot produce a falsely committed exit; funded observation never invokes an order mutation.</w:t>
      </w:r>
    </w:p>
    <w:p>
      <w:r>
        <w:t>Acceptance evidence: Dependency outage matrix, writer outage and recovery drill, event/incident traces. Maps F11, X2/X7.</w:t>
      </w:r>
    </w:p>
    <w:p>
      <w:pPr>
        <w:pStyle w:val="Heading2"/>
      </w:pPr>
      <w:r>
        <w:t>PA-14 Prioritize existing positions</w:t>
      </w:r>
    </w:p>
    <w:p>
      <w:r>
        <w:t>Given concurrent protection, reconciliation, entry-watch, discovery and advisory workloads, When queues and resources reach the ratified saturation envelope, Then reserved protection capacity and priority hold; optional work is deferred or shed and recorded. Protection meets its frozen latency budget.</w:t>
      </w:r>
    </w:p>
    <w:p>
      <w:r>
        <w:t>Acceptance evidence: Sustained/burst load report at named hardware/configuration and measured latency. An unset budget is insufficient evidence. Maps F11, X1/X2.</w:t>
      </w:r>
    </w:p>
    <w:p>
      <w:pPr>
        <w:pStyle w:val="Heading2"/>
      </w:pPr>
      <w:r>
        <w:t>PA-15 Preserve single ownership</w:t>
      </w:r>
    </w:p>
    <w:p>
      <w:r>
        <w:t>Given multiple watchers, reconnects and overlapping event delivery, When they submit account/market changes, Then stable identities, typed intents and existing ownership prevent a second writer, allocator, detector or protection authority. Funded credentials remain read-only and isolated.</w:t>
      </w:r>
    </w:p>
    <w:p>
      <w:r>
        <w:t>Acceptance evidence: Concurrency and ownership tests, duplicate/out-of-order replay, account snapshot reconciliation and forbidden endpoint assertions. Maps F1/F11, X1/X2.</w:t>
      </w:r>
    </w:p>
    <w:p>
      <w:r>
        <w:br w:type="page"/>
      </w:r>
    </w:p>
    <w:p>
      <w:pPr>
        <w:pStyle w:val="Heading1"/>
      </w:pPr>
      <w:r>
        <w:t>Appendix A Point in time cockpit and cutover</w:t>
      </w:r>
    </w:p>
    <w:p>
      <w:pPr>
        <w:pStyle w:val="Heading2"/>
      </w:pPr>
      <w:r>
        <w:t>PA-16 Record external evidence eligibility</w:t>
      </w:r>
    </w:p>
    <w:p>
      <w:r>
        <w:t>Given news, social and on-chain observations, When evidence is ingested for qualification or Committee analysis, Then source identity/time, availability/receipt time, revision, content identity and cutoff eligibility are retained. Uncertain attribution or missing timing is explicit.</w:t>
      </w:r>
    </w:p>
    <w:p>
      <w:r>
        <w:t>Acceptance evidence: Each adapter family tested at exact cutoff and with invalid/missing provenance. Maps F1/F2/F12, X3.</w:t>
      </w:r>
    </w:p>
    <w:p>
      <w:pPr>
        <w:pStyle w:val="Heading2"/>
      </w:pPr>
      <w:r>
        <w:t>PA-17 Reject hindsight contamination</w:t>
      </w:r>
    </w:p>
    <w:p>
      <w:r>
        <w:t>Given an item dated before the cutoff but first available afterward, or a later correction/backfill, When an earlier decision is replayed, Then the item is ineligible for that decision. A new assessment may use it under a later cutoff without mutating prior evidence.</w:t>
      </w:r>
    </w:p>
    <w:p>
      <w:r>
        <w:t>Acceptance evidence: Availability-versus-source-time boundary fixtures, correction lineage and deterministic replay hash. Maps F2/F9, X3/X5.</w:t>
      </w:r>
    </w:p>
    <w:p>
      <w:pPr>
        <w:pStyle w:val="Heading2"/>
      </w:pPr>
      <w:r>
        <w:t>PA-18 Reconcile read only dashboard facts</w:t>
      </w:r>
    </w:p>
    <w:p>
      <w:r>
        <w:t>Given canonical fixtures with multiple fills, no-fills, unknown costs and incomplete outcomes, When the cockpit filters, aggregates, drills or rebuilds projections, Then counts and P&amp;L reconcile at a common watermark; unknown remains distinct from zero; no view action writes a trading fact or command.</w:t>
      </w:r>
    </w:p>
    <w:p>
      <w:r>
        <w:t>Acceptance evidence: Semantic/API/UI tests including join fan-out, stable pagination, nulls, AND/OR filters, timezone boundaries, saved-view migration and stale-watermark states. Maps F10, X7.</w:t>
      </w:r>
    </w:p>
    <w:p>
      <w:pPr>
        <w:pStyle w:val="Heading2"/>
      </w:pPr>
      <w:r>
        <w:t>PA-19 Expose a complete decision trace</w:t>
      </w:r>
    </w:p>
    <w:p>
      <w:r>
        <w:t>Given a qualified, expired, rejected and outcome-matured candidate plus partial AI results, When an operator opens its drill-down, Then the section 8 questions are answerable with expected/actual, uncertainty, entry validity, alternatives, protection and AI provenance. Facts, estimates, opinions, hypotheses and unknowns are distinct.</w:t>
      </w:r>
    </w:p>
    <w:p>
      <w:r>
        <w:t>Acceptance evidence: End-to-end trace links, screenshot/accessibility review and recorded operator acceptance. A displayed ordinal score cannot masquerade as probability. Maps F10, X4/X5.</w:t>
      </w:r>
    </w:p>
    <w:p>
      <w:pPr>
        <w:pStyle w:val="Heading2"/>
      </w:pPr>
      <w:r>
        <w:t>PA-20 Block Paper v2 without usefulness</w:t>
      </w:r>
    </w:p>
    <w:p>
      <w:r>
        <w:t>Given passing engineering checks but any G1–G6 gate failed, unknown, stale or unregistered, When target Paper-v2 activation is requested, Then activation is refused with a named blocker. Even all PASS results require separate owner approval for the exact release; funded execution remains unavailable.</w:t>
      </w:r>
    </w:p>
    <w:p>
      <w:r>
        <w:t>Acceptance evidence: Gate truth table covering each blocker, evidence identity mismatch, missing approval and positive paper-only authorization case. Maps F8, X6.</w:t>
      </w:r>
    </w:p>
    <w:p>
      <w:pPr>
        <w:pStyle w:val="Heading2"/>
      </w:pPr>
      <w:r>
        <w:t>Suite implementation handoff</w:t>
      </w:r>
    </w:p>
    <w:p>
      <w:r>
        <w:t>Reuse existing detector, feasibility, forecast, selector, paper, Committee and B/C-4 fixtures. Bind each PA ID to an executable test and acceptance artifact at an exact revision. Run boundary/failure cases as well as success cases; retain existing CI contracts. Do not mark these scenarios implemented merely because the specification is present.</w:t>
      </w:r>
    </w:p>
    <w:p>
      <w:r>
        <w:br w:type="page"/>
      </w:r>
    </w:p>
    <w:p>
      <w:pPr>
        <w:pStyle w:val="Heading1"/>
      </w:pPr>
      <w:r>
        <w:t>Appendix B Signal quality measurement contract</w:t>
      </w:r>
    </w:p>
    <w:p>
      <w:r>
        <w:t>Contract: ATDD-OPIP-SIGNAL-QUALITY-v1. Every metric requires a semantic version, population, numerator/denominator, horizon, units, time basis, evidence references and missingness. Use the same eligible panel for target, frozen legacy and cash; retain no-action cases. SQ IDs below define required measurements and tests.</w:t>
      </w:r>
    </w:p>
    <w:tbl>
      <w:tblPr>
        <w:tblW w:type="auto" w:w="0"/>
        <w:jc w:val="center"/>
        <w:tblLayout w:type="fixed"/>
        <w:tblLook w:firstColumn="1" w:firstRow="1" w:lastColumn="0" w:lastRow="0" w:noHBand="0" w:noVBand="1" w:val="04A0"/>
      </w:tblPr>
      <w:tblGrid>
        <w:gridCol w:w="2736"/>
        <w:gridCol w:w="7488"/>
      </w:tblGrid>
      <w:tr>
        <w:trPr>
          <w:cantSplit/>
          <w:tblHeader/>
        </w:trPr>
        <w:tc>
          <w:tcPr>
            <w:tcW w:type="dxa" w:w="273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and metric</w:t>
            </w:r>
          </w:p>
        </w:tc>
        <w:tc>
          <w:tcPr>
            <w:tcW w:type="dxa" w:w="7488"/>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Definition and acceptance scenario</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SQ-01 Discovery before move</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candidate_detected_before_move: Given a preregistered move threshold/onset rule, compare discovery against first eligible observed onset. Report proportion/count and unresolved cases. Do not choose the threshold after seeing winners.</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SQ-02 Validity and lateness</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entry_actionable_at_alert: entry policy valid and all mandatory gates pass at emission, with observed delivery validity separately. entry_lateness = alert time minus the registered latest valid entry time; positive means late. Also show time from first valid entry and price extension; do not collapse them.</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SQ-03 Confirmation delay</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Measure discovery-to-qualification, qualification-to-actionable and actionable-to-alert durations versus remaining validity. Inject slow analysis, missing delivery time and expiry; late output must not renew actionability.</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SQ-04 Post alert excursions</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MFE_after_alert and MAE_after_alert use the declared side, reference price, window and retained price resolution. For LONG, MFE = max(P/P0 − 1); MAE = min(P/P0 − 1), including t0. Side-aware SHORT rules are separate. Unknown ordering/resolution stays explicit; these are hindsight diagnostics.</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SQ-05 Target and exit outcomes</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Track TP1, TP2, stop, timeout, risk exit and no/partial/full fill under one declared execution policy. Same-bar target/stop ambiguity cannot be called a win; require resolvable order or declared conservative/unknown treatment. No-fill is not a losing fill.</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SQ-06 Net economics and occupancy</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Reconcile net P&amp;L after costs, realized reward/risk using frozen planned risk (undefined at zero/unknown risk), time-to-profit, holding duration and capital-hours. Deduct embedded costs once. Show operating costs separately and compare incremental operating net.</w:t>
            </w:r>
          </w:p>
        </w:tc>
      </w:tr>
    </w:tbl>
    <w:p/>
    <w:p>
      <w:pPr>
        <w:pStyle w:val="Heading2"/>
      </w:pPr>
      <w:r>
        <w:t>Measurement guardrails</w:t>
      </w:r>
    </w:p>
    <w:p>
      <w:r>
        <w:t>A metric is not a pass threshold. None of these measures alone proves profit or causal improvement. Report cohort size, maturity, uncertainty and performance by regime, liquidity, side and independent time window. Timestamp uncertainty and unavailable path resolution restrict what can be concluded.</w:t>
      </w:r>
    </w:p>
    <w:p>
      <w:r>
        <w:t>MFE/MAE are not executable returns; “best possible exit” remains hindsight. For unfilled or rejected candidates, use the registered reference and horizon, label the population, and keep hypothetical policy results separate from realized paper economics.</w:t>
      </w:r>
    </w:p>
    <w:p>
      <w:r>
        <w:br w:type="page"/>
      </w:r>
    </w:p>
    <w:p>
      <w:pPr>
        <w:pStyle w:val="Heading1"/>
      </w:pPr>
      <w:r>
        <w:t>Appendix B Prospective usefulness acceptance</w:t>
      </w:r>
    </w:p>
    <w:tbl>
      <w:tblPr>
        <w:tblW w:type="auto" w:w="0"/>
        <w:jc w:val="center"/>
        <w:tblLayout w:type="fixed"/>
        <w:tblLook w:firstColumn="1" w:firstRow="1" w:lastColumn="0" w:lastRow="0" w:noHBand="0" w:noVBand="1" w:val="04A0"/>
      </w:tblPr>
      <w:tblGrid>
        <w:gridCol w:w="2736"/>
        <w:gridCol w:w="7488"/>
      </w:tblGrid>
      <w:tr>
        <w:trPr>
          <w:cantSplit/>
          <w:tblHeader/>
        </w:trPr>
        <w:tc>
          <w:tcPr>
            <w:tcW w:type="dxa" w:w="2736"/>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Test and metric</w:t>
            </w:r>
          </w:p>
        </w:tc>
        <w:tc>
          <w:tcPr>
            <w:tcW w:type="dxa" w:w="7488"/>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Definition and acceptance scenario</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SQ-07 Rank and alternatives</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best_candidate_rank records ex ante F7 ordering in the observed eligible panel, including cash. Compare against later declared-policy outcomes without rewriting the original rank. “Best” cannot imply unseen market coverage.</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SQ-08 Missed opportunity</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missed_better_opportunity and rejected_winner require a preregistered feasible reference policy, timing, costs and capital/risk limits. Compute opportunity cost under that policy on matched eligible cases. Unobserved opportunities remain unknown; do not count mutually incompatible trades as simultaneously attainable.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SQ-09 False positives and no trade</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late_false_positive combines late/invalid presentation with a registered unfavorable outcome; retain separate lateness and outcome rates. no_trade_correctness compares cash to the feasible frozen alternatives over a fixed horizon. Zero alerts is not automatically success; a rejected winner is not automatically proof the veto was wrong.</w:t>
            </w:r>
          </w:p>
        </w:tc>
      </w:tr>
      <w:tr>
        <w:trPr>
          <w:cantSplit/>
        </w:trPr>
        <w:tc>
          <w:tcPr>
            <w:tcW w:type="dxa" w:w="2736"/>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SQ-10 Prospective usefulness gate</w:t>
            </w:r>
          </w:p>
        </w:tc>
        <w:tc>
          <w:tcPr>
            <w:tcW w:type="dxa" w:w="7488"/>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Given sealed preregistration and matched target/legacy/cash cohorts, evaluate frozen economic, timing, operator, integrity and protection criteria. All costs and unresolved populations remain visible. Missing thresholds, insufficient sample or failed guardrails cannot pass G1–G6.</w:t>
            </w:r>
          </w:p>
        </w:tc>
      </w:tr>
    </w:tbl>
    <w:p/>
    <w:p>
      <w:pPr>
        <w:pStyle w:val="Heading2"/>
      </w:pPr>
      <w:r>
        <w:t>Required evaluation manifest</w:t>
      </w:r>
    </w:p>
    <w:p>
      <w:r>
        <w:t>Record evaluation ID; registration timestamp/hash; business and technical owners; target/baseline/code/config/model/prompt versions; intended admission path; universe and eligibility; start/end or event-count stopping condition; execution/accounting version; notional and risk limits; primary and secondary outcomes; cost allocation; sample/maturity requirements; effect threshold; uncertainty method; guardrails; cohort manifest and consumed watermarks.</w:t>
      </w:r>
    </w:p>
    <w:p>
      <w:r>
        <w:t>Preregister missing-data/censoring treatment, independent time/regime splits, multiple-comparison control where applicable and conditions for early safety stop. A favorable slice cannot replace the full registered cohort. Any retrospective exploratory finding is labeled exploratory and requires a new prospective test.</w:t>
      </w:r>
    </w:p>
    <w:p>
      <w:pPr>
        <w:pStyle w:val="Heading2"/>
      </w:pPr>
      <w:r>
        <w:t>Acceptance artifacts and verdict</w:t>
      </w:r>
    </w:p>
    <w:p>
      <w:r>
        <w:t>Produce a versioned metric table, population reconciliation, baseline comparison, uncertainty report, cost ledger, failure/coverage register, operator review and machine-readable G1–G6 verdicts. Attach them to requirement IDs, source revision and evidence watermark. Report FAIL or INSUFFICIENT_EVIDENCE with exact reasons; retain every stopped or superseded evaluation.</w:t>
      </w:r>
    </w:p>
    <w:p>
      <w:pPr>
        <w:pStyle w:val="Heading2"/>
      </w:pPr>
      <w:r>
        <w:t>Economic and operator decision</w:t>
      </w:r>
    </w:p>
    <w:p>
      <w:r>
        <w:t>The owner judges material improvement against the preregistered criteria: timely executable entries, risk-adjusted net economics, inspectability, coverage and protection. Positive directional accuracy or attractive gross MFE cannot override negative net economics, poor timing, unresolved evidence or a failed safety gate. Approval concerns isolated paper authority only.</w:t>
      </w:r>
    </w:p>
    <w:p>
      <w:r>
        <w:br w:type="page"/>
      </w:r>
    </w:p>
    <w:p>
      <w:pPr>
        <w:pStyle w:val="Heading1"/>
      </w:pPr>
      <w:r>
        <w:t>Appendix C Source register and adoption record</w:t>
      </w:r>
    </w:p>
    <w:p>
      <w:r>
        <w:t>The following identifiers make the amendment and scorecard reproducible. Repository references below use OHM-Trade-Agent-v1/docs/architecture/ relative to the repository root, at pin 315716aa82f004bd5ec863f8cfe36a6efed2079c. These are evidence references, not claims about today’s deployed state.</w:t>
      </w:r>
    </w:p>
    <w:tbl>
      <w:tblPr>
        <w:tblW w:type="auto" w:w="0"/>
        <w:jc w:val="center"/>
        <w:tblLayout w:type="fixed"/>
        <w:tblLook w:firstColumn="1" w:firstRow="1" w:lastColumn="0" w:lastRow="0" w:noHBand="0" w:noVBand="1" w:val="04A0"/>
      </w:tblPr>
      <w:tblGrid>
        <w:gridCol w:w="720"/>
        <w:gridCol w:w="9504"/>
      </w:tblGrid>
      <w:tr>
        <w:trPr>
          <w:cantSplit/>
          <w:tblHeader/>
        </w:trPr>
        <w:tc>
          <w:tcPr>
            <w:tcW w:type="dxa" w:w="720"/>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ID</w:t>
            </w:r>
          </w:p>
        </w:tc>
        <w:tc>
          <w:tcPr>
            <w:tcW w:type="dxa" w:w="9504"/>
            <w:vAlign w:val="center"/>
            <w:shd w:fill="243F5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Source and use</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S1</w:t>
            </w:r>
          </w:p>
        </w:tc>
        <w:tc>
          <w:tcPr>
            <w:tcW w:type="dxa" w:w="95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v1.4.3/OPIP_Profit_Intelligence_Architecture_v1_4_3.docx. Authoritative body dated 22 September 2026. Owner copy read and SHA256 verified: ab494a19867831deb43087af2820bbb8eac7e3b310c6b0dab9c3f17d3c93ce83; 84,643 bytes. Inherited authority, F1–F12 and sections 1–21.</w:t>
            </w:r>
          </w:p>
        </w:tc>
      </w:tr>
      <w:tr>
        <w:trPr>
          <w:cantSplit/>
        </w:trPr>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S2</w:t>
            </w:r>
          </w:p>
        </w:tc>
        <w:tc>
          <w:tcPr>
            <w:tcW w:type="dxa" w:w="95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v1.4.3/SOURCE.md and CURRENT_ARCHITECTURE_STATUS.md at the repository pin. Establish source identity, historical/reconciled revision distinctions and non-activation rules.</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S3</w:t>
            </w:r>
          </w:p>
        </w:tc>
        <w:tc>
          <w:tcPr>
            <w:tcW w:type="dxa" w:w="95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OPIP_CONFORMANCE_LEDGER.md at the repository pin. Reconciled code baseline a808e84ffc2fea4912cfa5592927d1afe2956568, dated 3 October 2026. F-row status and implementation/test pointers are source-reported; tests were not rerun for this document.</w:t>
            </w:r>
          </w:p>
        </w:tc>
      </w:tr>
      <w:tr>
        <w:trPr>
          <w:cantSplit/>
        </w:trPr>
        <w:tc>
          <w:tcPr>
            <w:tcW w:type="dxa" w:w="720"/>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S4</w:t>
            </w:r>
          </w:p>
        </w:tc>
        <w:tc>
          <w:tcPr>
            <w:tcW w:type="dxa" w:w="9504"/>
            <w:vAlign w:val="center"/>
            <w:shd w:fill="F1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OPIP_RECOVERY_ROADMAP.md and OPIP_RETIREMENT_LEDGER.md at the repository pin. Migration dependencies, live paper-authority uncertainty, consumer census, drain, archive and rollback requirements.</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S5</w:t>
            </w:r>
          </w:p>
        </w:tc>
        <w:tc>
          <w:tcPr>
            <w:tcW w:type="dxa" w:w="95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Item 7 Completion Verification, conversation 6abeed3a-e4bc-83ea-9d23-3b0c19a73cea, retrieved 4 October 2026. Agreed precision objective, operating model, learning loop, scorecard fields and two ATDD contracts. Chat implementation estimates are not completion proof.</w:t>
            </w:r>
          </w:p>
        </w:tc>
      </w:tr>
    </w:tbl>
    <w:p/>
    <w:p>
      <w:pPr>
        <w:pStyle w:val="Heading2"/>
      </w:pPr>
      <w:r>
        <w:t>Evidence dates and limitations</w:t>
      </w:r>
    </w:p>
    <w:p>
      <w:r>
        <w:t>The status package’s strongest recorded core deploy observation is 28 September 2026 at facf8e369e1251697bf9799bc9b1c575a9cdc3ec. The Committee activation observation is older. The 3 October reconciliation updates code status without a new production probe. Treat runtime and usefulness dimensions as requiring fresh proof. Historical off/shadow statements must not be silently resolved by assumption.</w:t>
      </w:r>
    </w:p>
    <w:p>
      <w:pPr>
        <w:pStyle w:val="Heading2"/>
      </w:pPr>
      <w:r>
        <w:t>Adoption record to complete</w:t>
      </w:r>
    </w:p>
    <w:p>
      <w:r>
        <w:t>Record the final v1.4.4 file hash, owner approval and date, repository path/revision, exact amendments adopted, accountable business/technical owners and unresolved numeric acceptance decisions. Preserve v1.4.3 and this source register. Adoption changes the architecture contract only; implementation and activation remain separately governed.</w:t>
      </w:r>
    </w:p>
    <w:p>
      <w:pPr>
        <w:pStyle w:val="Heading2"/>
      </w:pPr>
      <w:r>
        <w:t>Verification boundary</w:t>
      </w:r>
    </w:p>
    <w:p>
      <w:r>
        <w:t>This artifact supplies a normative amendment, evidence-qualified scorecard and ATDD requirements. Executable suite changes, current-runtime verification and prospective usefulness results are separate work. No claim of funded/live execution authority is made or implied.</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O’Pip  |  v1.4.4 amendment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OPIP Profit Intelligence Architecture v1.4.4</dc:title>
  <dc:subject>Focused amendment to v1.4.3 with traceability and ATDD requirements</dc:subject>
  <dc:creator>O’Pip</dc:creator>
  <cp:keywords>v1.4.4, precision agent, paper only, traceability, ATDD</cp:keywords>
  <dc:description>generated by python-docx</dc:description>
  <cp:lastModifiedBy/>
  <cp:revision>1</cp:revision>
  <dcterms:created xsi:type="dcterms:W3CDTF">2013-12-23T23:15:00Z</dcterms:created>
  <dcterms:modified xsi:type="dcterms:W3CDTF">2013-12-23T23:15:00Z</dcterms:modified>
  <cp:category/>
</cp:coreProperties>
</file>