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300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AIRSHOW RAMP LAYOUT DESIGNER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48"/>
          <w:szCs w:val="48"/>
        </w:rPr>
        <w:t xml:space="preserve">SaaS Project Plan</w:t>
      </w:r>
    </w:p>
    <w:p>
      <w:pPr>
        <w:pBdr>
          <w:bottom w:val="single" w:color="E8501A" w:sz="12" w:space="8"/>
        </w:pBdr>
        <w:spacing w:after="360" w:before="0"/>
        <w:ind w:left="1440" w:right="144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A7FBF"/>
          <w:sz w:val="24"/>
          <w:szCs w:val="24"/>
        </w:rPr>
        <w:t xml:space="preserve">Sprint-by-Sprint Delivery Schedule  |  Phase 4 — SaaS Platform  |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ARLD Project Plan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Airshow Ramp Layout Designer (ARLD)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Management Office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Cadence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per sprint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Phases Covered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(PoC) through Phase 4 (SaaS)</w:t>
            </w:r>
          </w:p>
        </w:tc>
      </w:tr>
      <w:tr>
        <w:tc>
          <w:tcPr>
            <w:tcW w:type="dxa" w:w="280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4A7FBF" w:sz="1"/>
              <w:left w:val="single" w:color="4A7FBF" w:sz="1"/>
              <w:bottom w:val="single" w:color="4A7FBF" w:sz="1"/>
              <w:right w:val="single" w:color="4A7F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60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C8CDD6"/>
          <w:sz w:val="18"/>
          <w:szCs w:val="18"/>
        </w:rPr>
        <w:t xml:space="preserve">Version 1.0  |  May 2026  |  FOR INTERNAL USE ONLY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4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28"/>
                <w:szCs w:val="28"/>
              </w:rPr>
              <w:t xml:space="preserve">PHASE 4 — SaaS Platform  (Pending Steering Committee Approval)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1A1A"/>
                <w:sz w:val="21"/>
                <w:szCs w:val="21"/>
              </w:rPr>
              <w:t xml:space="preserve">Relative months +1 to +8  |  Sprints 4-1 through 4-4  |  Cloud-hosted web application, user accounts, subscription billing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1"/>
                <w:szCs w:val="21"/>
              </w:rPr>
              <w:t xml:space="preserve">Phase 4 Notice: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Phase 4 sprints cannot begin until the Phase 3 gate criteria are met and the steering committee approves the Phase 4 business case with dedicated funding. Sprint dates are relative to the Phase 4 kickoff date (designated month +0).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Sprint 4-1</w:t>
            </w:r>
          </w:p>
        </w:tc>
        <w:tc>
          <w:tcPr>
            <w:tcW w:type="dxa" w:w="24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+1 to +2</w:t>
            </w:r>
          </w:p>
        </w:tc>
        <w:tc>
          <w:tcPr>
            <w:tcW w:type="dxa" w:w="16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48</w:t>
            </w:r>
          </w:p>
        </w:tc>
        <w:tc>
          <w:tcPr>
            <w:tcW w:type="dxa" w:w="41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ADR, WebAssembly PoC vs REST benchmark, React canvas prototype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Author Phase 4 Architecture Decision Record: benchmark WebAssembly (Emscripten) vs REST microservice on 100-aircraft edit workload; select strategy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TRD-SAAS-001
FRD SAAS-003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ADR document filed in repo; benchmark results show latency and bundle size for both strategies; strategy selected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Scaffold TypeScript/React web application with Vite; configure ESLint, Prettier, Vitest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React app builds; Vitest smoke test passes; linting CI job green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React canvas prototype: basic QGraphicsScene equivalent using HTML5 Canvas or Konva.js; pan and zoom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SAAS-001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Frontend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Canvas pans and zooms smoothly in Chrome, Edge, Firefox, Safari (current + prior major versions)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Integrate geometry engine via selected strategy (WASM or REST); verify Minkowski sum result matches desktop output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TRD-SAAS-001
FRD SAAS-003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Lead C++ Eng + 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canvas shows identical clearance zone polygon to desktop for same aircraft placement; test fixture passes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Set up AWS infrastructure: ECS Fargate cluster, ECR, S3 bucket, RDS PostgreSQL 16 Multi-AZ, Redis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TRD-SAAS-007
TRD-SAAS-010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terraform apply succeeds; ECS task starts; RDS accessible; S3 bucket with SSE-S3 configured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4-1-6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Configure Auth0 tenant; implement JWT RS256 validation middleware in Fastify; protect /api/v1/ routes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TRD-SAAS-004
FRD SAAS-010–012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Unauthenticated request returns HTTP 401; authenticated request with valid JWT returns HTTP 200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Sprint 4-2</w:t>
            </w:r>
          </w:p>
        </w:tc>
        <w:tc>
          <w:tcPr>
            <w:tcW w:type="dxa" w:w="24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+2 to +4</w:t>
            </w:r>
          </w:p>
        </w:tc>
        <w:tc>
          <w:tcPr>
            <w:tcW w:type="dxa" w:w="16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52</w:t>
            </w:r>
          </w:p>
        </w:tc>
        <w:tc>
          <w:tcPr>
            <w:tcW w:type="dxa" w:w="41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User accounts, project CRUD, cloud sync, team workspaces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user registration/login: email+password and OAuth 2.0 (Google, Microsoft) via Auth0; TLS 1.3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SAAS-010–012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register and log in via email and Google OAuth; session uses TLS 1.3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MFA (TOTP via Auth0 Guardian); make optional but available to all users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SAAS-013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enrol TOTP; subsequent logins require OTP; recovery codes generated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project CRUD API (/api/v1/projects): create, read, update, delete; S3 storage with pre-signed URLs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TRD-SAAS-005
FRD SAAS-030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Project file stored in S3 at {org_id}/{project_id}/{version_id}.arld with SSE-S3 AES-256; pre-signed URL expires in 15 min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auto-save: web client POSTs JSON Patch diff to /api/v1/projects/{id}/edits ≤ 5 s debounce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TRD-SAAS-006
FRD SAAS-031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Edit diff applied server-side; concurrent edits resolved last-write-wins at field level; no data loss on disconnect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team workspaces: create workspace, invite members by email, assign roles (Show Director, Ramp Coordinator, Read-Only)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SAAS-020
FRD SAAS-021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Invited user receives email; accepts invite; can view workspace projects per assigned role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read-only time-limited share link (24-hour expiry, no account required)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SAAS-022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Share link opens read-only canvas in unauthenticated browser; link expires after 24 hours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full audit log: user_id (UUID), timestamp, action type; PII excluded from logs; pgcrypto column-level encryption for email/org_name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TRD-SAAS-009
FRD SAAS-023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Audit log records every project edit; grep for email in logs returns zero results; pgcrypto functions active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project archive export: .zip of all .arld files; user data portability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SAAS-033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User can download .zip containing all their projects as .arld files; zip is valid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4-2-9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ECS auto-scaling: configure ALB RequestCountPerTarget &gt; 1000 scale-out; min 2 tasks, max 50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Load test: 1,200 concurrent requests → third task spins up within 60 seconds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Sprint 4-3</w:t>
            </w:r>
          </w:p>
        </w:tc>
        <w:tc>
          <w:tcPr>
            <w:tcW w:type="dxa" w:w="24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+4 to +6</w:t>
            </w:r>
          </w:p>
        </w:tc>
        <w:tc>
          <w:tcPr>
            <w:tcW w:type="dxa" w:w="16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50</w:t>
            </w:r>
          </w:p>
        </w:tc>
        <w:tc>
          <w:tcPr>
            <w:tcW w:type="dxa" w:w="41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Stripe billing, SaaS feature parity with desktop, circuit breaker, beta SaaS launch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Stripe subscription billing: free community tier (3 projects, 500 MB) and Pro tier (unlimited); annual discount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SAAS-040–043
TRD-SAAS-009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Test payment succeeds; Pro tier unlocks; no payment card data stored in ARLD DB; Stripe webhook verified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circuit breaker (opossum) for REST geometry microservice calls; 50% error threshold; HTTP 503 + Retry-After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TRD-SAAS-008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Backend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Simulated geometry service failure → circuit opens after 50% error rate; clients receive 503 with Retry-After header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SaaS feature parity: all 7 display types, all clearance rules, violation overrides, layout versioning, all 4 export formats in web UI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SAAS-001
Charter SaaS parity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Frontend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app produces identical SVG/PDF/PNG/JPEG output to desktop for same reference layout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automated RDS failover test; confirm RTO ≤ 15 min; enable 14-day automated backups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TRD-SAAS-010
FRD SAAS-053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Simulated primary AZ failure → app reconnects to replica within 15 min; no data loss; backup retention confirmed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Perform SaaS security audit and penetration test (external firm); remediate all critical and high findings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 budget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 + External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Penetration test report received; all critical/high findings remediated; retest passed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Launch beta SaaS (invite-only, 50 users); set up uptime monitoring (99.5% SLA target)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 Milestone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50 beta users active; uptime dashboard live; no outage &gt; 15 min in first 2 weeks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4-3-7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responsive design for tablet screens (minimum 1024×768); test on iPad and Android tablet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SAAS-004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Frontend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Canvas usable on iPad 10th gen and Samsung Galaxy Tab S8; no horizontal scroll on 1024 px viewport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1600"/>
        <w:gridCol w:w="4160"/>
      </w:tblGrid>
      <w:tr>
        <w:tc>
          <w:tcPr>
            <w:tcW w:type="dxa" w:w="48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24"/>
                <w:szCs w:val="24"/>
              </w:rPr>
              <w:t xml:space="preserve">Sprint 4-4</w:t>
            </w:r>
          </w:p>
        </w:tc>
        <w:tc>
          <w:tcPr>
            <w:tcW w:type="dxa" w:w="24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+6 to +8</w:t>
            </w:r>
          </w:p>
        </w:tc>
        <w:tc>
          <w:tcPr>
            <w:tcW w:type="dxa" w:w="16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Points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2"/>
                <w:szCs w:val="22"/>
              </w:rPr>
              <w:t xml:space="preserve">44</w:t>
            </w:r>
          </w:p>
        </w:tc>
        <w:tc>
          <w:tcPr>
            <w:tcW w:type="dxa" w:w="41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Sprint Goal: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Public SaaS v1.0 launch, 99.5% uptime SLA, post-launch monitoring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560"/>
        <w:gridCol w:w="1400"/>
        <w:gridCol w:w="700"/>
        <w:gridCol w:w="4700"/>
      </w:tblGrid>
      <w:tr>
        <w:trPr>
          <w:tblHeader/>
        </w:trP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 / TRD Refs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4-4-1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desktop ↔ SaaS bidirectional sync: .arld projects started on desktop continue in browser and vice versa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SAAS-032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Web Lead + Lead C++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D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Round-trip: create layout on desktop → sync → open in browser → edit → sync back → open on desktop; no data loss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4-4-2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Public SaaS v1.0 launch: open registration; publish pricing page; announce to ICAS community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Phase 4 Milestone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 + Web Lead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Public registration open; first 100 free-tier sign-ups within first week; pricing page live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4-4-3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Confirm 99.5% uptime SLA during peak planning period (simulate October load test)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FRD SAAS-051
TRD-SAAS-007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 + QA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Load test: 10,000 concurrent sessions; P95 response time &lt; 500 ms; uptime 99.5%+ over 30-day window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4-4-4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Implement SaaS KPI tracking: registered events, Pro conversions, NPS survey at 30-day mark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Phase 4 KPIs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KPI dashboard live; first 30-day NPS survey sent; 100 registered events target tracked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4-4-5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Take manual RDS snapshot before production launch; confirm 14-day automated backups active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TRD-SAAS-010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Manual snapshot exists pre-launch; automated backup schedule verified in AWS console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4-4-6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Phase 4 retrospective; finalise Phase 4 budget actuals; publish SaaS launch post-mortem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§14.2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Retrospective report filed; budget within estimate; post-mortem published to engineering blog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4-4-7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Reach 100 registered events KPI (12-month target); or file remediation plan with steering committee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Charter §13 KPI
SaaS 100 events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PM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100 registered events milestone confirmed in dashboard; or growth-gap remediation plan filed</w:t>
            </w:r>
          </w:p>
        </w:tc>
      </w:tr>
      <w:tr>
        <w:tc>
          <w:tcPr>
            <w:tcW w:type="dxa" w:w="10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4-4-8</w:t>
            </w:r>
          </w:p>
        </w:tc>
        <w:tc>
          <w:tcPr>
            <w:tcW w:type="dxa" w:w="36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Post-launch security monitoring: enable AWS GuardDuty, CloudTrail, WAF rules; set up PagerDuty on-call rotation</w:t>
            </w:r>
          </w:p>
        </w:tc>
        <w:tc>
          <w:tcPr>
            <w:tcW w:type="dxa" w:w="1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TRD-SAAS-007
Charter Security</w:t>
            </w:r>
          </w:p>
        </w:tc>
        <w:tc>
          <w:tcPr>
            <w:tcW w:type="dxa" w:w="14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Cloud Eng</w:t>
            </w:r>
          </w:p>
        </w:tc>
        <w:tc>
          <w:tcPr>
            <w:tcW w:type="dxa" w:w="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D5F5D5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8"/>
                <w:szCs w:val="18"/>
              </w:rPr>
              <w:t xml:space="preserve">GuardDuty active; CloudTrail logs shipping to S3; on-call rotation confirmed with &lt; 5 min escalation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E8501A" w:sz="1"/>
              <w:left w:val="single" w:color="E8501A" w:sz="1"/>
              <w:bottom w:val="single" w:color="E8501A" w:sz="1"/>
              <w:right w:val="single" w:color="E8501A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01A"/>
                <w:sz w:val="22"/>
                <w:szCs w:val="22"/>
              </w:rPr>
              <w:t xml:space="preserve">⭐  Phase 4 Launch Criteria (Month +8)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SaaS v1.0 live; open registration; pricing page published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confirmed over rolling 30-day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 concurrent session load test passed (P95 response &lt; 500 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 ⇔ SaaS bidirectional sync functional; round-trip data integrity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penetration test passed; all critical/high findings remediated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registered events target tracked (12-month KPI runway established)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GuardDuty, CloudTrail, and WAF active; on-call rotation in place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r>
        <w:rPr>
          <w:i/>
        </w:rPr>
        <w:t xml:space="preserve">Desktop phases (0–3) are documented in </w:t>
      </w:r>
      <w:r>
        <w:rPr>
          <w:b/>
          <w:i/>
        </w:rPr>
        <w:t>ARLD_Project_Plan_v1.0.docx</w:t>
      </w:r>
      <w:r>
        <w:rPr>
          <w:i/>
        </w:rPr>
        <w:t xml:space="preserve">. Phase 4 cannot begin until the Phase 3 gate criteria are met and the steering committee approves the Phase 4 business case.</w:t>
      </w:r>
    </w:p>
    <w:p>
      <w:pPr>
        <w:pStyle w:val="Heading1"/>
        <w:pBdr>
          <w:bottom w:val="single" w:color="E8501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Velocity and Capacity Summary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The table below summarises planned story points, team size, and key outcomes per sprint across all phases. Phase 4 team size is indicative pending Phase 4 staffing plan.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Pts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Size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Velocity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Outcome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4-1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 FTE*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ADR; WASM/REST benchmark; React canvas PoC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4-2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 FTE*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Auth; project CRUD; cloud sync; workspaces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4-3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 FTE*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Stripe billing; SaaS parity; beta SaaS launch</w:t>
            </w:r>
          </w:p>
        </w:tc>
      </w:tr>
      <w:tr>
        <w:tc>
          <w:tcPr>
            <w:tcW w:type="dxa" w:w="2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4-4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 FTE*</w:t>
            </w:r>
          </w:p>
        </w:tc>
        <w:tc>
          <w:tcPr>
            <w:tcW w:type="dxa" w:w="18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7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Desktop sync; public SaaS v1.0; uptime SLA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* Phase 4 team size is indicative; finalised as part of the Phase 4 staffing plan approved at Phase 3 gate.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2560"/>
        <w:gridCol w:w="464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Sprints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Planned Points</w:t>
            </w:r>
          </w:p>
        </w:tc>
        <w:tc>
          <w:tcPr>
            <w:tcW w:type="dxa" w:w="46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 — SaaS (pending)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6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194</w:t>
            </w:r>
          </w:p>
        </w:tc>
        <w:tc>
          <w:tcPr>
            <w:tcW w:type="dxa" w:w="4640"/>
            <w:tcBorders>
              <w:top w:val="single" w:color="C8CDD6" w:sz="1"/>
              <w:left w:val="single" w:color="C8CDD6" w:sz="1"/>
              <w:bottom w:val="single" w:color="C8CDD6" w:sz="1"/>
              <w:right w:val="single" w:color="C8C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months relative to Phase 4 kickoff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8501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Authorization and Approval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By signing below, the undersigned approve this Project Plan as the governing sprint schedule for the Airshow Ramp Layout Designer project.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 of Airshow Operations</w:t>
            </w:r>
          </w:p>
          <w:p>
            <w:r>
              <w:rPr>
                <w:rFonts w:ascii="Arial" w:cs="Arial" w:eastAsia="Arial" w:hAnsi="Arial"/>
                <w:i/>
                <w:iCs/>
                <w:color w:val="4A7FBF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Management Officer</w:t>
            </w:r>
          </w:p>
          <w:p>
            <w:r>
              <w:rPr>
                <w:rFonts w:ascii="Arial" w:cs="Arial" w:eastAsia="Arial" w:hAnsi="Arial"/>
                <w:i/>
                <w:iCs/>
                <w:color w:val="4A7FBF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Systems Engineer</w:t>
            </w:r>
          </w:p>
          <w:p>
            <w:r>
              <w:rPr>
                <w:rFonts w:ascii="Arial" w:cs="Arial" w:eastAsia="Arial" w:hAnsi="Arial"/>
                <w:i/>
                <w:iCs/>
                <w:color w:val="4A7FBF"/>
                <w:sz w:val="18"/>
                <w:szCs w:val="18"/>
              </w:rPr>
              <w:t xml:space="preserve">Signature / Date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</w:rP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4A7FB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FBF" w:sz="4" w:space="4"/>
      </w:pBdr>
      <w:spacing w:before="80"/>
      <w:jc w:val="center"/>
    </w:pPr>
    <w:r>
      <w:rPr>
        <w:rFonts w:ascii="Arial" w:cs="Arial" w:eastAsia="Arial" w:hAnsi="Arial"/>
        <w:color w:val="3C3C3C"/>
        <w:sz w:val="17"/>
        <w:szCs w:val="17"/>
      </w:rPr>
      <w:t xml:space="preserve">CONFIDENTIAL — Project Plan v1.0     </w:t>
    </w:r>
    <w:r>
      <w:rPr>
        <w:rFonts w:ascii="Arial" w:cs="Arial" w:eastAsia="Arial" w:hAnsi="Arial"/>
        <w:color w:val="3C3C3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C3C3C"/>
        <w:sz w:val="17"/>
        <w:szCs w:val="17"/>
      </w:rPr>
      <w:t xml:space="preserve"> of </w:t>
    </w:r>
    <w:r>
      <w:rPr>
        <w:rFonts w:ascii="Arial" w:cs="Arial" w:eastAsia="Arial" w:hAnsi="Arial"/>
        <w:color w:val="3C3C3C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2A4A" w:val="clear"/>
      <w:spacing w:after="100" w:before="100"/>
      <w:ind w:left="200" w:right="20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AIRSHOW RAMP LAYOUT DESIGNER  |  PROJECT PLAN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C3C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FB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2026-05-11T00:57:35.200Z</dcterms:created>
  <dcterms:modified xsi:type="dcterms:W3CDTF">2026-05-11T00:57:35.218Z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