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EC76" w14:textId="77777777">
      <w:pPr>
        <w:pStyle w:val="Titolo1"/>
        <w:jc w:val="center"/>
        <w:rPr>
          <w:rFonts w:ascii="Aptos Narrow" w:hAnsi="Aptos Narrow" w:eastAsia="Aptos Narrow" w:cs="Aptos Narrow"/>
          <w:b w:val="1"/>
          <w:bCs w:val="1"/>
          <w:color w:val="4F81BD"/>
          <w:sz w:val="38"/>
          <w:szCs w:val="38"/>
          <w:lang w:val="ru-RU"/>
        </w:rPr>
      </w:pPr>
      <w:r>
        <w:rPr>
          <w:rFonts w:ascii="Avenir Next" w:hAnsi="Avenir Next" w:eastAsia="Avenir Next" w:cs="Avenir Next"/>
          <w:b/>
          <w:bCs w:val="1"/>
          <w:color w:val="4F81BD"/>
          <w:sz w:val="36"/>
          <w:szCs w:val="38"/>
          <w:lang w:val="ru-RU"/>
        </w:rPr>
        <w:t>[TEMPLATE-TITLE]</w:t>
      </w:r>
    </w:p>
    <w:p w14:paraId="1A14EC77" w14:textId="7179ED17">
      <w:pPr>
        <w:pStyle w:val="CorpoA"/>
        <w:spacing w:after="200" w:line="276" w:lineRule="auto"/>
        <w:jc w:val="center"/>
        <w:rPr>
          <w:rFonts w:ascii="Aptos" w:hAnsi="Aptos" w:eastAsia="Aptos" w:cs="Aptos"/>
          <w:sz w:val="22"/>
          <w:szCs w:val="22"/>
          <w:lang w:val="en-US"/>
        </w:rPr>
      </w:pPr>
      <w:r>
        <w:rPr>
          <w:rFonts w:ascii="Aptos" w:hAnsi="Aptos" w:eastAsia="Aptos" w:cs="Aptos"/>
          <w:sz w:val="24"/>
          <w:szCs w:val="22"/>
        </w:rPr>
        <w:t>Details – version x.x</w:t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</w:p>
    <w:tbl>
      <w:tblPr>
        <w:tblStyle w:val="TableNormal"/>
        <w:tblW w:w="864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14:paraId="1A14EC7A" w14:textId="77777777">
        <w:trPr>
          <w:trHeight w:val="630"/>
          <w:jc w:val="center"/>
        </w:trPr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E7FEC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78" w14:textId="77777777">
            <w:pPr>
              <w:pStyle w:val="CorpoA"/>
              <w:spacing w:after="200" w:line="276" w:lineRule="auto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 Narrow" w:hAnsi="Aptos Narrow" w:eastAsia="Aptos Narrow" w:cs="Aptos Narrow"/>
                <w:b/>
                <w:bCs w:val="1"/>
                <w:sz w:val="22"/>
                <w:szCs w:val="22"/>
                <w:lang w:val="en-US"/>
              </w:rPr>
              <w:t>Document name</w:t>
            </w:r>
            <w:r>
              <w:rPr>
                <w:rFonts w:ascii="Aptos Narrow" w:hAnsi="Aptos Narrow" w:eastAsia="Aptos Narrow" w:cs="Aptos Narrow"/>
                <w:b/>
                <w:bCs w:val="1"/>
                <w:sz w:val="22"/>
                <w:szCs w:val="22"/>
                <w:lang w:val="en-US"/>
              </w:rPr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E7FEC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79" w14:textId="77777777">
            <w:pPr>
              <w:pStyle w:val="CorpoA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Title</w:t>
            </w:r>
          </w:p>
        </w:tc>
      </w:tr>
      <w:tr w14:paraId="1A14EC7D" w14:textId="77777777">
        <w:trPr>
          <w:trHeight w:val="495"/>
          <w:jc w:val="center"/>
        </w:trPr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7B" w14:textId="77777777">
            <w:pPr>
              <w:pStyle w:val="CorpoA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 Narrow" w:hAnsi="Aptos Narrow" w:eastAsia="Aptos Narrow" w:cs="Aptos Narrow"/>
                <w:b/>
                <w:bCs w:val="1"/>
                <w:sz w:val="22"/>
                <w:szCs w:val="22"/>
                <w:lang w:val="en-US"/>
              </w:rPr>
              <w:t>Computer Engineer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7C" w14:textId="1B240981">
            <w:pPr>
              <w:rPr>
                <w:rFonts w:ascii="Aptos" w:hAnsi="Aptos" w:eastAsia="Aptos" w:cs="Aptos"/>
              </w:rPr>
            </w:pPr>
          </w:p>
        </w:tc>
      </w:tr>
      <w:tr w14:paraId="1A14EC80" w14:textId="77777777">
        <w:trPr>
          <w:trHeight w:val="540"/>
          <w:jc w:val="center"/>
        </w:trPr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7E" w14:textId="77777777">
            <w:pPr>
              <w:pStyle w:val="CorpoA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 Narrow" w:hAnsi="Aptos Narrow" w:eastAsia="Aptos Narrow" w:cs="Aptos Narrow"/>
                <w:b/>
                <w:bCs w:val="1"/>
                <w:sz w:val="22"/>
                <w:szCs w:val="22"/>
                <w:lang w:val="en-US"/>
              </w:rPr>
              <w:t>Date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7F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YYYY-MM-DD</w:t>
            </w:r>
          </w:p>
        </w:tc>
      </w:tr>
      <w:tr w14:paraId="1A14EC83" w14:textId="77777777">
        <w:trPr>
          <w:trHeight w:val="525"/>
          <w:jc w:val="center"/>
        </w:trPr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81" w14:textId="77777777">
            <w:pPr>
              <w:pStyle w:val="CorpoA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 Narrow" w:hAnsi="Aptos Narrow" w:eastAsia="Aptos Narrow" w:cs="Aptos Narrow"/>
                <w:b/>
                <w:bCs w:val="1"/>
                <w:sz w:val="22"/>
                <w:szCs w:val="22"/>
                <w:lang w:val="en-US"/>
              </w:rPr>
              <w:t>Version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82" w14:textId="39EA248F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vx.x</w:t>
            </w:r>
          </w:p>
        </w:tc>
      </w:tr>
      <w:tr w14:paraId="1A14EC86" w14:textId="77777777">
        <w:trPr>
          <w:trHeight w:val="555"/>
          <w:jc w:val="center"/>
        </w:trPr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84" w14:textId="77777777">
            <w:pPr>
              <w:pStyle w:val="CorpoA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 Narrow" w:hAnsi="Aptos Narrow" w:eastAsia="Aptos Narrow" w:cs="Aptos Narrow"/>
                <w:b/>
                <w:bCs w:val="1"/>
                <w:sz w:val="22"/>
                <w:szCs w:val="22"/>
                <w:lang w:val="en-US"/>
              </w:rPr>
              <w:t>Confidentiality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85" w14:textId="17A4EB70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Internal Use – Confidential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</w:tr>
    </w:tbl>
    <w:p w14:paraId="1A14EC87" w14:textId="77777777">
      <w:pPr>
        <w:pStyle w:val="CorpoA"/>
        <w:widowControl w:val="0"/>
        <w:spacing w:after="200"/>
        <w:ind w:left="216" w:hanging="216"/>
        <w:jc w:val="center"/>
        <w:rPr>
          <w:rFonts w:ascii="Aptos" w:hAnsi="Aptos" w:eastAsia="Aptos" w:cs="Aptos"/>
        </w:rPr>
      </w:pPr>
    </w:p>
    <w:p w14:paraId="1D060E0C" w14:textId="37AF5708">
      <w:pPr>
        <w:rPr>
          <w:rFonts w:ascii="Aptos" w:hAnsi="Aptos" w:eastAsia="Aptos" w:cs="Aptos"/>
          <w:b w:val="1"/>
          <w:bCs w:val="1"/>
          <w:u w:val="none"/>
        </w:rPr>
      </w:pPr>
      <w:r>
        <w:rPr>
          <w:rFonts w:ascii="Aptos" w:hAnsi="Aptos" w:eastAsia="Aptos" w:cs="Aptos"/>
          <w:b w:val="1"/>
          <w:bCs w:val="1"/>
          <w:sz w:val="24"/>
          <w:u w:val="none"/>
        </w:rPr>
        <w:t>ADAPTATION GUIDANCE</w:t>
      </w:r>
      <w:r>
        <w:rPr>
          <w:rFonts w:ascii="Aptos" w:hAnsi="Aptos" w:eastAsia="Aptos" w:cs="Aptos"/>
          <w:b w:val="1"/>
          <w:bCs w:val="1"/>
          <w:sz w:val="24"/>
          <w:u w:val="none"/>
        </w:rPr>
      </w:r>
    </w:p>
    <w:p w14:paraId="35191E11" w14:textId="77777777">
      <w:pPr>
        <w:rPr>
          <w:rFonts w:ascii="Aptos" w:hAnsi="Aptos" w:eastAsia="Aptos" w:cs="Aptos"/>
        </w:rPr>
      </w:pPr>
      <w:r>
        <w:rPr>
          <w:rFonts w:ascii="Aptos" w:hAnsi="Aptos" w:eastAsia="Aptos" w:cs="Aptos"/>
          <w:b w:val="1"/>
          <w:bCs w:val="1"/>
          <w:sz w:val="24"/>
          <w:u w:val="single"/>
        </w:rPr>
        <w:t>TEMPLATE_SPEC</w:t>
      </w:r>
      <w:r>
        <w:rPr>
          <w:rFonts w:ascii="Aptos" w:hAnsi="Aptos" w:eastAsia="Aptos" w:cs="Aptos"/>
          <w:sz w:val="24"/>
        </w:rPr>
        <w:t>:</w:t>
      </w:r>
    </w:p>
    <w:p w14:paraId="0E369049" w14:textId="6E6F6E1B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HEADINGS_MAIN: type=H2 | font=Aptos Narrow bold; fallback=Avenir Next LT Pro bold | size=16 | color=#4F81BD | transform=UPPERCASE | weight=bold</w:t>
      </w:r>
      <w:r>
        <w:rPr>
          <w:rFonts w:ascii="Aptos" w:hAnsi="Aptos" w:eastAsia="Aptos" w:cs="Aptos"/>
          <w:sz w:val="24"/>
          <w:u w:val="single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</w:p>
    <w:p w14:paraId="7A4A1506" w14:textId="19719CF8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HEADINGS 1: type=H1 | font=Avenir Next LT Pro bold; fallback=Aptos Narrow bold | size=18 | color=#4F81BD | transform=UPPERCASE | weight=bold</w:t>
      </w:r>
      <w:r>
        <w:rPr>
          <w:rFonts w:ascii="Aptos" w:hAnsi="Aptos" w:eastAsia="Aptos" w:cs="Aptos"/>
          <w:sz w:val="24"/>
          <w:u w:val="single"/>
        </w:rPr>
      </w:r>
      <w:r>
        <w:rPr>
          <w:rFonts w:ascii="Aptos" w:hAnsi="Aptos" w:eastAsia="Aptos" w:cs="Aptos"/>
          <w:sz w:val="24"/>
          <w:u w:val="single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</w:p>
    <w:p w14:paraId="1FA35023" w14:textId="02418A32">
      <w:pPr>
        <w:pStyle w:val="Normale"/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HEADINGS_SUB: type=H2 | font=Aptos Narrow bold; fallback=Avenir Next LT Pro bold | size=14 | color=#4F81BD | transform=FirstWord | weight=bold</w:t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</w:p>
    <w:p w14:paraId="57462003" w14:textId="6EE39926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BODY_TEXT: font=</w:t>
      </w:r>
      <w:r>
        <w:rPr>
          <w:rFonts w:ascii="Aptos" w:hAnsi="Aptos" w:eastAsia="Aptos" w:cs="Aptos"/>
          <w:sz w:val="24"/>
        </w:rPr>
        <w:t>Aptos</w:t>
      </w:r>
      <w:r>
        <w:rPr>
          <w:rFonts w:ascii="Aptos" w:hAnsi="Aptos" w:eastAsia="Aptos" w:cs="Aptos"/>
          <w:sz w:val="24"/>
        </w:rPr>
        <w:t>| size=12</w:t>
      </w:r>
      <w:r>
        <w:rPr>
          <w:rFonts w:ascii="Aptos" w:hAnsi="Aptos" w:eastAsia="Aptos" w:cs="Aptos"/>
          <w:sz w:val="24"/>
        </w:rPr>
        <w:br/>
      </w:r>
      <w:r>
        <w:rPr>
          <w:rFonts w:ascii="Aptos" w:hAnsi="Aptos" w:eastAsia="Aptos" w:cs="Aptos"/>
          <w:sz w:val="24"/>
        </w:rPr>
        <w:t>TABLE_TEXT: font=</w:t>
      </w:r>
      <w:r>
        <w:rPr>
          <w:rFonts w:ascii="Aptos" w:hAnsi="Aptos" w:eastAsia="Aptos" w:cs="Aptos"/>
          <w:sz w:val="24"/>
        </w:rPr>
        <w:t>Aptos</w:t>
      </w:r>
      <w:r>
        <w:rPr>
          <w:rFonts w:ascii="Aptos" w:hAnsi="Aptos" w:eastAsia="Aptos" w:cs="Aptos"/>
          <w:sz w:val="24"/>
        </w:rPr>
        <w:t>| size=11 | scope=</w:t>
      </w:r>
      <w:r>
        <w:rPr>
          <w:rFonts w:ascii="Aptos" w:hAnsi="Aptos" w:eastAsia="Aptos" w:cs="Aptos"/>
          <w:sz w:val="24"/>
        </w:rPr>
        <w:t>all_cells</w:t>
      </w:r>
    </w:p>
    <w:p w14:paraId="2A668863" w14:textId="39C7B675">
      <w:pPr>
        <w:pStyle w:val="Normale"/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TABLE_TEXT_FIRST_ROW: font=Avenir Next LT Pro bold; fallback=Neue Haas Grotesk Text Pro bold; fallback=Aptos bold | size=11 |</w:t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</w:p>
    <w:p w14:paraId="05FBE32D" w14:textId="1F153984">
      <w:pPr>
        <w:pStyle w:val="Normale"/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COVER_TABLE: first_row=template | rows=alt(#D3DFEE,white) | borders=#4F81BD | extra_rows=append_end | first_column=bold, font=Avenir Next LT Pro 11; fallback=Neue Haas Grotesk Text Pro bold; fallback=Aptos bold | first_row=bold, font=Avenir Next LT Pro 11; fallback=Neue Haas Grotesk Text Pro bold; fallback=Aptos bold</w:t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</w:p>
    <w:p w14:paraId="3846F000" w14:textId="2E0F338C">
      <w:pPr>
        <w:pStyle w:val="Normale"/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TABLES: rows=alt(#D3DFEE,white exactly (not no-color)</w:t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</w:p>
    <w:p w14:paraId="147212D5" w14:textId="77777777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HEADER: position=</w:t>
      </w:r>
      <w:r>
        <w:rPr>
          <w:rFonts w:ascii="Aptos" w:hAnsi="Aptos" w:eastAsia="Aptos" w:cs="Aptos"/>
          <w:sz w:val="24"/>
        </w:rPr>
        <w:t>top_left</w:t>
      </w:r>
      <w:r>
        <w:rPr>
          <w:rFonts w:ascii="Aptos" w:hAnsi="Aptos" w:eastAsia="Aptos" w:cs="Aptos"/>
          <w:sz w:val="24"/>
        </w:rPr>
        <w:t xml:space="preserve"> | repeat=</w:t>
      </w:r>
      <w:r>
        <w:rPr>
          <w:rFonts w:ascii="Aptos" w:hAnsi="Aptos" w:eastAsia="Aptos" w:cs="Aptos"/>
          <w:sz w:val="24"/>
        </w:rPr>
        <w:t>all_pages</w:t>
      </w:r>
      <w:r>
        <w:rPr>
          <w:rFonts w:ascii="Aptos" w:hAnsi="Aptos" w:eastAsia="Aptos" w:cs="Aptos"/>
          <w:sz w:val="24"/>
        </w:rPr>
        <w:t xml:space="preserve"> | source=template</w:t>
      </w:r>
      <w:r>
        <w:rPr>
          <w:rFonts w:ascii="Aptos" w:hAnsi="Aptos" w:eastAsia="Aptos" w:cs="Aptos"/>
          <w:sz w:val="24"/>
        </w:rPr>
        <w:br/>
      </w:r>
      <w:r>
        <w:rPr>
          <w:rFonts w:ascii="Aptos" w:hAnsi="Aptos" w:eastAsia="Aptos" w:cs="Aptos"/>
          <w:sz w:val="24"/>
        </w:rPr>
        <w:t>FOOTER: repeat=</w:t>
      </w:r>
      <w:r>
        <w:rPr>
          <w:rFonts w:ascii="Aptos" w:hAnsi="Aptos" w:eastAsia="Aptos" w:cs="Aptos"/>
          <w:sz w:val="24"/>
        </w:rPr>
        <w:t>all_pages</w:t>
      </w:r>
      <w:r>
        <w:rPr>
          <w:rFonts w:ascii="Aptos" w:hAnsi="Aptos" w:eastAsia="Aptos" w:cs="Aptos"/>
          <w:sz w:val="24"/>
        </w:rPr>
        <w:t xml:space="preserve"> | source=original</w:t>
      </w:r>
    </w:p>
    <w:p w14:paraId="77493F41" w14:textId="77777777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STRUCTURE: front cover → executive_summary → body → reference_compliance</w:t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</w:rPr>
      </w:r>
    </w:p>
    <w:p w14:paraId="500CA490" w14:textId="77777777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 xml:space="preserve">EXECUTIVE_SUMMARY: position=first | </w:t>
      </w:r>
      <w:r>
        <w:rPr>
          <w:rFonts w:ascii="Aptos" w:hAnsi="Aptos" w:eastAsia="Aptos" w:cs="Aptos"/>
          <w:sz w:val="24"/>
        </w:rPr>
        <w:t>if_exists</w:t>
      </w:r>
      <w:r>
        <w:rPr>
          <w:rFonts w:ascii="Aptos" w:hAnsi="Aptos" w:eastAsia="Aptos" w:cs="Aptos"/>
          <w:sz w:val="24"/>
        </w:rPr>
        <w:t>=move</w:t>
      </w:r>
      <w:r>
        <w:rPr>
          <w:rFonts w:ascii="Aptos" w:hAnsi="Aptos" w:eastAsia="Aptos" w:cs="Aptos"/>
          <w:sz w:val="24"/>
        </w:rPr>
        <w:br/>
      </w:r>
      <w:r>
        <w:rPr>
          <w:rFonts w:ascii="Aptos" w:hAnsi="Aptos" w:eastAsia="Aptos" w:cs="Aptos"/>
          <w:sz w:val="24"/>
        </w:rPr>
        <w:t xml:space="preserve">REFERENCE_COMPLIANCE: position=last | </w:t>
      </w:r>
      <w:r>
        <w:rPr>
          <w:rFonts w:ascii="Aptos" w:hAnsi="Aptos" w:eastAsia="Aptos" w:cs="Aptos"/>
          <w:sz w:val="24"/>
        </w:rPr>
        <w:t>modify</w:t>
      </w:r>
      <w:r>
        <w:rPr>
          <w:rFonts w:ascii="Aptos" w:hAnsi="Aptos" w:eastAsia="Aptos" w:cs="Aptos"/>
          <w:sz w:val="24"/>
        </w:rPr>
        <w:t>=false</w:t>
      </w:r>
    </w:p>
    <w:p w14:paraId="11C46674" w14:textId="7D84A71E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  <w:lang w:val="it-IT"/>
        </w:rPr>
        <w:t>END_OF_DOCUMENT: positioned at the end, separated from the text by a horizontal line; font=Avenir Next LT Pro Bold; fallback=Neue Haas Grotesk Text Pro bold; fallback=Aptos bold size=13 | color=#4F81BD</w:t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  <w:lang w:val="it-IT"/>
        </w:rPr>
      </w:r>
      <w:r>
        <w:rPr>
          <w:rFonts w:ascii="Aptos" w:hAnsi="Aptos" w:eastAsia="Aptos" w:cs="Aptos"/>
          <w:sz w:val="24"/>
        </w:rPr>
      </w:r>
    </w:p>
    <w:p w14:paraId="0BE032F4" w14:textId="6924AA75">
      <w:pPr>
        <w:rPr>
          <w:rFonts w:ascii="Aptos" w:hAnsi="Aptos" w:eastAsia="Aptos" w:cs="Aptos"/>
          <w:i w:val="1"/>
          <w:iCs w:val="1"/>
          <w:lang w:val="it-IT"/>
        </w:rPr>
      </w:pPr>
      <w:r>
        <w:rPr>
          <w:rFonts w:ascii="Aptos" w:hAnsi="Aptos" w:eastAsia="Aptos" w:cs="Aptos"/>
          <w:i w:val="1"/>
          <w:iCs w:val="1"/>
          <w:sz w:val="24"/>
          <w:lang w:val="it-IT"/>
        </w:rPr>
        <w:t>Each paragraph, subparagraph and table is separated from the next by a horizontal line, followed by two newlines, then a second horizontal line, and the new chapter/paragraph/table is separated by one newline.</w:t>
      </w:r>
      <w:r>
        <w:rPr>
          <w:rFonts w:ascii="Aptos" w:hAnsi="Aptos" w:eastAsia="Aptos" w:cs="Aptos"/>
          <w:i w:val="1"/>
          <w:iCs w:val="1"/>
          <w:sz w:val="24"/>
          <w:lang w:val="it-IT"/>
        </w:rPr>
      </w:r>
      <w:r>
        <w:rPr>
          <w:rFonts w:ascii="Aptos" w:hAnsi="Aptos" w:eastAsia="Aptos" w:cs="Aptos"/>
          <w:i w:val="1"/>
          <w:iCs w:val="1"/>
          <w:sz w:val="24"/>
          <w:lang w:val="it-IT"/>
        </w:rPr>
      </w:r>
      <w:r>
        <w:rPr>
          <w:rFonts w:ascii="Aptos" w:hAnsi="Aptos" w:eastAsia="Aptos" w:cs="Aptos"/>
          <w:i w:val="1"/>
          <w:iCs w:val="1"/>
          <w:sz w:val="24"/>
          <w:lang w:val="it-IT"/>
        </w:rPr>
      </w:r>
      <w:r>
        <w:rPr>
          <w:rFonts w:ascii="Aptos" w:hAnsi="Aptos" w:eastAsia="Aptos" w:cs="Aptos"/>
          <w:i w:val="1"/>
          <w:iCs w:val="1"/>
          <w:sz w:val="24"/>
          <w:lang w:val="it-IT"/>
        </w:rPr>
      </w:r>
    </w:p>
    <w:p w14:paraId="425D3202" w14:textId="09965148">
      <w:pPr>
        <w:pStyle w:val="CorpoA"/>
        <w:pBdr>
          <w:bottom w:val="single" w:color="000000" w:sz="6" w:space="1"/>
        </w:pBdr>
        <w:spacing w:after="200" w:line="276" w:lineRule="auto"/>
        <w:rPr>
          <w:rFonts w:ascii="Aptos" w:hAnsi="Aptos" w:eastAsia="Aptos" w:cs="Aptos"/>
        </w:rPr>
      </w:pPr>
    </w:p>
    <w:p w14:paraId="7BA60ED7" w14:textId="575EBD84">
      <w:pPr>
        <w:pStyle w:val="CorpoA"/>
      </w:pPr>
    </w:p>
    <w:p w14:paraId="12CB8A95" w14:textId="10DE54EF">
      <w:pPr>
        <w:pStyle w:val="Normale"/>
        <w:pBdr>
          <w:bottom w:val="single" w:color="000000" w:sz="6" w:space="1"/>
        </w:pBdr>
      </w:pPr>
    </w:p>
    <w:p w14:paraId="07701FDA" w14:textId="2E888B33">
      <w:pPr>
        <w:pStyle w:val="Normale"/>
        <w:pBdr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14:paraId="08A3D26D" w14:textId="27A8E710">
      <w:pPr>
        <w:pStyle w:val="Titolo2"/>
        <w:spacing w:after="200" w:line="276" w:lineRule="auto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1. EXECUTIVE SUMMARY</w:t>
      </w:r>
    </w:p>
    <w:p w14:paraId="6A81D936" w14:textId="6EDE2663">
      <w:pPr>
        <w:pStyle w:val="Titolo2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</w:p>
    <w:p w14:paraId="04B8D690" w14:textId="4E8CCA3F">
      <w:pPr>
        <w:pStyle w:val="Titolo2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</w:p>
    <w:p w14:paraId="2B4ACD91" w14:textId="2D6847A0">
      <w:pPr>
        <w:pStyle w:val="Normale"/>
        <w:pBdr>
          <w:bottom w:val="single" w:color="000000" w:sz="6" w:space="1"/>
        </w:pBdr>
      </w:pPr>
    </w:p>
    <w:p w14:paraId="3E5B6296" w14:textId="1D9FFA0A">
      <w:pPr>
        <w:pStyle w:val="Normale"/>
        <w:pBdr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14:paraId="4F11360B" w14:textId="63FFC20C">
      <w:pPr>
        <w:pStyle w:val="Normale"/>
      </w:pPr>
    </w:p>
    <w:p w14:paraId="516295C0" w14:textId="2820C087">
      <w:pPr>
        <w:pStyle w:val="Normale"/>
        <w:rPr>
          <w:rFonts w:ascii="Aptos" w:hAnsi="Aptos" w:eastAsia="Aptos" w:cs="Aptos"/>
          <w:lang w:val="it-IT"/>
        </w:rPr>
      </w:pPr>
    </w:p>
    <w:p w14:paraId="12B5A42B" w14:textId="291CDBD7">
      <w:pPr>
        <w:rPr>
          <w:rFonts w:ascii="Aptos" w:hAnsi="Aptos" w:eastAsia="Aptos" w:cs="Aptos"/>
          <w:lang w:val="it-IT"/>
        </w:rPr>
      </w:pPr>
    </w:p>
    <w:p w14:paraId="1A14EC8D" w14:textId="688B50A4">
      <w:pPr>
        <w:pStyle w:val="Titolo2"/>
        <w:spacing w:after="200" w:line="276" w:lineRule="auto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2. REFERENCES AND DEPENDENCIES</w:t>
      </w:r>
    </w:p>
    <w:p w14:paraId="1A14EC8E" w14:textId="66FDF915">
      <w:pPr>
        <w:pStyle w:val="CorpoA"/>
        <w:spacing w:after="200" w:line="276" w:lineRule="auto"/>
        <w:rPr>
          <w:rFonts w:ascii="Aptos" w:hAnsi="Aptos" w:eastAsia="Aptos" w:cs="Aptos"/>
          <w:sz w:val="22"/>
          <w:szCs w:val="22"/>
        </w:rPr>
      </w:pPr>
    </w:p>
    <w:p w14:paraId="06184C66" w14:textId="1ED6EA11">
      <w:pPr>
        <w:pStyle w:val="CorpoA"/>
        <w:pBdr>
          <w:bottom w:val="single" w:color="000000" w:sz="6" w:space="1"/>
        </w:pBdr>
        <w:spacing w:after="200" w:line="276" w:lineRule="auto"/>
        <w:rPr>
          <w:rFonts w:ascii="Aptos" w:hAnsi="Aptos" w:eastAsia="Aptos" w:cs="Aptos"/>
          <w:sz w:val="22"/>
          <w:szCs w:val="22"/>
        </w:rPr>
      </w:pPr>
    </w:p>
    <w:p w14:paraId="5531E3C6" w14:textId="77CF429F">
      <w:pPr>
        <w:pStyle w:val="Normale"/>
      </w:pPr>
    </w:p>
    <w:p w14:paraId="374348C6" w14:textId="286C0C42">
      <w:pPr>
        <w:rPr>
          <w:rFonts w:ascii="Aptos" w:hAnsi="Aptos" w:eastAsia="Aptos" w:cs="Aptos"/>
          <w:lang w:val="it-IT"/>
        </w:rPr>
      </w:pPr>
    </w:p>
    <w:p w14:paraId="1A14EC90" w14:textId="77777777">
      <w:pPr>
        <w:pStyle w:val="Titolo2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3. EXECUTIVE REFERENCE OVERVIEW</w:t>
      </w:r>
    </w:p>
    <w:p w14:paraId="1A14EC91" w14:textId="4BA1C436">
      <w:pPr>
        <w:pStyle w:val="CorpoA"/>
        <w:keepNext w:val="1"/>
        <w:keepLines w:val="1"/>
        <w:spacing w:before="200" w:after="200" w:line="276" w:lineRule="auto"/>
        <w:outlineLvl w:val="2"/>
        <w:rPr>
          <w:rFonts w:ascii="Aptos" w:hAnsi="Aptos" w:eastAsia="Aptos" w:cs="Aptos"/>
          <w:sz w:val="22"/>
          <w:szCs w:val="22"/>
          <w:lang w:val="en-US"/>
        </w:rPr>
      </w:pPr>
      <w:r>
        <w:rPr>
          <w:rStyle w:val="Titolo2Carattere"/>
          <w:rFonts w:ascii="Aptos" w:hAnsi="Aptos" w:eastAsia="Aptos" w:cs="Aptos"/>
          <w:b w:val="1"/>
          <w:bCs w:val="1"/>
          <w:color w:val="4F81BD"/>
          <w:sz w:val="24"/>
          <w:szCs w:val="28"/>
        </w:rPr>
        <w:t>3.1 Subparagraph</w:t>
        <w:br/>
        <w:t>Example table (style, alternating colors, etc.)</w:t>
      </w:r>
      <w:r>
        <w:rPr>
          <w:rStyle w:val="Titolo2Carattere"/>
          <w:rFonts w:ascii="Aptos" w:hAnsi="Aptos" w:eastAsia="Aptos" w:cs="Aptos"/>
          <w:b w:val="1"/>
          <w:bCs w:val="1"/>
          <w:color w:val="4F81BD"/>
          <w:sz w:val="24"/>
          <w:szCs w:val="28"/>
        </w:rPr>
      </w:r>
      <w:r>
        <w:rPr>
          <w:rFonts w:ascii="Aptos" w:hAnsi="Aptos" w:eastAsia="Aptos" w:cs="Aptos"/>
          <w:sz w:val="24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</w:p>
    <w:tbl>
      <w:tblPr>
        <w:tblStyle w:val="TableNormal"/>
        <w:tblW w:w="864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14:paraId="1A14EC96" w14:textId="77777777">
        <w:trPr>
          <w:trHeight w:val="720"/>
          <w:jc w:val="center"/>
        </w:trPr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2" w14:textId="77777777">
            <w:pPr>
              <w:pStyle w:val="CorpoA"/>
              <w:spacing w:after="200" w:line="276" w:lineRule="auto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</w:rPr>
              <w:t>X</w:t>
            </w: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3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</w:rPr>
              <w:t>Y</w:t>
            </w: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4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</w:rPr>
              <w:t>Z</w:t>
            </w: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5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</w:rPr>
              <w:t>A</w:t>
            </w:r>
          </w:p>
        </w:tc>
      </w:tr>
      <w:tr w14:paraId="1A14EC9B" w14:textId="77777777">
        <w:trPr>
          <w:trHeight w:val="820"/>
          <w:jc w:val="center"/>
        </w:trPr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7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8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9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A" w14:textId="77777777">
            <w:pPr>
              <w:rPr>
                <w:rFonts w:ascii="Aptos" w:hAnsi="Aptos" w:eastAsia="Aptos" w:cs="Aptos"/>
              </w:rPr>
            </w:pPr>
          </w:p>
        </w:tc>
      </w:tr>
      <w:tr w14:paraId="1A14ECA0" w14:textId="77777777">
        <w:trPr>
          <w:trHeight w:val="820"/>
          <w:jc w:val="center"/>
        </w:trPr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C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D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E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F" w14:textId="77777777">
            <w:pPr>
              <w:rPr>
                <w:rFonts w:ascii="Aptos" w:hAnsi="Aptos" w:eastAsia="Aptos" w:cs="Aptos"/>
              </w:rPr>
            </w:pPr>
          </w:p>
        </w:tc>
      </w:tr>
      <w:tr w14:paraId="1A14ECA5" w14:textId="77777777">
        <w:trPr>
          <w:trHeight w:val="820"/>
          <w:jc w:val="center"/>
        </w:trPr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1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2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3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4" w14:textId="77777777">
            <w:pPr>
              <w:rPr>
                <w:rFonts w:ascii="Aptos" w:hAnsi="Aptos" w:eastAsia="Aptos" w:cs="Aptos"/>
              </w:rPr>
            </w:pPr>
          </w:p>
        </w:tc>
      </w:tr>
      <w:tr w14:paraId="1A14ECAA" w14:textId="77777777">
        <w:trPr>
          <w:trHeight w:val="1060"/>
          <w:jc w:val="center"/>
        </w:trPr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6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7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8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3C113" w14:textId="00E9C713">
            <w:pPr>
              <w:rPr>
                <w:rFonts w:ascii="Aptos" w:hAnsi="Aptos" w:eastAsia="Aptos" w:cs="Aptos"/>
              </w:rPr>
            </w:pPr>
          </w:p>
          <w:p w14:paraId="1A14ECA9" w14:textId="491F2236">
            <w:pPr>
              <w:rPr>
                <w:rFonts w:ascii="Aptos" w:hAnsi="Aptos" w:eastAsia="Aptos" w:cs="Aptos"/>
              </w:rPr>
            </w:pPr>
          </w:p>
        </w:tc>
      </w:tr>
    </w:tbl>
    <w:p w14:paraId="1A14ECAD" w14:textId="4DB00490">
      <w:pPr>
        <w:pStyle w:val="CorpoA"/>
        <w:keepNext w:val="1"/>
        <w:keepLines w:val="1"/>
        <w:widowControl w:val="0"/>
        <w:spacing w:before="200" w:after="200" w:line="276" w:lineRule="auto"/>
        <w:ind w:left="216" w:hanging="216"/>
        <w:jc w:val="center"/>
        <w:rPr>
          <w:rFonts w:ascii="Aptos" w:hAnsi="Aptos" w:eastAsia="Aptos" w:cs="Aptos"/>
          <w:sz w:val="22"/>
          <w:szCs w:val="22"/>
        </w:rPr>
      </w:pPr>
    </w:p>
    <w:p w14:paraId="5433C324" w14:textId="21F9707B">
      <w:pPr>
        <w:pStyle w:val="Normale"/>
        <w:pBdr>
          <w:bottom w:val="single" w:color="000000" w:sz="6" w:space="1"/>
        </w:pBdr>
      </w:pPr>
    </w:p>
    <w:p w14:paraId="40B4CE0F" w14:textId="6B8A227C">
      <w:pPr>
        <w:pStyle w:val="Normale"/>
        <w:pBdr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14:paraId="63A9E5BA" w14:textId="2BE14B82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br w:type="page"/>
      </w:r>
    </w:p>
    <w:p w14:paraId="7C76ABCA" w14:textId="1DF69AC7">
      <w:pPr>
        <w:pBdr>
          <w:bottom w:val="single" w:color="000000" w:sz="6" w:space="1"/>
        </w:pBdr>
        <w:rPr>
          <w:rFonts w:ascii="Aptos" w:hAnsi="Aptos" w:eastAsia="Aptos" w:cs="Aptos"/>
        </w:rPr>
      </w:pPr>
    </w:p>
    <w:p w14:paraId="15F9D136" w14:textId="0E1882B5">
      <w:pPr>
        <w:rPr>
          <w:rFonts w:ascii="Aptos" w:hAnsi="Aptos" w:eastAsia="Aptos" w:cs="Aptos"/>
        </w:rPr>
      </w:pPr>
    </w:p>
    <w:p w14:paraId="1A14ECAE" w14:textId="5EDD85DF">
      <w:pPr>
        <w:pStyle w:val="Titolo2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4. RACI MATRIX</w:t>
      </w:r>
    </w:p>
    <w:tbl>
      <w:tblPr>
        <w:tblStyle w:val="TableNormal"/>
        <w:tblW w:w="8640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1A14ECB8" w14:textId="77777777">
        <w:trPr>
          <w:trHeight w:val="8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F" w14:textId="77777777">
            <w:pPr>
              <w:pStyle w:val="CorpoA"/>
              <w:jc w:val="center"/>
              <w:rPr>
                <w:rFonts w:ascii="Aptos" w:hAnsi="Aptos" w:eastAsia="Aptos" w:cs="Aptos"/>
                <w:sz w:val="28"/>
                <w:szCs w:val="28"/>
              </w:rPr>
            </w:pPr>
          </w:p>
          <w:p w14:paraId="1A14ECB0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ACTION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1" w14:textId="1833D7D1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2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3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4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5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6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7" w14:textId="77777777">
            <w:pPr>
              <w:rPr>
                <w:rFonts w:ascii="Aptos" w:hAnsi="Aptos" w:eastAsia="Aptos" w:cs="Aptos"/>
              </w:rPr>
            </w:pPr>
          </w:p>
        </w:tc>
      </w:tr>
      <w:tr w14:paraId="1A14ECC1" w14:textId="77777777">
        <w:trPr>
          <w:trHeight w:val="16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9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A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B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C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D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E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F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0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</w:tr>
      <w:tr w14:paraId="1A14ECCA" w14:textId="77777777">
        <w:trPr>
          <w:trHeight w:val="10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2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3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4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5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6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I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7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8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I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9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I</w:t>
            </w:r>
          </w:p>
        </w:tc>
      </w:tr>
      <w:tr w14:paraId="1A14ECD3" w14:textId="77777777">
        <w:trPr>
          <w:trHeight w:val="10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B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C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D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E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F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0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1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2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</w:tr>
      <w:tr w14:paraId="1A14ECDC" w14:textId="77777777">
        <w:trPr>
          <w:trHeight w:val="14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4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5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6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7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8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9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A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B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I</w:t>
            </w:r>
          </w:p>
        </w:tc>
      </w:tr>
      <w:tr w14:paraId="1A14ECE5" w14:textId="77777777">
        <w:trPr>
          <w:trHeight w:val="18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D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E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F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0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1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2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3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4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</w:tr>
      <w:tr w14:paraId="1A14ECEE" w14:textId="77777777">
        <w:trPr>
          <w:trHeight w:val="14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6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7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8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9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A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B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C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D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</w:tr>
      <w:tr w14:paraId="1A14ECF7" w14:textId="77777777">
        <w:trPr>
          <w:trHeight w:val="14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F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0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1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2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I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3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4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5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6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</w:tr>
    </w:tbl>
    <w:p w14:paraId="1A14ECF8" w14:textId="6DA74EDC">
      <w:pPr>
        <w:pStyle w:val="CorpoA"/>
        <w:keepNext w:val="1"/>
        <w:keepLines w:val="1"/>
        <w:widowControl w:val="0"/>
        <w:pBdr>
          <w:bottom w:val="single" w:color="000000" w:sz="6" w:space="1"/>
        </w:pBdr>
        <w:spacing w:before="200" w:after="200"/>
        <w:ind w:left="324" w:hanging="324"/>
        <w:outlineLvl w:val="1"/>
        <w:rPr>
          <w:rFonts w:ascii="Aptos" w:hAnsi="Aptos" w:eastAsia="Aptos" w:cs="Aptos"/>
          <w:b w:val="1"/>
          <w:bCs w:val="1"/>
          <w:color w:val="4F81BD"/>
          <w:sz w:val="26"/>
          <w:szCs w:val="26"/>
        </w:rPr>
      </w:pPr>
    </w:p>
    <w:p w14:paraId="73B8FD06" w14:textId="6392CF09">
      <w:pPr>
        <w:pStyle w:val="CorpoA"/>
        <w:keepNext w:val="1"/>
        <w:keepLines w:val="1"/>
        <w:widowControl w:val="0"/>
        <w:spacing w:before="200" w:after="200"/>
        <w:ind w:left="324" w:hanging="324"/>
        <w:outlineLvl w:val="1"/>
        <w:rPr>
          <w:rFonts w:ascii="Aptos" w:hAnsi="Aptos" w:eastAsia="Aptos" w:cs="Aptos"/>
          <w:b w:val="1"/>
          <w:bCs w:val="1"/>
          <w:color w:val="4F81BD"/>
          <w:sz w:val="26"/>
          <w:szCs w:val="26"/>
        </w:rPr>
      </w:pPr>
    </w:p>
    <w:p w14:paraId="1A14ECF9" w14:textId="77777777">
      <w:pPr>
        <w:pStyle w:val="CorpoA"/>
        <w:widowControl w:val="0"/>
        <w:spacing w:after="200"/>
        <w:jc w:val="center"/>
        <w:rPr>
          <w:rFonts w:ascii="Aptos" w:hAnsi="Aptos" w:eastAsia="Aptos" w:cs="Aptos"/>
          <w:b w:val="1"/>
          <w:bCs w:val="1"/>
          <w:color w:val="4F81BD"/>
          <w:sz w:val="26"/>
          <w:szCs w:val="26"/>
        </w:rPr>
      </w:pPr>
    </w:p>
    <w:p w14:paraId="391EA300" w14:textId="285F11DD">
      <w:pPr>
        <w:pStyle w:val="CorpoA"/>
        <w:widowControl w:val="0"/>
        <w:spacing w:after="200"/>
        <w:jc w:val="center"/>
        <w:rPr>
          <w:rFonts w:ascii="Aptos" w:hAnsi="Aptos" w:eastAsia="Aptos" w:cs="Aptos"/>
          <w:sz w:val="22"/>
          <w:szCs w:val="22"/>
        </w:rPr>
      </w:pPr>
    </w:p>
    <w:p w14:paraId="6E046408" w14:textId="193AA918">
      <w:pPr>
        <w:widowControl w:val="0"/>
        <w:spacing w:after="200"/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br w:type="page"/>
      </w:r>
    </w:p>
    <w:p w14:paraId="1A14ECFA" w14:textId="430CE396">
      <w:pPr>
        <w:pStyle w:val="CorpoA"/>
        <w:widowControl w:val="0"/>
        <w:spacing w:after="200"/>
        <w:jc w:val="center"/>
        <w:rPr>
          <w:rFonts w:ascii="Aptos" w:hAnsi="Aptos" w:eastAsia="Aptos" w:cs="Aptos"/>
          <w:sz w:val="22"/>
          <w:szCs w:val="22"/>
          <w:lang w:val="en-US"/>
        </w:rPr>
      </w:pPr>
      <w:r>
        <w:rPr>
          <w:rFonts w:ascii="Aptos" w:hAnsi="Aptos" w:eastAsia="Aptos" w:cs="Aptos"/>
          <w:sz w:val="24"/>
          <w:szCs w:val="22"/>
          <w:lang w:val="en-US"/>
        </w:rPr>
        <w:t>Example tree in case of a decision tree in the destination file</w:t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</w:p>
    <w:tbl>
      <w:tblPr>
        <w:tblStyle w:val="TableNormal"/>
        <w:tblW w:w="864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8640"/>
      </w:tblGrid>
      <w:tr w14:paraId="1A14ECFC" w14:textId="77777777">
        <w:trPr>
          <w:trHeight w:val="6625"/>
          <w:jc w:val="center"/>
        </w:trPr>
        <w:tc>
          <w:tcPr>
            <w:tcW w:w="86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B" w14:textId="77777777">
            <w:pPr>
              <w:pStyle w:val="CorpoA"/>
              <w:spacing w:after="200" w:line="276" w:lineRule="auto"/>
              <w:rPr>
                <w:rFonts w:ascii="Aptos" w:hAnsi="Aptos" w:eastAsia="Aptos" w:cs="Aptos"/>
                <w:b w:val="1"/>
                <w:bCs w:val="1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[DP1] Security event detected by SOC/SIEM/Dynatrace/Zabbix?</w:t>
              <w:br/>
              <w:t xml:space="preserve">  ├─ NO  → log, possible rule tuning, close as event</w:t>
              <w:br/>
              <w:t xml:space="preserve">  └─ YES → proceed to IR triage</w:t>
              <w:br/>
              <w:br/>
              <w:t>[DP2] Incident confirmed and classified as SEV4–SEV1?</w:t>
              <w:br/>
              <w:t xml:space="preserve">  ├─ NO  → maintain enhanced monitoring</w:t>
              <w:br/>
              <w:t xml:space="preserve">  └─ YES → activate IR Lead (SEV3–SEV1) and update ticket</w:t>
              <w:br/>
              <w:br/>
              <w:t>[DP3] Impact on critical services / potential DR?</w:t>
              <w:br/>
              <w:t xml:space="preserve">  ├─ NO  → standard IR handling without DR</w:t>
              <w:br/>
              <w:t xml:space="preserve">  └─ YES → involve DR Manager and BCP Coordinator</w:t>
              <w:br/>
              <w:br/>
              <w:t>[DP4] DR activation criteria met (NIST 800-34, DRP ANAS)?</w:t>
              <w:br/>
              <w:t xml:space="preserve">  ├─ NO  → local recovery on primary</w:t>
              <w:br/>
              <w:t xml:space="preserve">  └─ YES → propose DR activation to the Cyber/DR Crisis Committee</w:t>
              <w:br/>
              <w:br/>
              <w:t>[DP5] Incident significant for NIS2/ACN purposes?</w:t>
              <w:br/>
              <w:t xml:space="preserve">  ├─ NO  → internal reporting, lessons learned</w:t>
              <w:br/>
              <w:t xml:space="preserve">  └─ YES → early warning (24h), incident notification (72h), final report (~30 days)</w:t>
              <w:br/>
              <w:br/>
              <w:t>[DP6] Environment considered "cleaned" and ready for reintroduction into production/DR?</w:t>
              <w:br/>
              <w:t xml:space="preserve">  ├─ NO  → keep isolated, continue remediation/forensics</w:t>
              <w:br/>
              <w:t xml:space="preserve">  └─ YES → readmit hosts/services following defined security criteria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sz w:val="24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</w:r>
          </w:p>
        </w:tc>
      </w:tr>
    </w:tbl>
    <w:p w14:paraId="1A14ECFD" w14:textId="77777777">
      <w:pPr>
        <w:pStyle w:val="CorpoA"/>
        <w:widowControl w:val="0"/>
        <w:spacing w:after="200"/>
        <w:ind w:left="216" w:hanging="216"/>
        <w:jc w:val="center"/>
        <w:rPr>
          <w:rFonts w:ascii="Aptos" w:hAnsi="Aptos" w:eastAsia="Aptos" w:cs="Aptos"/>
          <w:sz w:val="22"/>
          <w:szCs w:val="22"/>
        </w:rPr>
      </w:pPr>
    </w:p>
    <w:p w14:paraId="5EB8D445" w14:textId="7B01F926">
      <w:pPr>
        <w:pStyle w:val="CorpoA"/>
        <w:widowControl w:val="0"/>
        <w:pBdr>
          <w:bottom w:val="single" w:color="000000" w:sz="6" w:space="1"/>
        </w:pBdr>
        <w:spacing w:after="200"/>
        <w:ind w:left="108" w:hanging="108"/>
        <w:rPr>
          <w:rFonts w:ascii="Aptos" w:hAnsi="Aptos" w:eastAsia="Aptos" w:cs="Aptos"/>
          <w:sz w:val="22"/>
          <w:szCs w:val="22"/>
        </w:rPr>
      </w:pPr>
    </w:p>
    <w:p w14:paraId="29296973" w14:textId="4B2D9ECB">
      <w:pPr>
        <w:pStyle w:val="CorpoA"/>
        <w:widowControl w:val="0"/>
        <w:spacing w:after="200"/>
        <w:ind w:left="108" w:hanging="108"/>
        <w:rPr>
          <w:rFonts w:ascii="Aptos" w:hAnsi="Aptos" w:eastAsia="Aptos" w:cs="Aptos"/>
          <w:sz w:val="22"/>
          <w:szCs w:val="22"/>
        </w:rPr>
      </w:pPr>
    </w:p>
    <w:p w14:paraId="1A14ED01" w14:textId="025F7D2B">
      <w:pPr>
        <w:pStyle w:val="CorpoA"/>
        <w:pBdr>
          <w:bottom w:val="single" w:color="000000" w:sz="6" w:space="1"/>
        </w:pBdr>
        <w:tabs>
          <w:tab w:val="left" w:pos="360"/>
        </w:tabs>
        <w:spacing w:after="200" w:line="276" w:lineRule="auto"/>
        <w:ind w:left="360" w:hanging="360"/>
        <w:rPr>
          <w:rFonts w:ascii="Aptos" w:hAnsi="Aptos" w:eastAsia="Aptos" w:cs="Aptos"/>
          <w:sz w:val="22"/>
          <w:szCs w:val="22"/>
        </w:rPr>
      </w:pPr>
    </w:p>
    <w:p w14:paraId="1A14ED02" w14:textId="3B538606">
      <w:pPr>
        <w:pStyle w:val="Titolo2"/>
        <w:pBdr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360"/>
        </w:tabs>
        <w:spacing w:after="200" w:line="276" w:lineRule="auto"/>
        <w:ind w:left="360" w:hanging="360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7. RUNBOOK ET ALIA</w:t>
      </w:r>
    </w:p>
    <w:p w14:paraId="1A14ED03" w14:textId="77777777">
      <w:pPr>
        <w:pStyle w:val="CorpoA"/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  <w:r>
        <w:rPr>
          <w:rFonts w:ascii="Aptos" w:hAnsi="Aptos" w:eastAsia="Aptos" w:cs="Aptos"/>
          <w:b w:val="1"/>
          <w:bCs w:val="1"/>
          <w:color w:val="4F81BD"/>
          <w:sz w:val="24"/>
          <w:szCs w:val="22"/>
          <w:lang w:val="en-US"/>
        </w:rPr>
        <w:t>Objective: objective</w:t>
      </w:r>
      <w:r>
        <w:rPr>
          <w:rFonts w:ascii="Aptos" w:hAnsi="Aptos" w:eastAsia="Aptos" w:cs="Aptos"/>
          <w:sz w:val="24"/>
          <w:szCs w:val="22"/>
          <w:lang w:val="en-US"/>
        </w:rPr>
      </w:r>
      <w:r>
        <w:rPr>
          <w:rFonts w:ascii="Aptos" w:hAnsi="Aptos" w:eastAsia="Aptos" w:cs="Aptos"/>
          <w:sz w:val="24"/>
          <w:szCs w:val="22"/>
          <w:lang w:val="en-US"/>
        </w:rPr>
      </w:r>
    </w:p>
    <w:p w14:paraId="1A14ED04" w14:textId="77777777">
      <w:pPr>
        <w:pStyle w:val="CorpoA"/>
        <w:spacing w:after="200" w:line="276" w:lineRule="auto"/>
        <w:rPr>
          <w:rFonts w:ascii="Aptos" w:hAnsi="Aptos" w:eastAsia="Aptos" w:cs="Aptos"/>
          <w:sz w:val="22"/>
          <w:szCs w:val="22"/>
        </w:rPr>
      </w:pPr>
      <w:r>
        <w:rPr>
          <w:rFonts w:ascii="Aptos" w:hAnsi="Aptos" w:eastAsia="Aptos" w:cs="Aptos"/>
          <w:b w:val="1"/>
          <w:bCs w:val="1"/>
          <w:sz w:val="24"/>
          <w:szCs w:val="22"/>
        </w:rPr>
        <w:t>Routine</w:t>
      </w:r>
      <w:r>
        <w:rPr>
          <w:rFonts w:ascii="Aptos" w:hAnsi="Aptos" w:eastAsia="Aptos" w:cs="Aptos"/>
          <w:sz w:val="24"/>
          <w:szCs w:val="22"/>
        </w:rPr>
        <w:t>:</w:t>
      </w:r>
    </w:p>
    <w:p w14:paraId="1A14ED05" w14:textId="77777777">
      <w:pPr>
        <w:pStyle w:val="CorpoA"/>
        <w:numPr>
          <w:ilvl w:val="0"/>
          <w:numId w:val="2"/>
        </w:numPr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  <w:r>
        <w:rPr>
          <w:rFonts w:ascii="Aptos" w:hAnsi="Aptos" w:eastAsia="Aptos" w:cs="Aptos"/>
          <w:sz w:val="24"/>
          <w:szCs w:val="22"/>
          <w:lang w:val="en-US"/>
        </w:rPr>
        <w:t>1.1 step 1</w:t>
      </w:r>
      <w:r>
        <w:rPr>
          <w:rFonts w:ascii="Aptos" w:hAnsi="Aptos" w:eastAsia="Aptos" w:cs="Aptos"/>
          <w:sz w:val="24"/>
          <w:szCs w:val="22"/>
        </w:rPr>
      </w:r>
      <w:r>
        <w:rPr>
          <w:rFonts w:ascii="Aptos" w:hAnsi="Aptos" w:eastAsia="Aptos" w:cs="Aptos"/>
          <w:sz w:val="24"/>
          <w:szCs w:val="22"/>
        </w:rPr>
      </w:r>
    </w:p>
    <w:p w14:paraId="572356C9" w14:textId="0A92F872">
      <w:pPr>
        <w:pStyle w:val="CorpoA"/>
        <w:numPr>
          <w:ilvl w:val="0"/>
          <w:numId w:val="2"/>
        </w:numPr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  <w:r>
        <w:rPr>
          <w:rFonts w:ascii="Aptos" w:hAnsi="Aptos" w:eastAsia="Aptos" w:cs="Aptos"/>
          <w:sz w:val="24"/>
          <w:szCs w:val="22"/>
          <w:lang w:val="en-US"/>
        </w:rPr>
        <w:t>1.2 step 2 etc.</w:t>
      </w:r>
      <w:r>
        <w:rPr>
          <w:rFonts w:ascii="Aptos" w:hAnsi="Aptos" w:eastAsia="Aptos" w:cs="Aptos"/>
          <w:sz w:val="24"/>
          <w:szCs w:val="22"/>
        </w:rPr>
      </w:r>
      <w:r>
        <w:rPr>
          <w:rFonts w:ascii="Aptos" w:hAnsi="Aptos" w:eastAsia="Aptos" w:cs="Aptos"/>
          <w:sz w:val="24"/>
          <w:szCs w:val="22"/>
        </w:rPr>
      </w:r>
      <w:r>
        <w:rPr>
          <w:rFonts w:ascii="Aptos" w:hAnsi="Aptos" w:eastAsia="Aptos" w:cs="Aptos"/>
          <w:sz w:val="24"/>
          <w:szCs w:val="22"/>
        </w:rPr>
      </w:r>
      <w:r>
        <w:rPr>
          <w:rFonts w:ascii="Aptos" w:hAnsi="Aptos" w:eastAsia="Aptos" w:cs="Aptos"/>
          <w:sz w:val="24"/>
          <w:szCs w:val="22"/>
        </w:rPr>
      </w:r>
    </w:p>
    <w:p w14:paraId="26CC55C7" w14:textId="0A153EC7">
      <w:pPr>
        <w:pStyle w:val="CorpoA"/>
        <w:numPr>
          <w:ilvl w:val="0"/>
          <w:numId w:val="2"/>
        </w:numPr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</w:p>
    <w:p w14:paraId="15362B55" w14:textId="3F8CE8AF">
      <w:pPr>
        <w:pStyle w:val="CorpoA"/>
        <w:numPr>
          <w:ilvl w:val="0"/>
          <w:numId w:val="2"/>
        </w:numPr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</w:p>
    <w:p w14:paraId="11837B07" w14:textId="44A58FC8">
      <w:pPr>
        <w:pStyle w:val="CorpoA"/>
        <w:numPr>
          <w:ilvl w:val="0"/>
          <w:numId w:val="2"/>
        </w:numPr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</w:p>
    <w:p w14:paraId="1A14ED07" w14:textId="01C3F465">
      <w:pPr>
        <w:pStyle w:val="CorpoA"/>
        <w:pBdr>
          <w:bottom w:val="single" w:color="000000" w:sz="6" w:space="1"/>
        </w:pBdr>
        <w:tabs>
          <w:tab w:val="left" w:pos="360"/>
        </w:tabs>
        <w:spacing w:after="200" w:line="276" w:lineRule="auto"/>
        <w:rPr>
          <w:rFonts w:ascii="Aptos" w:hAnsi="Aptos" w:eastAsia="Aptos" w:cs="Aptos"/>
          <w:sz w:val="22"/>
          <w:szCs w:val="22"/>
        </w:rPr>
      </w:pPr>
    </w:p>
    <w:p w14:paraId="2934489C" w14:textId="7A086524">
      <w:pPr>
        <w:pStyle w:val="CorpoA"/>
        <w:pBdr>
          <w:bottom w:val="single" w:color="000000" w:sz="6" w:space="1"/>
        </w:pBdr>
        <w:tabs>
          <w:tab w:val="left" w:pos="360"/>
        </w:tabs>
        <w:spacing w:after="200" w:line="276" w:lineRule="auto"/>
        <w:rPr>
          <w:rFonts w:ascii="Aptos" w:hAnsi="Aptos" w:eastAsia="Aptos" w:cs="Aptos"/>
          <w:sz w:val="22"/>
          <w:szCs w:val="22"/>
        </w:rPr>
      </w:pPr>
    </w:p>
    <w:p w14:paraId="61E4859D" w14:textId="7C4C2D7E">
      <w:pPr>
        <w:pStyle w:val="CorpoA"/>
        <w:tabs>
          <w:tab w:val="left" w:pos="360"/>
        </w:tabs>
        <w:spacing w:after="200" w:line="276" w:lineRule="auto"/>
        <w:rPr>
          <w:rFonts w:ascii="Aptos" w:hAnsi="Aptos" w:eastAsia="Aptos" w:cs="Aptos"/>
          <w:sz w:val="22"/>
          <w:szCs w:val="22"/>
        </w:rPr>
      </w:pPr>
    </w:p>
    <w:p w14:paraId="1A14ED08" w14:textId="77777777">
      <w:pPr>
        <w:pStyle w:val="CorpoA"/>
        <w:tabs>
          <w:tab w:val="left" w:pos="360"/>
        </w:tabs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</w:p>
    <w:p w14:paraId="3D030206" w14:textId="782483A2">
      <w:pPr>
        <w:pBdr>
          <w:bottom w:val="single" w:color="000000" w:sz="6" w:space="1"/>
        </w:pBdr>
        <w:rPr>
          <w:rFonts w:ascii="Aptos" w:hAnsi="Aptos" w:eastAsia="Aptos" w:cs="Aptos"/>
        </w:rPr>
      </w:pPr>
    </w:p>
    <w:p w14:paraId="33A22BD8" w14:textId="72572B83">
      <w:pPr>
        <w:rPr>
          <w:rFonts w:ascii="Aptos Narrow" w:hAnsi="Aptos Narrow" w:eastAsia="Aptos Narrow" w:cs="Aptos Narrow"/>
        </w:rPr>
      </w:pPr>
    </w:p>
    <w:p w14:paraId="1A14ED0A" w14:textId="1DB87308">
      <w:pPr>
        <w:pStyle w:val="Titolo2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8. CLOSING NOTES</w:t>
      </w:r>
    </w:p>
    <w:p w14:paraId="09AB3862" w14:textId="090592DD">
      <w:pPr>
        <w:pStyle w:val="Normale"/>
      </w:pPr>
    </w:p>
    <w:p w14:paraId="53DA758C" w14:textId="10371DB2">
      <w:pPr>
        <w:pStyle w:val="Normale"/>
        <w:pBdr>
          <w:bottom w:val="single" w:color="000000" w:sz="6" w:space="1"/>
        </w:pBdr>
      </w:pPr>
    </w:p>
    <w:p w14:paraId="155FF994" w14:textId="2A626321">
      <w:pPr>
        <w:pStyle w:val="Normale"/>
        <w:pBdr>
          <w:bottom w:val="single" w:color="000000" w:sz="6" w:space="1"/>
        </w:pBdr>
      </w:pPr>
    </w:p>
    <w:p w14:paraId="2D7FD8EB" w14:textId="59CD1CC9">
      <w:pPr>
        <w:pStyle w:val="Normale"/>
        <w:pBdr>
          <w:bottom w:val="single" w:color="000000" w:sz="6" w:space="1"/>
        </w:pBdr>
      </w:pPr>
    </w:p>
    <w:p w14:paraId="5FAAD9AC" w14:textId="224CA234">
      <w:pPr>
        <w:pStyle w:val="Normale"/>
        <w:pBdr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14:paraId="40E0AEC3" w14:textId="17215F7C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br w:type="page"/>
      </w:r>
    </w:p>
    <w:p w14:paraId="02169B7C" w14:textId="64D06588">
      <w:pPr>
        <w:pBdr>
          <w:bottom w:val="single" w:color="000000" w:sz="6" w:space="1"/>
        </w:pBdr>
        <w:rPr>
          <w:rFonts w:ascii="Aptos" w:hAnsi="Aptos" w:eastAsia="Aptos" w:cs="Aptos"/>
        </w:rPr>
      </w:pPr>
    </w:p>
    <w:p w14:paraId="06F89BDE" w14:textId="6E4E6CFA">
      <w:pPr>
        <w:rPr>
          <w:rFonts w:ascii="Aptos Narrow" w:hAnsi="Aptos Narrow" w:eastAsia="Aptos Narrow" w:cs="Aptos Narrow"/>
        </w:rPr>
      </w:pPr>
    </w:p>
    <w:p w14:paraId="1A14ED0C" w14:textId="18A956D3">
      <w:pPr>
        <w:pStyle w:val="Titolo2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9. REFERENCE COMPLIANCE / REGULATORY</w:t>
      </w:r>
    </w:p>
    <w:p w14:paraId="0A31578C" w14:textId="0DFDF4DC">
      <w:pPr>
        <w:pStyle w:val="Titolo2"/>
        <w:rPr>
          <w:rFonts w:ascii="Avenir Next LT Pro" w:hAnsi="Avenir Next LT Pro" w:eastAsia="Avenir Next LT Pro" w:cs="Avenir Next LT Pro"/>
          <w:b w:val="1"/>
          <w:bCs w:val="1"/>
          <w:color w:val="4F81BD"/>
          <w:sz w:val="32"/>
          <w:szCs w:val="32"/>
        </w:rPr>
      </w:pPr>
    </w:p>
    <w:tbl>
      <w:tblPr>
        <w:tblStyle w:val="TableNormal"/>
        <w:tblW w:w="8856" w:type="dxa"/>
        <w:jc w:val="center"/>
        <w:tbl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2155"/>
        <w:gridCol w:w="2300"/>
        <w:gridCol w:w="2156"/>
        <w:gridCol w:w="2245"/>
      </w:tblGrid>
      <w:tr w14:paraId="1A14ED11" w14:textId="77777777">
        <w:trPr>
          <w:trHeight w:val="571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0D" w14:textId="77777777">
            <w:pPr>
              <w:pStyle w:val="CorpoA"/>
              <w:spacing w:after="200" w:line="276" w:lineRule="auto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FRAMEWORK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0E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SCOPE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0F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DETAILS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0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KPI</w:t>
            </w:r>
          </w:p>
        </w:tc>
      </w:tr>
      <w:tr w14:paraId="1A14ED16" w14:textId="77777777">
        <w:trPr>
          <w:trHeight w:val="106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2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NIST Cybersecurity Framework 2.0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3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Cyber risk management (functions ID, PR, DE, RS, RC).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4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Overall guide for structuring detection, response and recovery.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5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RESPOND/RECOVER functions; align IR/DR runbooks with RS and RC categories.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</w:tr>
      <w:tr w14:paraId="24E935A6">
        <w:trPr>
          <w:trHeight w:val="106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41446" w14:textId="793DC8E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2"/>
                <w:lang w:val="en-US"/>
              </w:rPr>
              <w:t>NIST IR 8286 Rev. 1 – Integrating Cybersecurity and Enterprise Risk Management (ERM)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6ECCA" w14:textId="33F5623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Integration between cybersecurity risk management and ERM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E59BF" w14:textId="5E452AE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Foundational document in the NIST IR 8286 series, placing cyber risk within Enterprise Risk Management processes.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B654C" w14:textId="1E59706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it-IT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Risk communication from an enterprise and business perspective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</w:p>
        </w:tc>
      </w:tr>
      <w:tr w14:paraId="03DE96D2">
        <w:trPr>
          <w:trHeight w:val="106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F06F8" w14:textId="7FD5F1E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2"/>
                <w:lang w:val="en-US"/>
              </w:rPr>
              <w:t>NIST IR 8286B-upd1 – Prioritizing Cybersecurity Risk for Enterprise Risk Management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FD325" w14:textId="18AD19C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Cyber risk prioritization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0DB5D" w14:textId="65F21B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it-IT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Describes how to assign priorities to risks and responses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DE910" w14:textId="0E2E154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it-IT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Prioritization and reporting of the same in the Risk Register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</w:p>
        </w:tc>
      </w:tr>
      <w:tr w14:paraId="13619B4F">
        <w:trPr>
          <w:trHeight w:val="1300"/>
          <w:jc w:val="center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96B4A" w14:textId="40144FA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2"/>
                <w:lang w:val="en-US"/>
              </w:rPr>
              <w:t>NIST SP 1303 – NIST Cybersecurity Framework 2.0: Enterprise Risk Management Quick-Start Guide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42350" w14:textId="0A49D5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Enterprise risk management / cyber-ERM integration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6F211" w14:textId="7DEDEEC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NIST operational guide for integrating NIST CSF v2.0 into ERM processes, with common language, risk monitoring and alignment with the organization’s decision-making processes.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F84CF" w14:textId="3B2A08E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Support for NIST CSF v2.0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</w:r>
          </w:p>
        </w:tc>
      </w:tr>
      <w:tr w14:paraId="5FFE43C0">
        <w:trPr>
          <w:trHeight w:val="1060"/>
          <w:jc w:val="center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20100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NIST SP 800-34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79545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Contingency Planning and DR for information systems.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04D31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Guide for defining DRP, activation criteria and reconstitution.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81C4D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DR activation criteria, system recovery plans and return to normal operations.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</w:tr>
      <w:tr w14:paraId="1A14ED1B" w14:textId="77777777">
        <w:trPr>
          <w:trHeight w:val="130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7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NIST SP 800-61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8" w14:textId="77777777">
            <w:pPr>
              <w:pStyle w:val="CorpoA"/>
              <w:rPr>
                <w:rFonts w:ascii="Aptos" w:hAnsi="Aptos" w:eastAsia="Aptos" w:cs="Aptos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Computer Security Incident Handling (IR process).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9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Defines the complete incident response lifecycle.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A" w14:textId="77777777">
            <w:pPr>
              <w:pStyle w:val="CorpoA"/>
              <w:rPr>
                <w:rFonts w:ascii="Aptos" w:hAnsi="Aptos" w:eastAsia="Aptos" w:cs="Aptos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Preparation, detection/analysis, containment, eradication, recovery, post-incident.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</w:tr>
      <w:tr w14:paraId="1A14ED25" w14:textId="77777777">
        <w:trPr>
          <w:trHeight w:val="130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1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NIST SP 800-184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2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Cybersecurity Event Recovery.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3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Focuses on the post-cyber-incident recovery phase.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4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Define recovery runbooks integrated with IR, including post-event hardening measures.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</w:tr>
      <w:tr w14:paraId="2D979F66">
        <w:trPr>
          <w:trHeight w:val="130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7BD06" w14:textId="056C8A5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2"/>
                <w:lang w:val="en-US"/>
              </w:rPr>
              <w:t>NIST SP 800-221 – Enterprise Impact of Information and Communications Technology Risk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AA433" w14:textId="6F8F31B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ICT risk / enterprise impact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6433B" w14:textId="24DCC51A">
            <w:pPr>
              <w:pStyle w:val="Normale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it-IT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Elevate ICT risks from the technical level to the enterprise level, using the Risk Register and risk profiles.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73741" w14:textId="375FA03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it-IT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Use and guidance in Risk Register formulation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</w:r>
          </w:p>
        </w:tc>
      </w:tr>
      <w:tr w14:paraId="1A14ED2A" w14:textId="77777777">
        <w:trPr>
          <w:trHeight w:val="106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6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ISO/IEC 27001:2022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7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Information Security Management System (ISMS).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8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Governance framework for processes, controls, roles and risks.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9" w14:textId="77777777">
            <w:pPr>
              <w:pStyle w:val="CorpoA"/>
              <w:rPr>
                <w:rFonts w:ascii="Aptos" w:hAnsi="Aptos" w:eastAsia="Aptos" w:cs="Aptos"/>
                <w:lang w:val="fr-FR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fr-FR"/>
              </w:rPr>
              <w:t>Controls for incident management, logging, BC/DR and change management.</w:t>
            </w:r>
            <w:r>
              <w:rPr>
                <w:rFonts w:ascii="Aptos" w:hAnsi="Aptos" w:eastAsia="Aptos" w:cs="Aptos"/>
                <w:sz w:val="24"/>
                <w:szCs w:val="22"/>
                <w:lang w:val="fr-FR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fr-FR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fr-FR"/>
              </w:rPr>
            </w:r>
          </w:p>
        </w:tc>
      </w:tr>
      <w:tr w14:paraId="1A14ED2F" w14:textId="77777777">
        <w:trPr>
          <w:trHeight w:val="130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B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ISO/IEC 27035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C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Information Security Incident Management.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D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Standard dedicated to the IR process and organization.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E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Defines the incident lifecycle, roles, communications and continuous improvement.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</w:tr>
      <w:tr w14:paraId="1A14ED34" w14:textId="77777777">
        <w:trPr>
          <w:trHeight w:val="106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0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ISO 22301 / ISO 27031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1" w14:textId="77777777">
            <w:pPr>
              <w:pStyle w:val="CorpoA"/>
              <w:rPr>
                <w:rFonts w:ascii="Aptos" w:hAnsi="Aptos" w:eastAsia="Aptos" w:cs="Aptos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Business Continuity and ICT Readiness for BC.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2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Ensures that DR and BC are integrated and measurable.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3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Impact analysis (BIA), RTO/RPO, joint DR/BC exercises.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</w:tr>
      <w:tr w14:paraId="1A14ED39" w14:textId="77777777">
        <w:trPr>
          <w:trHeight w:val="130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5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NIS2 Directive / ACN Guidelines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6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Network and system resilience and security for essential/important entities.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7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Introduces obligations for risk management and incident notification.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8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Early warning (24h), incident notification (72h), final report (~30 days) for significant incidents.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</w:r>
          </w:p>
        </w:tc>
      </w:tr>
    </w:tbl>
    <w:p w14:paraId="1A14ED3C" w14:textId="649F551D">
      <w:pPr>
        <w:pStyle w:val="CorpoA"/>
        <w:keepNext w:val="1"/>
        <w:keepLines w:val="1"/>
        <w:widowControl w:val="0"/>
        <w:pBdr>
          <w:bottom w:val="single" w:color="000000" w:sz="6" w:space="1"/>
        </w:pBdr>
        <w:spacing w:before="200" w:after="200" w:line="276" w:lineRule="auto"/>
        <w:ind w:left="216" w:hanging="216"/>
        <w:jc w:val="center"/>
        <w:outlineLvl w:val="2"/>
        <w:rPr>
          <w:rFonts w:ascii="Aptos" w:hAnsi="Aptos" w:eastAsia="Aptos" w:cs="Aptos"/>
          <w:b w:val="1"/>
          <w:bCs w:val="1"/>
          <w:color w:val="4F81BD"/>
          <w:lang w:val="en-US"/>
        </w:rPr>
      </w:pPr>
    </w:p>
    <w:p w14:paraId="1A14ED3D" w14:textId="04A09150">
      <w:pPr>
        <w:pStyle w:val="CorpoA"/>
        <w:keepNext w:val="1"/>
        <w:keepLines w:val="1"/>
        <w:widowControl w:val="0"/>
        <w:spacing w:before="200" w:after="200" w:line="276" w:lineRule="auto"/>
        <w:ind w:left="216" w:hanging="216"/>
        <w:jc w:val="center"/>
        <w:outlineLvl w:val="2"/>
        <w:rPr>
          <w:rFonts w:ascii="Aptos" w:hAnsi="Aptos" w:eastAsia="Aptos" w:cs="Aptos"/>
          <w:b w:val="1"/>
          <w:bCs w:val="1"/>
          <w:color w:val="4F81BD"/>
          <w:lang w:val="en-US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28"/>
          <w:szCs w:val="26"/>
        </w:rPr>
        <w:t>END OF DOCUMENT</w:t>
      </w:r>
    </w:p>
    <w:sectPr>
      <w:headerReference w:type="default" r:id="rId8"/>
      <w:footerReference w:type="default" r:id="rId9"/>
      <w:pgSz w:w="11900" w:h="16840" w:orient="portrait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035D5" w14:textId="77777777">
      <w:r>
        <w:separator/>
      </w:r>
    </w:p>
  </w:endnote>
  <w:endnote w:type="continuationSeparator" w:id="0">
    <w:p w14:paraId="716FD3E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948EB" w14:textId="01FCF1CB">
    <w:pPr>
      <w:pStyle w:val="Footer"/>
      <w:jc w:val="right"/>
    </w:pPr>
  </w:p>
  <w:p w14:paraId="1A14ED3F" w14:textId="664420F1">
    <w:pPr>
      <w:pBdr>
        <w:top w:val="single" w:color="2E75B6" w:sz="4" w:space="1"/>
      </w:pBdr>
      <w:tabs>
        <w:tab w:val="right" w:leader="none" w:pos="9026"/>
      </w:tabs>
      <w:spacing w:before="100"/>
      <w:rPr>
        <w:rFonts w:ascii="Arial" w:hAnsi="Arial" w:eastAsia="Arial" w:cs="Arial"/>
        <w:b w:val="0"/>
        <w:bCs w:val="0"/>
        <w:i w:val="0"/>
        <w:iCs w:val="0"/>
        <w:noProof w:val="0"/>
        <w:color w:val="666666"/>
        <w:sz w:val="15"/>
        <w:szCs w:val="15"/>
        <w:lang w:val="pt-BR"/>
      </w:rPr>
    </w:pP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  <w:t xml:space="preserve">Internal Use — Confidential </w:t>
      <w:tab/>
      <w:t>vx.x — YYYY-MM | Page &lt;#&gt;</w:t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</w:r>
    <w:r>
      <w:rPr>
        <w:rFonts w:ascii="Aptos" w:hAnsi="Aptos" w:eastAsia="Aptos" w:cs="Aptos"/>
        <w:sz w:val="24"/>
      </w:rPr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CB7FE" w14:textId="77777777">
      <w:r>
        <w:separator/>
      </w:r>
    </w:p>
  </w:footnote>
  <w:footnote w:type="continuationSeparator" w:id="0">
    <w:p w14:paraId="717E75A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ED3E" w14:textId="04F5ACA5">
    <w:pPr>
      <w:pBdr>
        <w:bottom w:val="single" w:color="2E75B6" w:sz="4" w:space="1"/>
      </w:pBdr>
      <w:tabs>
        <w:tab w:val="right" w:leader="none" w:pos="9026"/>
      </w:tabs>
      <w:spacing w:after="100"/>
      <w:rPr>
        <w:rFonts w:ascii="Arial" w:hAnsi="Arial" w:eastAsia="Arial" w:cs="Arial"/>
        <w:b w:val="0"/>
        <w:bCs w:val="0"/>
        <w:i w:val="0"/>
        <w:iCs w:val="0"/>
        <w:noProof w:val="0"/>
        <w:color w:val="666666"/>
        <w:sz w:val="15"/>
        <w:szCs w:val="15"/>
        <w:lang w:val="en-US"/>
      </w:rPr>
    </w:pP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en-US"/>
      </w:rPr>
      <w:t>Document_ID_if_available — Document_name</w:t>
      <w:tab/>
      <w:t>vx.x</w:t>
    </w:r>
    <w:r>
      <w:rPr>
        <w:rFonts w:ascii="Aptos" w:hAnsi="Aptos" w:eastAsia="Aptos" w:cs="Aptos"/>
        <w:sz w:val="24"/>
      </w:rPr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en-US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44F0"/>
    <w:multiLevelType w:val="hybridMultilevel"/>
    <w:tmpl w:val="E41A78C8"/>
    <w:styleLink w:val="Stileimportato1"/>
    <w:lvl w:ilvl="0" w:tplc="EE0CD9E8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3AE727A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CC2E518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E07C70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744B56C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6A64E6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7CB3B6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6EAB04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74DFBA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FBF77C8"/>
    <w:multiLevelType w:val="hybridMultilevel"/>
    <w:tmpl w:val="E41A78C8"/>
    <w:numStyleLink w:val="Stileimportato1"/>
  </w:abstractNum>
  <w:num w:numId="1" w16cid:durableId="424423277">
    <w:abstractNumId w:val="0"/>
  </w:num>
  <w:num w:numId="2" w16cid:durableId="178619200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proofState w:spelling="clean" w:grammar="dirty"/>
  <w:trackRevisions w:val="false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737"/>
    <w:rsid w:val="000F44BA"/>
    <w:rsid w:val="00116D9E"/>
    <w:rsid w:val="0012514E"/>
    <w:rsid w:val="00175A87"/>
    <w:rsid w:val="00232345"/>
    <w:rsid w:val="00253278"/>
    <w:rsid w:val="00291737"/>
    <w:rsid w:val="002B052D"/>
    <w:rsid w:val="003D6F2C"/>
    <w:rsid w:val="00406AE5"/>
    <w:rsid w:val="00441ACF"/>
    <w:rsid w:val="006619E3"/>
    <w:rsid w:val="007F77E9"/>
    <w:rsid w:val="008D4C28"/>
    <w:rsid w:val="0095347B"/>
    <w:rsid w:val="00A74858"/>
    <w:rsid w:val="00B44172"/>
    <w:rsid w:val="00B71498"/>
    <w:rsid w:val="00BC49AE"/>
    <w:rsid w:val="00BC5F09"/>
    <w:rsid w:val="00D867D0"/>
    <w:rsid w:val="00DA23E8"/>
    <w:rsid w:val="00F1635D"/>
    <w:rsid w:val="00F634F4"/>
    <w:rsid w:val="00FA00D2"/>
    <w:rsid w:val="014BA5A2"/>
    <w:rsid w:val="014F3062"/>
    <w:rsid w:val="03CACBCA"/>
    <w:rsid w:val="03EF0178"/>
    <w:rsid w:val="04DD1EB0"/>
    <w:rsid w:val="0560878E"/>
    <w:rsid w:val="05EF8F26"/>
    <w:rsid w:val="07A9AC57"/>
    <w:rsid w:val="07BED4B1"/>
    <w:rsid w:val="094E8D94"/>
    <w:rsid w:val="0A647B37"/>
    <w:rsid w:val="0A67E372"/>
    <w:rsid w:val="0F3F937C"/>
    <w:rsid w:val="0F7C688A"/>
    <w:rsid w:val="115E35C8"/>
    <w:rsid w:val="119BB3D3"/>
    <w:rsid w:val="1355800F"/>
    <w:rsid w:val="146E24A8"/>
    <w:rsid w:val="14D87BFA"/>
    <w:rsid w:val="15D26963"/>
    <w:rsid w:val="164FB99B"/>
    <w:rsid w:val="167EB965"/>
    <w:rsid w:val="170D9259"/>
    <w:rsid w:val="18A536E4"/>
    <w:rsid w:val="1941970E"/>
    <w:rsid w:val="194EA245"/>
    <w:rsid w:val="19AA724F"/>
    <w:rsid w:val="19AD2FBA"/>
    <w:rsid w:val="1A35E1D6"/>
    <w:rsid w:val="1BB92E8A"/>
    <w:rsid w:val="1C675CF2"/>
    <w:rsid w:val="1D08B2AB"/>
    <w:rsid w:val="1D77D577"/>
    <w:rsid w:val="1FCC6116"/>
    <w:rsid w:val="208F9E72"/>
    <w:rsid w:val="220FCE5F"/>
    <w:rsid w:val="2240F462"/>
    <w:rsid w:val="22989A73"/>
    <w:rsid w:val="230A13E6"/>
    <w:rsid w:val="237BAC4A"/>
    <w:rsid w:val="23AE866C"/>
    <w:rsid w:val="2439BFE9"/>
    <w:rsid w:val="25BF265E"/>
    <w:rsid w:val="263F9999"/>
    <w:rsid w:val="278A2F9F"/>
    <w:rsid w:val="27990BE4"/>
    <w:rsid w:val="27FCBFB8"/>
    <w:rsid w:val="28131A51"/>
    <w:rsid w:val="289AFCE9"/>
    <w:rsid w:val="295B6EAC"/>
    <w:rsid w:val="29629566"/>
    <w:rsid w:val="297F1784"/>
    <w:rsid w:val="2A8C0B2E"/>
    <w:rsid w:val="2B35EB22"/>
    <w:rsid w:val="2CA05C27"/>
    <w:rsid w:val="2D0AC037"/>
    <w:rsid w:val="2EF285B6"/>
    <w:rsid w:val="2F4478BF"/>
    <w:rsid w:val="2F7EFE61"/>
    <w:rsid w:val="30304728"/>
    <w:rsid w:val="30573639"/>
    <w:rsid w:val="31A417ED"/>
    <w:rsid w:val="31B0C2D8"/>
    <w:rsid w:val="31B0C2D8"/>
    <w:rsid w:val="326CA4BE"/>
    <w:rsid w:val="339FE3F1"/>
    <w:rsid w:val="3475F8B2"/>
    <w:rsid w:val="37216E53"/>
    <w:rsid w:val="39003211"/>
    <w:rsid w:val="391A48D3"/>
    <w:rsid w:val="3A9CC253"/>
    <w:rsid w:val="3B5390B9"/>
    <w:rsid w:val="3B597186"/>
    <w:rsid w:val="3BF3BA03"/>
    <w:rsid w:val="3DBBC30C"/>
    <w:rsid w:val="3EFB0F2D"/>
    <w:rsid w:val="3F52EBAA"/>
    <w:rsid w:val="40CB81F5"/>
    <w:rsid w:val="417B702D"/>
    <w:rsid w:val="44810ED7"/>
    <w:rsid w:val="449527E4"/>
    <w:rsid w:val="451BDE66"/>
    <w:rsid w:val="462BDCAF"/>
    <w:rsid w:val="47FFD63F"/>
    <w:rsid w:val="49A1632D"/>
    <w:rsid w:val="49CC5658"/>
    <w:rsid w:val="49CD3E2B"/>
    <w:rsid w:val="4AABB442"/>
    <w:rsid w:val="4AC0AECA"/>
    <w:rsid w:val="4B1B96F5"/>
    <w:rsid w:val="4D2B688C"/>
    <w:rsid w:val="4DD1D413"/>
    <w:rsid w:val="50885997"/>
    <w:rsid w:val="50B0849E"/>
    <w:rsid w:val="529CEFA1"/>
    <w:rsid w:val="533C62DD"/>
    <w:rsid w:val="53BA92F9"/>
    <w:rsid w:val="53BA92F9"/>
    <w:rsid w:val="582F40A0"/>
    <w:rsid w:val="590437EA"/>
    <w:rsid w:val="59A3B264"/>
    <w:rsid w:val="59AE865E"/>
    <w:rsid w:val="59BF4D8B"/>
    <w:rsid w:val="5A20B569"/>
    <w:rsid w:val="5AA24867"/>
    <w:rsid w:val="5B19D043"/>
    <w:rsid w:val="5D66A3B1"/>
    <w:rsid w:val="5FDCD9A6"/>
    <w:rsid w:val="602698ED"/>
    <w:rsid w:val="60842AC0"/>
    <w:rsid w:val="6207AFDE"/>
    <w:rsid w:val="62083D84"/>
    <w:rsid w:val="6229215A"/>
    <w:rsid w:val="62471E54"/>
    <w:rsid w:val="63FFF09E"/>
    <w:rsid w:val="6409D568"/>
    <w:rsid w:val="64993423"/>
    <w:rsid w:val="65FE07F4"/>
    <w:rsid w:val="66BA98A0"/>
    <w:rsid w:val="66DBC3C8"/>
    <w:rsid w:val="6878B364"/>
    <w:rsid w:val="68FDD186"/>
    <w:rsid w:val="6AB8A63D"/>
    <w:rsid w:val="6C35F47C"/>
    <w:rsid w:val="6C35F47C"/>
    <w:rsid w:val="6E0B09F0"/>
    <w:rsid w:val="6E11F156"/>
    <w:rsid w:val="6E8FFF08"/>
    <w:rsid w:val="7139B55D"/>
    <w:rsid w:val="71829BB3"/>
    <w:rsid w:val="737E4343"/>
    <w:rsid w:val="7422B0FA"/>
    <w:rsid w:val="742BE4A5"/>
    <w:rsid w:val="745460F2"/>
    <w:rsid w:val="75ABB35E"/>
    <w:rsid w:val="75B08D0C"/>
    <w:rsid w:val="75D181E1"/>
    <w:rsid w:val="76B21D45"/>
    <w:rsid w:val="76B8AA27"/>
    <w:rsid w:val="7741A5BD"/>
    <w:rsid w:val="78F59AB9"/>
    <w:rsid w:val="7A0A090F"/>
    <w:rsid w:val="7BFE42AD"/>
    <w:rsid w:val="7C6C08E8"/>
    <w:rsid w:val="7CFDB5C8"/>
    <w:rsid w:val="7E21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EC76"/>
  <w15:docId w15:val="{023D347A-8767-4AC6-B0FB-63805E2F58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Arial Unicode MS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Pr>
      <w:rFonts w:ascii="Aptos" w:hAnsi="Aptos" w:eastAsia="Aptos" w:cs="Aptos"/>
      <w:color w:val="000000"/>
      <w:sz w:val="24"/>
      <w:szCs w:val="24"/>
      <w:lang w:val="en-US" w:eastAsia="en-US"/>
    </w:rPr>
  </w:style>
  <w:style w:type="paragraph" w:styleId="Titolo1">
    <w:name w:val="heading 1"/>
    <w:uiPriority w:val="9"/>
    <w:qFormat/>
    <w:rsid w:val="50B0849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 w:ascii="Avenir Next" w:hAnsi="Avenir Next" w:eastAsia="Avenir Next" w:cs="Avenir Next"/>
      <w:b/>
      <w:color w:val="4F81BD"/>
      <w:sz w:val="36"/>
      <w:szCs w:val="40"/>
    </w:rPr>
  </w:style>
  <w:style w:type="paragraph" w:styleId="Titolo2">
    <w:name w:val="heading 2"/>
    <w:link w:val="Titolo2Carattere"/>
    <w:uiPriority w:val="9"/>
    <w:unhideWhenUsed/>
    <w:qFormat/>
    <w:rsid w:val="50B0849E"/>
    <w:pPr>
      <w:keepNext/>
      <w:keepLines/>
      <w:spacing w:before="40"/>
      <w:outlineLvl w:val="1"/>
    </w:pPr>
    <w:rPr>
      <w:rFonts w:asciiTheme="majorHAnsi" w:hAnsiTheme="majorHAnsi" w:eastAsiaTheme="majorEastAsia" w:cstheme="majorBidi" w:ascii="Aptos Narrow" w:hAnsi="Aptos Narrow" w:eastAsia="Aptos Narrow" w:cs="Aptos Narrow"/>
      <w:b/>
      <w:color w:val="4F81BD"/>
      <w:sz w:val="32"/>
      <w:szCs w:val="26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styleId="TableNormal" w:customStyle="1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epidipagina" w:customStyle="1">
    <w:name w:val="Intestazione e piè di pagina"/>
    <w:pPr>
      <w:tabs>
        <w:tab w:val="right" w:pos="9020"/>
      </w:tabs>
    </w:pPr>
    <w:rPr>
      <w:rFonts w:ascii="Aptos" w:hAnsi="Aptos" w:cs="Aptos" w:eastAsia="Apto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Didefault" w:customStyle="1">
    <w:name w:val="Di default"/>
    <w:pPr>
      <w:spacing w:before="160" w:line="288" w:lineRule="auto"/>
    </w:pPr>
    <w:rPr>
      <w:rFonts w:ascii="Aptos" w:hAnsi="Aptos" w:cs="Aptos" w:eastAsia="Apto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orpoA" w:customStyle="1">
    <w:name w:val="Corpo A"/>
    <w:rPr>
      <w:rFonts w:cs="Aptos" w:ascii="Aptos" w:hAnsi="Aptos" w:eastAsia="Apto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styleId="Stileimportato1" w:customStyle="1">
    <w:name w:val="Stile importato 1"/>
    <w:pPr>
      <w:numPr>
        <w:numId w:val="1"/>
      </w:numPr>
    </w:pPr>
  </w:style>
  <w:style w:type="character" w:styleId="Titolo2Carattere" w:customStyle="1">
    <w:name w:val="Titolo 2 Carattere"/>
    <w:basedOn w:val="Carpredefinitoparagrafo"/>
    <w:link w:val="Titolo2"/>
    <w:uiPriority w:val="9"/>
    <w:rsid w:val="00406AE5"/>
    <w:rPr>
      <w:rFonts w:asciiTheme="majorHAnsi" w:hAnsiTheme="majorHAnsi" w:eastAsiaTheme="majorEastAsia" w:cstheme="majorBidi"/>
      <w:color w:val="0079BF" w:themeColor="accent1" w:themeShade="BF"/>
      <w:sz w:val="26"/>
      <w:szCs w:val="26"/>
      <w:lang w:val="en-US" w:eastAsia="en-US"/>
    </w:rPr>
  </w:style>
  <w:style w:type="paragraph" w:styleId="Nessunaspaziatura">
    <w:name w:val="No Spacing"/>
    <w:uiPriority w:val="1"/>
    <w:qFormat/>
    <w:rsid w:val="50B0849E"/>
    <w:rPr>
      <w:rFonts w:ascii="Aptos" w:hAnsi="Aptos" w:eastAsia="Aptos" w:cs="Aptos"/>
      <w:color w:val="000000"/>
      <w:sz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Carpredefinitoparagrafo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e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  <w:rPr>
      <w:rFonts w:ascii="Aptos" w:hAnsi="Aptos" w:eastAsia="Aptos" w:cs="Aptos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AA4B7-A00E-4BCD-AE6F-5647C352ED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0:lastModifiedBy>Amelie Lens</ns0:lastModifiedBy>
  <ns0:revision>1</ns0:revision>
  <ns1:created xsi:type="dcterms:W3CDTF">2097-12-31T00:00:00Z</ns1:created>
  <ns1:modified xsi:type="dcterms:W3CDTF">2097-12-31T00:00:00Z</ns1:modified>
  <dc:creator>Amelie Lens</dc:creator>
</ns0:coreProperties>
</file>