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5F91"/>
          <w:sz w:val="28"/>
        </w:rPr>
        <w:t>SCORESYNC</w:t>
      </w:r>
    </w:p>
    <w:p>
      <w:pPr>
        <w:pStyle w:val="Title"/>
        <w:jc w:val="center"/>
      </w:pPr>
      <w:r>
        <w:t>Reliability Layer v1</w:t>
      </w:r>
    </w:p>
    <w:p>
      <w:pPr>
        <w:jc w:val="center"/>
      </w:pPr>
      <w:r>
        <w:rPr>
          <w:color w:val="465564"/>
          <w:sz w:val="30"/>
        </w:rPr>
        <w:t>Evidence-Based Prediction Ranking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43755"/>
                <w:sz w:val="20"/>
              </w:rPr>
              <w:t>Purpose</w:t>
              <w:br/>
            </w:r>
            <w:r>
              <w:rPr>
                <w:sz w:val="19"/>
              </w:rPr>
              <w:t>Define a conservative, validated reliability-ranking layer that supplements ScoreSync's existing result confidence score using team-strength separation. The layer is designed to improve ranking of stronger predictions without altering the underlying match probabilities.</w:t>
            </w:r>
          </w:p>
        </w:tc>
      </w:tr>
    </w:tbl>
    <w:p/>
    <w:p>
      <w:pPr>
        <w:jc w:val="center"/>
      </w:pPr>
      <w:r>
        <w:rPr>
          <w:b/>
        </w:rPr>
        <w:t xml:space="preserve">Status: </w:t>
      </w:r>
      <w:r>
        <w:t>Frozen candidate specification</w:t>
      </w:r>
    </w:p>
    <w:p>
      <w:pPr>
        <w:jc w:val="center"/>
      </w:pPr>
      <w:r>
        <w:rPr>
          <w:b/>
        </w:rPr>
        <w:t xml:space="preserve">Data analysed: </w:t>
      </w:r>
      <w:r>
        <w:t>16,293 settled fixture-level records</w:t>
      </w:r>
    </w:p>
    <w:p>
      <w:pPr>
        <w:jc w:val="center"/>
      </w:pPr>
      <w:r>
        <w:rPr>
          <w:b/>
        </w:rPr>
        <w:t xml:space="preserve">Observed period: </w:t>
      </w:r>
      <w:r>
        <w:t>21 June 2026 - 14 September 2026</w:t>
      </w:r>
    </w:p>
    <w:p>
      <w:pPr>
        <w:jc w:val="center"/>
      </w:pPr>
      <w:r>
        <w:rPr>
          <w:b/>
        </w:rPr>
        <w:t xml:space="preserve">Base model: </w:t>
      </w:r>
      <w:r>
        <w:t>weighted-poisson-dc-v1</w:t>
      </w:r>
    </w:p>
    <w:p>
      <w:pPr>
        <w:jc w:val="center"/>
      </w:pPr>
      <w:r>
        <w:rPr>
          <w:b/>
        </w:rPr>
        <w:t xml:space="preserve">Validation: </w:t>
      </w:r>
      <w:r>
        <w:t>Multiple chronological holdouts</w:t>
      </w:r>
    </w:p>
    <w:p>
      <w:pPr>
        <w:jc w:val="center"/>
      </w:pPr>
      <w:r>
        <w:rPr>
          <w:b/>
        </w:rPr>
        <w:t xml:space="preserve">Owner: </w:t>
      </w:r>
      <w:r>
        <w:t>OptJay Analytics / ScoreSync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ScoreSync's existing result confidence score contains useful ranking information, but diagnostic analysis showed that confidence becomes more informative when it agrees with a separate structural signal: the absolute difference between the two teams' strength ratings.</w:t>
      </w:r>
    </w:p>
    <w:p>
      <w:r>
        <w:t>Reliability Layer v1 therefore keeps the existing confidence score as the foundation and adds only two conservative ranking adjustments for HOME/AWAY predictions. It does not replace the Dixon-Coles / weighted-Poisson prediction engine, does not change 1X2 probabilities, and must not be interpreted as a probability recalibration.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Predicted outcome</w:t>
            </w:r>
          </w:p>
        </w:tc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Absolute strength gap</w:t>
            </w:r>
          </w:p>
        </w:tc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v1 adjustment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 / AWAY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0-19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HOME / AWAY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20-29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+6 ranking points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 / AWAY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30+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 xml:space="preserve"> +10 ranking points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DRAW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Any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43755"/>
                <w:sz w:val="20"/>
              </w:rPr>
              <w:t>Core decision</w:t>
              <w:br/>
            </w:r>
            <w:r>
              <w:rPr>
                <w:sz w:val="19"/>
              </w:rPr>
              <w:t>Use Reliability Layer v1 as a ranking and selection signal. Do not display the adjusted score as a literal probability of correctness unless a future calibration study explicitly validates that interpretation.</w:t>
            </w:r>
          </w:p>
        </w:tc>
      </w:tr>
    </w:tbl>
    <w:p/>
    <w:p>
      <w:pPr>
        <w:pStyle w:val="Heading1"/>
      </w:pPr>
      <w:r>
        <w:t>2. Objectives and Non-Objectives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Improve ordering of result predictions so that the strongest candidates rise more reliably toward the top.</w:t>
      </w:r>
    </w:p>
    <w:p>
      <w:pPr>
        <w:pStyle w:val="ListBullet"/>
      </w:pPr>
      <w:r>
        <w:t>Exploit a signal that remained useful on later chronological data rather than only on the data used to discover it.</w:t>
      </w:r>
    </w:p>
    <w:p>
      <w:pPr>
        <w:pStyle w:val="ListBullet"/>
      </w:pPr>
      <w:r>
        <w:t>Keep the first production version simple, auditable, reversible and easy to monitor.</w:t>
      </w:r>
    </w:p>
    <w:p>
      <w:pPr>
        <w:pStyle w:val="ListBullet"/>
      </w:pPr>
      <w:r>
        <w:t>Preserve existing model probabilities and market calculations.</w:t>
      </w:r>
    </w:p>
    <w:p>
      <w:pPr>
        <w:pStyle w:val="Heading2"/>
      </w:pPr>
      <w:r>
        <w:t>2.2 Non-Objectives</w:t>
      </w:r>
    </w:p>
    <w:p>
      <w:pPr>
        <w:pStyle w:val="ListBullet"/>
      </w:pPr>
      <w:r>
        <w:t>This version is not a new match-probability model.</w:t>
      </w:r>
    </w:p>
    <w:p>
      <w:pPr>
        <w:pStyle w:val="ListBullet"/>
      </w:pPr>
      <w:r>
        <w:t>It does not replace weighted Poisson, Dixon-Coles, 1X2 probabilities or existing market calculations.</w:t>
      </w:r>
    </w:p>
    <w:p>
      <w:pPr>
        <w:pStyle w:val="ListBullet"/>
      </w:pPr>
      <w:r>
        <w:t>It does not introduce league-specific bonuses, DRAW penalties or small-gap penalties in v1.</w:t>
      </w:r>
    </w:p>
    <w:p>
      <w:pPr>
        <w:pStyle w:val="ListBullet"/>
      </w:pPr>
      <w:r>
        <w:t>It does not claim that a Reliability Score of 85 means an 85% probability of a correct result.</w:t>
      </w:r>
    </w:p>
    <w:p>
      <w:pPr>
        <w:pStyle w:val="Heading1"/>
      </w:pPr>
      <w:r>
        <w:t>3. Data and Analytical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2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ScoreSync production analytics export from fact_model_reliability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Rows</w:t>
            </w:r>
          </w:p>
        </w:tc>
        <w:tc>
          <w:tcPr>
            <w:tcW w:type="dxa" w:w="66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16,293 fixture-level records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 fixture IDs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16,293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Duplicate fixture IDs</w:t>
            </w:r>
          </w:p>
        </w:tc>
        <w:tc>
          <w:tcPr>
            <w:tcW w:type="dxa" w:w="66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 coverage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21 Jun 2026 - 14 Sep 2026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Primary target</w:t>
            </w:r>
          </w:p>
        </w:tc>
        <w:tc>
          <w:tcPr>
            <w:tcW w:type="dxa" w:w="66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result_correct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base score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result_confidence_score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Structural signal</w:t>
            </w:r>
          </w:p>
        </w:tc>
        <w:tc>
          <w:tcPr>
            <w:tcW w:type="dxa" w:w="66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strength_difference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 version observed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weighted-poisson-dc-v1</w:t>
            </w:r>
          </w:p>
        </w:tc>
      </w:tr>
    </w:tbl>
    <w:p/>
    <w:p>
      <w:r>
        <w:t>The exported dataset was checked at fixture level before back-testing. Missing confidence or strength values must not be silently converted to zero; such rows should follow the base-score/fallback behaviour defined later in this specification.</w:t>
      </w:r>
    </w:p>
    <w:p>
      <w:r>
        <w:br w:type="page"/>
      </w:r>
    </w:p>
    <w:p>
      <w:pPr>
        <w:pStyle w:val="Heading1"/>
      </w:pPr>
      <w:r>
        <w:t>4. Evidence That Led to v1</w:t>
      </w:r>
    </w:p>
    <w:p>
      <w:pPr>
        <w:pStyle w:val="Heading2"/>
      </w:pPr>
      <w:r>
        <w:t>4.1 Overall result performance</w:t>
      </w:r>
    </w:p>
    <w:p>
      <w:r>
        <w:t>Overall result accuracy was approximately 45.5%. The objective was not to force the entire model to a higher headline accuracy, but to determine whether ScoreSync could identify a more reliable subset and rank predictions more effectively.</w:t>
      </w:r>
    </w:p>
    <w:p>
      <w:pPr>
        <w:pStyle w:val="Heading2"/>
      </w:pPr>
      <w:r>
        <w:t>4.2 Confidence score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Confidence band</w:t>
            </w:r>
          </w:p>
        </w:tc>
        <w:tc>
          <w:tcPr>
            <w:tcW w:type="dxa" w:w="244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Observed accuracy</w:t>
            </w:r>
          </w:p>
        </w:tc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Eligible rows (approx.)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&lt;40%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39.3%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5,904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40-49%</w:t>
            </w:r>
          </w:p>
        </w:tc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44.1%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1,739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50-59%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43.7%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1,133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60-69%</w:t>
            </w:r>
          </w:p>
        </w:tc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44.2%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1,781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70-79%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51.7%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2,500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80-89%</w:t>
            </w:r>
          </w:p>
        </w:tc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55.2%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850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90%+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57.4%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1,493</w:t>
            </w:r>
          </w:p>
        </w:tc>
      </w:tr>
    </w:tbl>
    <w:p/>
    <w:p>
      <w:r>
        <w:t>The score is useful for ranking, especially from roughly 70 upward, but the observed accuracy does not support treating the score itself as a calibrated probability.</w:t>
      </w:r>
    </w:p>
    <w:p>
      <w:pPr>
        <w:pStyle w:val="Heading2"/>
      </w:pPr>
      <w:r>
        <w:t>4.3 Strength-gap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Absolute strength gap</w:t>
            </w:r>
          </w:p>
        </w:tc>
        <w:tc>
          <w:tcPr>
            <w:tcW w:type="dxa" w:w="360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Observed result accuracy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0-4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~40.8%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5-9</w:t>
            </w:r>
          </w:p>
        </w:tc>
        <w:tc>
          <w:tcPr>
            <w:tcW w:type="dxa" w:w="36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~40%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10-19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~44.5%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20-29</w:t>
            </w:r>
          </w:p>
        </w:tc>
        <w:tc>
          <w:tcPr>
            <w:tcW w:type="dxa" w:w="36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~54.1%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30+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~61.5%</w:t>
            </w:r>
          </w:p>
        </w:tc>
      </w:tr>
    </w:tbl>
    <w:p/>
    <w:p>
      <w:r>
        <w:t>The strongest monotonic signal discovered was the increase in result reliability as team-strength separation became larger.</w:t>
      </w:r>
    </w:p>
    <w:p>
      <w:pPr>
        <w:pStyle w:val="Heading2"/>
      </w:pPr>
      <w:r>
        <w:t>4.4 Controlled HOME/AWAY threshold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32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Rule (confidence &gt;=70)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Predictions</w:t>
            </w:r>
          </w:p>
        </w:tc>
        <w:tc>
          <w:tcPr>
            <w:tcW w:type="dxa" w:w="172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Accuracy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|gap| &gt;=10, HOME/AWAY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4,100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55.6%</w:t>
            </w:r>
          </w:p>
        </w:tc>
      </w:tr>
      <w:tr>
        <w:tc>
          <w:tcPr>
            <w:tcW w:type="dxa" w:w="432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|gap| &gt;=20, HOME/AWAY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2,344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~61%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|gap| &gt;=30, HOME/AWAY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1,011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~64%</w:t>
            </w:r>
          </w:p>
        </w:tc>
      </w:tr>
    </w:tbl>
    <w:p/>
    <w:p>
      <w:r>
        <w:t>A 20-point gap emerged as a practical reliability breakpoint: it materially improved accuracy while retaining substantially more coverage than a 30-point-only rule.</w:t>
      </w:r>
    </w:p>
    <w:p>
      <w:pPr>
        <w:pStyle w:val="Heading2"/>
      </w:pPr>
      <w:r>
        <w:t>4.5 DRAW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Absolute gap</w:t>
            </w:r>
          </w:p>
        </w:tc>
        <w:tc>
          <w:tcPr>
            <w:tcW w:type="dxa" w:w="23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DRAW predictions</w:t>
            </w:r>
          </w:p>
        </w:tc>
        <w:tc>
          <w:tcPr>
            <w:tcW w:type="dxa" w:w="23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DRAW accuracy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0-9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331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27.8%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10-19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179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30.7%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20-29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18.4%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30+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45.5%*</w:t>
            </w:r>
          </w:p>
        </w:tc>
      </w:tr>
    </w:tbl>
    <w:p/>
    <w:p>
      <w:pPr>
        <w:pStyle w:val="SmallNote"/>
      </w:pPr>
      <w:r>
        <w:t>*The 30+ DRAW cell contains only 11 observations and is not treated as reliable evidence.</w:t>
      </w:r>
    </w:p>
    <w:p>
      <w:r>
        <w:t>DRAW remains a weak outcome class, but the sample available for large-gap DRAW predictions was insufficient to justify adding a dedicated DRAW penalty to v1.</w:t>
      </w:r>
    </w:p>
    <w:p>
      <w:r>
        <w:br w:type="page"/>
      </w:r>
    </w:p>
    <w:p>
      <w:pPr>
        <w:pStyle w:val="Heading1"/>
      </w:pPr>
      <w:r>
        <w:t>5. Reliability Layer v1 Specification</w:t>
      </w:r>
    </w:p>
    <w:p>
      <w:pPr>
        <w:pStyle w:val="Heading2"/>
      </w:pPr>
      <w:r>
        <w:t>5.1 Formula</w:t>
      </w:r>
    </w:p>
    <w:p>
      <w:r>
        <w:rPr>
          <w:b/>
          <w:color w:val="143755"/>
          <w:sz w:val="24"/>
        </w:rPr>
        <w:t>Reliability Score = Base Result Confidence + Strength Reliability Adjustment</w:t>
      </w:r>
    </w:p>
    <w:p>
      <w:pPr>
        <w:pStyle w:val="Heading2"/>
      </w:pPr>
      <w:r>
        <w:t>5.2 Adjustment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44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Adjustment</w:t>
            </w:r>
          </w:p>
        </w:tc>
        <w:tc>
          <w:tcPr>
            <w:tcW w:type="dxa" w:w="432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Predicted HOME/AWAY and |strength_difference| &lt;20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Evidence does not support a reliable positive adjustment.</w:t>
            </w:r>
          </w:p>
        </w:tc>
      </w:tr>
      <w:tr>
        <w:tc>
          <w:tcPr>
            <w:tcW w:type="dxa" w:w="460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Predicted HOME/AWAY and 20 &lt;= |strength_difference| &lt;30</w:t>
            </w:r>
          </w:p>
        </w:tc>
        <w:tc>
          <w:tcPr>
            <w:tcW w:type="dxa" w:w="144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+6</w:t>
            </w:r>
          </w:p>
        </w:tc>
        <w:tc>
          <w:tcPr>
            <w:tcW w:type="dxa" w:w="432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Moderate, repeatable reliability reinforcement.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Predicted HOME/AWAY and |strength_difference| &gt;=30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Strongest repeatable strength-gap signal.</w:t>
            </w:r>
          </w:p>
        </w:tc>
      </w:tr>
      <w:tr>
        <w:tc>
          <w:tcPr>
            <w:tcW w:type="dxa" w:w="460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Predicted DRAW</w:t>
            </w:r>
          </w:p>
        </w:tc>
        <w:tc>
          <w:tcPr>
            <w:tcW w:type="dxa" w:w="144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432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No v1 adjustment; insufficient stable evidence for a general DRAW modifier.</w:t>
            </w:r>
          </w:p>
        </w:tc>
      </w:tr>
    </w:tbl>
    <w:p/>
    <w:p>
      <w:pPr>
        <w:pStyle w:val="Heading2"/>
      </w:pPr>
      <w:r>
        <w:t>5.3 Pseudocode</w:t>
      </w:r>
    </w:p>
    <w:p>
      <w:r>
        <w:rPr>
          <w:rFonts w:ascii="Consolas" w:hAnsi="Consolas"/>
          <w:sz w:val="18"/>
        </w:rPr>
        <w:t>score = result_confidence_score</w:t>
        <w:br/>
        <w:t>gap = abs(strength_difference)</w:t>
        <w:br/>
        <w:br/>
        <w:t>if predicted_result in {"HOME", "AWAY"}:</w:t>
        <w:br/>
        <w:t xml:space="preserve">    if gap &gt;= 30:</w:t>
        <w:br/>
        <w:t xml:space="preserve">        score += 10</w:t>
        <w:br/>
        <w:t xml:space="preserve">    elif gap &gt;= 20:</w:t>
        <w:br/>
        <w:t xml:space="preserve">        score += 6</w:t>
        <w:br/>
        <w:br/>
        <w:t>reliability_score = score</w:t>
      </w:r>
    </w:p>
    <w:p>
      <w:pPr>
        <w:pStyle w:val="Heading2"/>
      </w:pPr>
      <w:r>
        <w:t>5.4 Score semantics</w:t>
      </w:r>
    </w:p>
    <w:p>
      <w:pPr>
        <w:pStyle w:val="ListBullet"/>
      </w:pPr>
      <w:r>
        <w:t>The adjustment is ordinal/ranking-oriented.</w:t>
      </w:r>
    </w:p>
    <w:p>
      <w:pPr>
        <w:pStyle w:val="ListBullet"/>
      </w:pPr>
      <w:r>
        <w:t>Do not overwrite result_confidence_score; store or calculate reliability_score separately.</w:t>
      </w:r>
    </w:p>
    <w:p>
      <w:pPr>
        <w:pStyle w:val="ListBullet"/>
      </w:pPr>
      <w:r>
        <w:t>Do not feed the adjusted score back into Dixon-Coles probability normalization.</w:t>
      </w:r>
    </w:p>
    <w:p>
      <w:pPr>
        <w:pStyle w:val="ListBullet"/>
      </w:pPr>
      <w:r>
        <w:t>Do not describe the adjusted score as a probability without a separate calibration layer.</w:t>
      </w:r>
    </w:p>
    <w:p>
      <w:pPr>
        <w:pStyle w:val="ListBullet"/>
      </w:pPr>
      <w:r>
        <w:t>If a UI cap is desired for display, capping must not alter the underlying ranking logic unless explicitly tested.</w:t>
      </w:r>
    </w:p>
    <w:p>
      <w:pPr>
        <w:pStyle w:val="Heading1"/>
      </w:pPr>
      <w:r>
        <w:t>6. Chronological Validation</w:t>
      </w:r>
    </w:p>
    <w:p>
      <w:r>
        <w:t>The frozen +6/+10 specification was evaluated on later chronological portions of the data. This is more demanding than a random split because it tests whether a rule discovered from earlier behaviour continues to rank later predictions effectively.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0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Train / holdout split</w:t>
            </w:r>
          </w:p>
        </w:tc>
        <w:tc>
          <w:tcPr>
            <w:tcW w:type="dxa" w:w="122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Raw AUC</w:t>
            </w:r>
          </w:p>
        </w:tc>
        <w:tc>
          <w:tcPr>
            <w:tcW w:type="dxa" w:w="122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v1 AUC</w:t>
            </w:r>
          </w:p>
        </w:tc>
        <w:tc>
          <w:tcPr>
            <w:tcW w:type="dxa" w:w="15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Raw top 10%</w:t>
            </w:r>
          </w:p>
        </w:tc>
        <w:tc>
          <w:tcPr>
            <w:tcW w:type="dxa" w:w="15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v1 top 10%</w:t>
            </w:r>
          </w:p>
        </w:tc>
        <w:tc>
          <w:tcPr>
            <w:tcW w:type="dxa" w:w="15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Raw top 20%</w:t>
            </w:r>
          </w:p>
        </w:tc>
        <w:tc>
          <w:tcPr>
            <w:tcW w:type="dxa" w:w="15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v1 top 20%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 / 50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0.5860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0.5896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60.7%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61.6%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56.7%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58.7%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60 / 40</w:t>
            </w:r>
          </w:p>
        </w:tc>
        <w:tc>
          <w:tcPr>
            <w:tcW w:type="dxa" w:w="12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0.5902</w:t>
            </w:r>
          </w:p>
        </w:tc>
        <w:tc>
          <w:tcPr>
            <w:tcW w:type="dxa" w:w="12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0.5939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61.0%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63.0%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58.3%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59.2%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70 / 30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0.5929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0.5963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62.9%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64.0%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58.5%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59.3%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80 / 20</w:t>
            </w:r>
          </w:p>
        </w:tc>
        <w:tc>
          <w:tcPr>
            <w:tcW w:type="dxa" w:w="12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0.6000</w:t>
            </w:r>
          </w:p>
        </w:tc>
        <w:tc>
          <w:tcPr>
            <w:tcW w:type="dxa" w:w="12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0.6022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64.1%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65.1%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60.7%</w:t>
            </w:r>
          </w:p>
        </w:tc>
        <w:tc>
          <w:tcPr>
            <w:tcW w:type="dxa" w:w="151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60.9%</w:t>
            </w:r>
          </w:p>
        </w:tc>
      </w:tr>
    </w:tbl>
    <w:p/>
    <w:p>
      <w:r>
        <w:t>Across all four chronological holdouts, v1 improved AUC and improved top-10% accuracy. The effect is incremental rather than dramatic, which supports using the layer as a conservative ranking enhancement rather than replacing the base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43755"/>
                <w:sz w:val="20"/>
              </w:rPr>
              <w:t>Interpretation</w:t>
              <w:br/>
            </w:r>
            <w:r>
              <w:rPr>
                <w:sz w:val="19"/>
              </w:rPr>
              <w:t>The strongest claim supported by the evidence is that strength-gap reinforcement improves ranking of later predictions. It is not evidence that every ScoreSync prediction becomes 60%+ accurate.</w:t>
            </w:r>
          </w:p>
        </w:tc>
      </w:tr>
    </w:tbl>
    <w:p/>
    <w:p>
      <w:r>
        <w:br w:type="page"/>
      </w:r>
    </w:p>
    <w:p>
      <w:pPr>
        <w:pStyle w:val="Heading1"/>
      </w:pPr>
      <w:r>
        <w:t>7. Why Other Candidate Rules Were Excluded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23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v1 decision</w:t>
            </w:r>
          </w:p>
        </w:tc>
        <w:tc>
          <w:tcPr>
            <w:tcW w:type="dxa" w:w="4896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Raise confidence threshold to 80/90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Excluded as universal rule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coverage loss for little additional aggregate accuracy.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Small-gap penalty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Excluded</w:t>
            </w:r>
          </w:p>
        </w:tc>
        <w:tc>
          <w:tcPr>
            <w:tcW w:type="dxa" w:w="48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Incremental value was not stable enough to justify added complexity.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DRAW &gt;=20 penalty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Excluded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DRAW is weak, but qualifying samples were too small for a robust general penalty.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League reliability modifier</w:t>
            </w:r>
          </w:p>
        </w:tc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Deferred</w:t>
            </w:r>
          </w:p>
        </w:tc>
        <w:tc>
          <w:tcPr>
            <w:tcW w:type="dxa" w:w="48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Some incremental signal appeared, but it was mixed across holdouts and league samples were often small.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Season-specific modifier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Deferred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season_year coverage in the analytical fact table was incomplete.</w:t>
            </w:r>
          </w:p>
        </w:tc>
      </w:tr>
    </w:tbl>
    <w:p/>
    <w:p>
      <w:pPr>
        <w:pStyle w:val="Heading1"/>
      </w:pPr>
      <w:r>
        <w:t>8. Production Implementation Requirements</w:t>
      </w:r>
    </w:p>
    <w:p>
      <w:pPr>
        <w:pStyle w:val="ListNumber"/>
      </w:pPr>
      <w:r>
        <w:t>Implement Reliability Layer v1 as a separate, testable function/module rather than embedding magic numbers throughout existing prediction code.</w:t>
      </w:r>
    </w:p>
    <w:p>
      <w:pPr>
        <w:pStyle w:val="ListNumber"/>
      </w:pPr>
      <w:r>
        <w:t>Preserve raw result_confidence_score and raw 1X2 probabilities unchanged.</w:t>
      </w:r>
    </w:p>
    <w:p>
      <w:pPr>
        <w:pStyle w:val="ListNumber"/>
      </w:pPr>
      <w:r>
        <w:t>Use ABS(strength_difference) for the v1 gap threshold, but only apply the boost when predicted_result is HOME or AWAY.</w:t>
      </w:r>
    </w:p>
    <w:p>
      <w:pPr>
        <w:pStyle w:val="ListNumber"/>
      </w:pPr>
      <w:r>
        <w:t>Define constants for GAP_MODERATE_MIN=20, GAP_STRONG_MIN=30, GAP_MODERATE_BOOST=6 and GAP_STRONG_BOOST=10.</w:t>
      </w:r>
    </w:p>
    <w:p>
      <w:pPr>
        <w:pStyle w:val="ListNumber"/>
      </w:pPr>
      <w:r>
        <w:t>Return both the base confidence and reliability score so analytics can compare them.</w:t>
      </w:r>
    </w:p>
    <w:p>
      <w:pPr>
        <w:pStyle w:val="ListNumber"/>
      </w:pPr>
      <w:r>
        <w:t>Record the reliability-layer version with each prediction (for example reliability-v1) to support future back-testing.</w:t>
      </w:r>
    </w:p>
    <w:p>
      <w:pPr>
        <w:pStyle w:val="ListNumber"/>
      </w:pPr>
      <w:r>
        <w:t>Handle null confidence/strength explicitly. Null strength should result in no strength adjustment; null confidence should follow the application's existing safe fallback rather than being treated as zero silently.</w:t>
      </w:r>
    </w:p>
    <w:p>
      <w:pPr>
        <w:pStyle w:val="Heading1"/>
      </w:pPr>
      <w:r>
        <w:t>9. Minimum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 case</w:t>
            </w:r>
          </w:p>
        </w:tc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adjustment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gap 19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+0</w:t>
            </w:r>
          </w:p>
        </w:tc>
      </w:tr>
      <w:tr>
        <w:tc>
          <w:tcPr>
            <w:tcW w:type="dxa" w:w="60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HOME, gap 20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+6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AWAY, gap 29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+6</w:t>
            </w:r>
          </w:p>
        </w:tc>
      </w:tr>
      <w:tr>
        <w:tc>
          <w:tcPr>
            <w:tcW w:type="dxa" w:w="60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AWAY, gap 30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+10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HOME, negative signed difference with |gap| 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+10 (absolute gap)</w:t>
            </w:r>
          </w:p>
        </w:tc>
      </w:tr>
      <w:tr>
        <w:tc>
          <w:tcPr>
            <w:tcW w:type="dxa" w:w="60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DRAW, gap 25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DRAW, gap 40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+0</w:t>
            </w:r>
          </w:p>
        </w:tc>
      </w:tr>
      <w:tr>
        <w:tc>
          <w:tcPr>
            <w:tcW w:type="dxa" w:w="60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HOME/AWAY, null strength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+0</w:t>
            </w:r>
          </w:p>
        </w:tc>
      </w:tr>
    </w:tbl>
    <w:p/>
    <w:p>
      <w:r>
        <w:t>Regression tests must additionally verify that the underlying 1X2 probability split, Dixon-Coles calculations and existing market outputs are unchanged by introducing the reliability layer.</w:t>
      </w:r>
    </w:p>
    <w:p>
      <w:pPr>
        <w:pStyle w:val="Heading1"/>
      </w:pPr>
      <w:r>
        <w:t>10. Monitoring After Release</w:t>
      </w:r>
    </w:p>
    <w:p>
      <w:r>
        <w:t>The layer should be monitored as a versioned analytical feature. Recommended production monitoring:</w:t>
      </w:r>
    </w:p>
    <w:p>
      <w:pPr>
        <w:pStyle w:val="ListBullet"/>
      </w:pPr>
      <w:r>
        <w:t>Overall result accuracy by reliability-score band.</w:t>
      </w:r>
    </w:p>
    <w:p>
      <w:pPr>
        <w:pStyle w:val="ListBullet"/>
      </w:pPr>
      <w:r>
        <w:t>Top 10% and top 20% result accuracy under raw confidence versus Reliability Layer v1.</w:t>
      </w:r>
    </w:p>
    <w:p>
      <w:pPr>
        <w:pStyle w:val="ListBullet"/>
      </w:pPr>
      <w:r>
        <w:t>Coverage: number and share of predictions receiving +6 and +10 adjustments.</w:t>
      </w:r>
    </w:p>
    <w:p>
      <w:pPr>
        <w:pStyle w:val="ListBullet"/>
      </w:pPr>
      <w:r>
        <w:t>Weekly stability of adjusted top-ranked predictions.</w:t>
      </w:r>
    </w:p>
    <w:p>
      <w:pPr>
        <w:pStyle w:val="ListBullet"/>
      </w:pPr>
      <w:r>
        <w:t>HOME and AWAY performance separately.</w:t>
      </w:r>
    </w:p>
    <w:p>
      <w:pPr>
        <w:pStyle w:val="ListBullet"/>
      </w:pPr>
      <w:r>
        <w:t>Performance by league only when minimum sample requirements are met.</w:t>
      </w:r>
    </w:p>
    <w:p>
      <w:pPr>
        <w:pStyle w:val="ListBullet"/>
      </w:pPr>
      <w:r>
        <w:t>Drift by prediction_model_version and reliability-layer version.</w:t>
      </w:r>
    </w:p>
    <w:p>
      <w:pPr>
        <w:pStyle w:val="Heading1"/>
      </w:pPr>
      <w:r>
        <w:t>11. Guardrails and Rollback</w:t>
      </w:r>
    </w:p>
    <w:p>
      <w:pPr>
        <w:pStyle w:val="ListBullet"/>
      </w:pPr>
      <w:r>
        <w:t>Do not use v1 as the sole reason to suppress a prediction unless that selection policy is separately tested.</w:t>
      </w:r>
    </w:p>
    <w:p>
      <w:pPr>
        <w:pStyle w:val="ListBullet"/>
      </w:pPr>
      <w:r>
        <w:t>Do not alter historical records in place; version the derived reliability output.</w:t>
      </w:r>
    </w:p>
    <w:p>
      <w:pPr>
        <w:pStyle w:val="ListBullet"/>
      </w:pPr>
      <w:r>
        <w:t>Keep a feature flag or equivalent configuration path so v1 can be disabled without reverting the underlying prediction engine.</w:t>
      </w:r>
    </w:p>
    <w:p>
      <w:pPr>
        <w:pStyle w:val="ListBullet"/>
      </w:pPr>
      <w:r>
        <w:t>If later monitoring shows sustained deterioration relative to raw confidence, disable the ranking adjustment and investigate before changing thresholds.</w:t>
      </w:r>
    </w:p>
    <w:p>
      <w:r>
        <w:br w:type="page"/>
      </w:r>
    </w:p>
    <w:p>
      <w:pPr>
        <w:pStyle w:val="Heading1"/>
      </w:pPr>
      <w:r>
        <w:t>12. Criteria for Reliability Layer v2</w:t>
      </w:r>
    </w:p>
    <w:p>
      <w:r>
        <w:t>v2 should be evidence-triggered rather than calendar-triggered. Candidate additions should be considered only after sufficient new production history has accumulated.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Candidate v2 feature</w:t>
            </w:r>
          </w:p>
        </w:tc>
        <w:tc>
          <w:tcPr>
            <w:tcW w:type="dxa" w:w="676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 required before inclusion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League reliability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incremental holdout value with shrinkage and materially larger per-league samples.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DRAW-specific treatment</w:t>
            </w:r>
          </w:p>
        </w:tc>
        <w:tc>
          <w:tcPr>
            <w:tcW w:type="dxa" w:w="676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Substantially larger DRAW sample across strength-gap bands and stable chronological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Small-gap penalty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Repeatable unseen-data benefit after controlling for raw confidence.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Probability calibration</w:t>
            </w:r>
          </w:p>
        </w:tc>
        <w:tc>
          <w:tcPr>
            <w:tcW w:type="dxa" w:w="676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sz w:val="17"/>
              </w:rPr>
              <w:t>Dedicated calibration study (for example reliability diagrams/Brier/log-loss) demonstrating mapping from score to empirical probability.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Model-version interaction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Enough predictions from multiple production model versions to distinguish model effects from time effects.</w:t>
            </w:r>
          </w:p>
        </w:tc>
      </w:tr>
    </w:tbl>
    <w:p/>
    <w:p>
      <w:pPr>
        <w:pStyle w:val="Heading1"/>
      </w:pPr>
      <w:r>
        <w:t>13. Implementation Acceptance Criteria</w:t>
      </w:r>
    </w:p>
    <w:p>
      <w:pPr>
        <w:pStyle w:val="ListBullet"/>
      </w:pPr>
      <w:r>
        <w:t>The +6 and +10 rules match this specification exactly.</w:t>
      </w:r>
    </w:p>
    <w:p>
      <w:pPr>
        <w:pStyle w:val="ListBullet"/>
      </w:pPr>
      <w:r>
        <w:t>No change occurs to raw probabilities or existing confidence fields.</w:t>
      </w:r>
    </w:p>
    <w:p>
      <w:pPr>
        <w:pStyle w:val="ListBullet"/>
      </w:pPr>
      <w:r>
        <w:t>All unit/regression tests pass.</w:t>
      </w:r>
    </w:p>
    <w:p>
      <w:pPr>
        <w:pStyle w:val="ListBullet"/>
      </w:pPr>
      <w:r>
        <w:t>Analytics records the reliability-layer version and resulting score.</w:t>
      </w:r>
    </w:p>
    <w:p>
      <w:pPr>
        <w:pStyle w:val="ListBullet"/>
      </w:pPr>
      <w:r>
        <w:t>A shadow/back-test comparison can reproduce raw-versus-v1 ranking metrics.</w:t>
      </w:r>
    </w:p>
    <w:p>
      <w:pPr>
        <w:pStyle w:val="ListBullet"/>
      </w:pPr>
      <w:r>
        <w:t>Production release is initially monitored before the reliability score is used for stronger product decisions.</w:t>
      </w:r>
    </w:p>
    <w:p>
      <w:pPr>
        <w:pStyle w:val="Heading1"/>
      </w:pPr>
      <w:r>
        <w:t>14. Final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43755"/>
                <w:sz w:val="20"/>
              </w:rPr>
              <w:t>APPROVED FOR ENGINEERING IMPLEMENTATION AS A VERSIONED RANKING LAYER</w:t>
              <w:br/>
            </w:r>
            <w:r>
              <w:rPr>
                <w:sz w:val="19"/>
              </w:rPr>
              <w:t>Reliability Layer v1 should be implemented conservatively as a separate ranking signal using +6 for HOME/AWAY predictions with absolute strength gap 20-29 and +10 for HOME/AWAY predictions with gap 30+. DRAW and league-specific adjustments remain outside v1. The existing ScoreSync confidence and underlying match probabilities remain authoritative base outputs.</w:t>
            </w:r>
          </w:p>
        </w:tc>
      </w:tr>
    </w:tbl>
    <w:p/>
    <w:p>
      <w:pPr>
        <w:pStyle w:val="Heading1"/>
      </w:pPr>
      <w:r>
        <w:t>15. Portfolio-Safe Summary</w:t>
      </w:r>
    </w:p>
    <w:p>
      <w:r>
        <w:t>For public portfolio use, the project can be described as an end-to-end model-monitoring and reliability-ranking case study: production PostgreSQL data was analysed in Power BI, diagnostic hypotheses were tested on fixture-level data, and a simple strength-aware ranking layer was validated across multiple chronological holdouts. Public materials should use sanitised data and must not expose database credentials, private production source code or sensitive infrastructure details.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Specification date: </w:t>
      </w:r>
      <w:r>
        <w:t>18 September 2026</w:t>
      </w:r>
    </w:p>
    <w:p>
      <w:r>
        <w:rPr>
          <w:b/>
        </w:rPr>
        <w:t xml:space="preserve">Next artefact: </w:t>
      </w:r>
      <w:r>
        <w:t>GitHub / LinkedIn portfolio package for the PostgreSQL -&gt; Power BI -&gt; validation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OptJay Analytics | Internal Technical Specification |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ScoreSync | Reliability Layer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6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5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3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A5F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