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0" w:after="200"/>
        <w:jc w:val="center"/>
      </w:pPr>
      <w:r>
        <w:rPr>
          <w:rFonts w:ascii="Arial" w:cs="Arial" w:eastAsia="Arial" w:hAnsi="Arial"/>
          <w:b/>
          <w:bCs/>
          <w:color w:val="1B5E20"/>
          <w:sz w:val="36"/>
          <w:szCs w:val="36"/>
        </w:rPr>
        <w:t xml:space="preserve">一般社団法人</w:t>
      </w:r>
    </w:p>
    <w:p>
      <w:pPr>
        <w:pBdr>
          <w:bottom w:val="single" w:color="66BB6A" w:sz="12" w:space="8"/>
        </w:pBdr>
        <w:spacing w:before="100" w:after="100"/>
        <w:jc w:val="center"/>
      </w:pPr>
      <w:r>
        <w:rPr>
          <w:rFonts w:ascii="Arial" w:cs="Arial" w:eastAsia="Arial" w:hAnsi="Arial"/>
          <w:b/>
          <w:bCs/>
          <w:color w:val="1B5E20"/>
          <w:sz w:val="56"/>
          <w:szCs w:val="56"/>
        </w:rPr>
        <w:t xml:space="preserve">スマート水耕栽培自動化機構</w:t>
      </w:r>
    </w:p>
    <w:p>
      <w:pPr>
        <w:spacing w:before="100" w:after="600"/>
      </w:pPr>
    </w:p>
    <w:p>
      <w:pPr>
        <w:jc w:val="center"/>
      </w:pPr>
      <w:r>
        <w:rPr>
          <w:rFonts w:ascii="Arial" w:cs="Arial" w:eastAsia="Arial" w:hAnsi="Arial"/>
          <w:b/>
          <w:bCs/>
          <w:color w:val="2E7D32"/>
          <w:sz w:val="44"/>
          <w:szCs w:val="44"/>
        </w:rPr>
        <w:t xml:space="preserve">事業計画書</w:t>
      </w:r>
    </w:p>
    <w:p>
      <w:pPr>
        <w:spacing w:before="200" w:after="2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none"/>
              <w:left w:val="none"/>
              <w:bottom w:val="none"/>
              <w:right w:val="none"/>
            </w:tcBorders>
            <w:tcMar>
              <w:top w:type="dxa" w:w="80"/>
              <w:left w:type="dxa" w:w="120"/>
              <w:bottom w:type="dxa" w:w="80"/>
              <w:right w:type="dxa" w:w="120"/>
            </w:tcMar>
          </w:tcPr>
          <w:p>
            <w:r>
              <w:rPr>
                <w:rFonts w:ascii="Arial" w:cs="Arial" w:eastAsia="Arial" w:hAnsi="Arial"/>
                <w:b/>
                <w:bCs/>
                <w:color w:val="1B5E20"/>
                <w:sz w:val="22"/>
                <w:szCs w:val="22"/>
              </w:rPr>
              <w:t xml:space="preserve">版数</w:t>
            </w:r>
          </w:p>
        </w:tc>
        <w:tc>
          <w:tcPr>
            <w:tcW w:type="dxa" w:w="3500"/>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第1.0版（設立準備版）</w:t>
            </w:r>
          </w:p>
        </w:tc>
      </w:tr>
      <w:tr>
        <w:tc>
          <w:tcPr>
            <w:tcW w:type="dxa" w:w="2500"/>
            <w:tcBorders>
              <w:top w:val="none"/>
              <w:left w:val="none"/>
              <w:bottom w:val="none"/>
              <w:right w:val="none"/>
            </w:tcBorders>
            <w:tcMar>
              <w:top w:type="dxa" w:w="80"/>
              <w:left w:type="dxa" w:w="120"/>
              <w:bottom w:type="dxa" w:w="80"/>
              <w:right w:type="dxa" w:w="120"/>
            </w:tcMar>
          </w:tcPr>
          <w:p>
            <w:r>
              <w:rPr>
                <w:rFonts w:ascii="Arial" w:cs="Arial" w:eastAsia="Arial" w:hAnsi="Arial"/>
                <w:b/>
                <w:bCs/>
                <w:color w:val="1B5E20"/>
                <w:sz w:val="22"/>
                <w:szCs w:val="22"/>
              </w:rPr>
              <w:t xml:space="preserve">作成日</w:t>
            </w:r>
          </w:p>
        </w:tc>
        <w:tc>
          <w:tcPr>
            <w:tcW w:type="dxa" w:w="3500"/>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2026年3月</w:t>
            </w:r>
          </w:p>
        </w:tc>
      </w:tr>
      <w:tr>
        <w:tc>
          <w:tcPr>
            <w:tcW w:type="dxa" w:w="2500"/>
            <w:tcBorders>
              <w:top w:val="none"/>
              <w:left w:val="none"/>
              <w:bottom w:val="none"/>
              <w:right w:val="none"/>
            </w:tcBorders>
            <w:tcMar>
              <w:top w:type="dxa" w:w="80"/>
              <w:left w:type="dxa" w:w="120"/>
              <w:bottom w:type="dxa" w:w="80"/>
              <w:right w:type="dxa" w:w="120"/>
            </w:tcMar>
          </w:tcPr>
          <w:p>
            <w:r>
              <w:rPr>
                <w:rFonts w:ascii="Arial" w:cs="Arial" w:eastAsia="Arial" w:hAnsi="Arial"/>
                <w:b/>
                <w:bCs/>
                <w:color w:val="1B5E20"/>
                <w:sz w:val="22"/>
                <w:szCs w:val="22"/>
              </w:rPr>
              <w:t xml:space="preserve">対象読者</w:t>
            </w:r>
          </w:p>
        </w:tc>
        <w:tc>
          <w:tcPr>
            <w:tcW w:type="dxa" w:w="3500"/>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設立社員・投資家・補助金審査機関</w:t>
            </w:r>
          </w:p>
        </w:tc>
      </w:tr>
    </w:tbl>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第1章　エグゼクティブサマリー</w:t>
      </w:r>
    </w:p>
    <w:p>
      <w:pPr>
        <w:spacing w:before="80" w:after="80" w:line="360"/>
      </w:pPr>
      <w:r>
        <w:rPr>
          <w:rFonts w:ascii="Arial" w:cs="Arial" w:eastAsia="Arial" w:hAnsi="Arial"/>
          <w:color w:val="1A1A1A"/>
          <w:sz w:val="22"/>
          <w:szCs w:val="22"/>
        </w:rPr>
        <w:t xml:space="preserve">本計画は、水耕栽培の完全自動化・高度化を通じて世界の食料安全保障に貢献することを目的として設立される一般社団法人の事業計画を示すものである。近年、気候変動・人口増加・農業従事者不足が深刻化するなか、AI・IoT・ロボティクスを統合したスマート水耕栽培システムの市場は急速に拡大しており、2030年代初頭には世界で最大397億ドル規模に達すると予測されている。</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8"/>
              <w:left w:val="single" w:color="1B5E20" w:sz="24"/>
              <w:bottom w:val="single" w:color="1B5E20" w:sz="8"/>
              <w:right w:val="single" w:color="1B5E20" w:sz="8"/>
            </w:tcBorders>
            <w:shd w:fill="E8F5E9" w:val="clear"/>
            <w:tcMar>
              <w:top w:type="dxa" w:w="150"/>
              <w:left w:type="dxa" w:w="200"/>
              <w:bottom w:type="dxa" w:w="150"/>
              <w:right w:type="dxa" w:w="150"/>
            </w:tcMar>
          </w:tcPr>
          <w:p>
            <w:pPr>
              <w:spacing w:after="60"/>
            </w:pPr>
            <w:r>
              <w:rPr>
                <w:rFonts w:ascii="Arial" w:cs="Arial" w:eastAsia="Arial" w:hAnsi="Arial"/>
                <w:b/>
                <w:bCs/>
                <w:color w:val="1B5E20"/>
                <w:sz w:val="22"/>
                <w:szCs w:val="22"/>
              </w:rPr>
              <w:t xml:space="preserve">◆ ミッション</w:t>
            </w:r>
          </w:p>
          <w:p>
            <w:r>
              <w:rPr>
                <w:rFonts w:ascii="Arial" w:cs="Arial" w:eastAsia="Arial" w:hAnsi="Arial"/>
                <w:color w:val="333333"/>
                <w:sz w:val="21"/>
                <w:szCs w:val="21"/>
              </w:rPr>
              <w:t xml:space="preserve">「テクノロジーと農業の融合により、持続可能な食料生産システムを社会実装し、次世代に豊かな食の未来を届ける」</w:t>
            </w:r>
          </w:p>
        </w:tc>
      </w:tr>
    </w:tbl>
    <w:p>
      <w:pPr>
        <w:spacing w:before="120" w:after="120"/>
      </w:pPr>
    </w:p>
    <w:p>
      <w:pPr>
        <w:pStyle w:val="Heading2"/>
        <w:spacing w:before="300" w:after="150"/>
      </w:pPr>
      <w:r>
        <w:rPr>
          <w:rFonts w:ascii="Arial" w:cs="Arial" w:eastAsia="Arial" w:hAnsi="Arial"/>
          <w:b/>
          <w:bCs/>
          <w:color w:val="2E7D32"/>
          <w:sz w:val="28"/>
          <w:szCs w:val="28"/>
        </w:rPr>
        <w:t xml:space="preserve">1.1　事業コンセプト</w:t>
      </w:r>
    </w:p>
    <w:p>
      <w:pPr>
        <w:spacing w:before="80" w:after="80" w:line="360"/>
      </w:pPr>
      <w:r>
        <w:rPr>
          <w:rFonts w:ascii="Arial" w:cs="Arial" w:eastAsia="Arial" w:hAnsi="Arial"/>
          <w:color w:val="1A1A1A"/>
          <w:sz w:val="22"/>
          <w:szCs w:val="22"/>
        </w:rPr>
        <w:t xml:space="preserve">本法人は、水耕栽培の自動化システムの研究開発・社会実装・普及啓発を三本柱とし、以下の価値を提供する。</w:t>
      </w:r>
    </w:p>
    <w:p>
      <w:pPr>
        <w:pStyle w:val="ListParagraph"/>
        <w:numPr>
          <w:ilvl w:val="0"/>
          <w:numId w:val="2"/>
        </w:numPr>
        <w:spacing w:before="60" w:after="60"/>
      </w:pPr>
      <w:r>
        <w:rPr>
          <w:rFonts w:ascii="Arial" w:cs="Arial" w:eastAsia="Arial" w:hAnsi="Arial"/>
          <w:color w:val="1A1A1A"/>
          <w:sz w:val="22"/>
          <w:szCs w:val="22"/>
        </w:rPr>
        <w:t xml:space="preserve">IoT・AI・ロボティクスを統合した水耕栽培自動化パッケージの開発・提供</w:t>
      </w:r>
    </w:p>
    <w:p>
      <w:pPr>
        <w:pStyle w:val="ListParagraph"/>
        <w:numPr>
          <w:ilvl w:val="0"/>
          <w:numId w:val="2"/>
        </w:numPr>
        <w:spacing w:before="60" w:after="60"/>
      </w:pPr>
      <w:r>
        <w:rPr>
          <w:rFonts w:ascii="Arial" w:cs="Arial" w:eastAsia="Arial" w:hAnsi="Arial"/>
          <w:color w:val="1A1A1A"/>
          <w:sz w:val="22"/>
          <w:szCs w:val="22"/>
        </w:rPr>
        <w:t xml:space="preserve">農業従事者・企業向けの導入支援・コンサルティングサービス</w:t>
      </w:r>
    </w:p>
    <w:p>
      <w:pPr>
        <w:pStyle w:val="ListParagraph"/>
        <w:numPr>
          <w:ilvl w:val="0"/>
          <w:numId w:val="2"/>
        </w:numPr>
        <w:spacing w:before="60" w:after="60"/>
      </w:pPr>
      <w:r>
        <w:rPr>
          <w:rFonts w:ascii="Arial" w:cs="Arial" w:eastAsia="Arial" w:hAnsi="Arial"/>
          <w:color w:val="1A1A1A"/>
          <w:sz w:val="22"/>
          <w:szCs w:val="22"/>
        </w:rPr>
        <w:t xml:space="preserve">補助金・政策連携による社会的インフラとしての水耕栽培施設の普及</w:t>
      </w:r>
    </w:p>
    <w:p>
      <w:pPr>
        <w:pStyle w:val="ListParagraph"/>
        <w:numPr>
          <w:ilvl w:val="0"/>
          <w:numId w:val="2"/>
        </w:numPr>
        <w:spacing w:before="60" w:after="60"/>
      </w:pPr>
      <w:r>
        <w:rPr>
          <w:rFonts w:ascii="Arial" w:cs="Arial" w:eastAsia="Arial" w:hAnsi="Arial"/>
          <w:color w:val="1A1A1A"/>
          <w:sz w:val="22"/>
          <w:szCs w:val="22"/>
        </w:rPr>
        <w:t xml:space="preserve">高付加価値作物（プレミアムベリー類・高級ハーブ等）の試験栽培・モデル事業の展開</w:t>
      </w:r>
    </w:p>
    <w:p>
      <w:pPr>
        <w:spacing w:before="120" w:after="120"/>
      </w:pPr>
    </w:p>
    <w:p>
      <w:pPr>
        <w:pStyle w:val="Heading2"/>
        <w:spacing w:before="300" w:after="150"/>
      </w:pPr>
      <w:r>
        <w:rPr>
          <w:rFonts w:ascii="Arial" w:cs="Arial" w:eastAsia="Arial" w:hAnsi="Arial"/>
          <w:b/>
          <w:bCs/>
          <w:color w:val="2E7D32"/>
          <w:sz w:val="28"/>
          <w:szCs w:val="28"/>
        </w:rPr>
        <w:t xml:space="preserve">1.2　競争優位性</w:t>
      </w:r>
    </w:p>
    <w:p>
      <w:pPr>
        <w:spacing w:before="80" w:after="80" w:line="360"/>
      </w:pPr>
      <w:r>
        <w:rPr>
          <w:rFonts w:ascii="Arial" w:cs="Arial" w:eastAsia="Arial" w:hAnsi="Arial"/>
          <w:color w:val="1A1A1A"/>
          <w:sz w:val="22"/>
          <w:szCs w:val="22"/>
        </w:rPr>
        <w:t xml:space="preserve">先行する垂直農法企業（Bowery Farming・AeroFarms等）の倒産事例から得られた教訓を踏まえ、以下の点で差別化を図る。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課題（失敗の原因）</w:t>
            </w:r>
          </w:p>
        </w:tc>
        <w:tc>
          <w:tcPr>
            <w:tcW w:type="dxa" w:w="3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業界標準</w:t>
            </w:r>
          </w:p>
        </w:tc>
        <w:tc>
          <w:tcPr>
            <w:tcW w:type="dxa" w:w="33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本法人のアプローチ</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過剰なCAPEX投資</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最先端技術を一括導入</w:t>
            </w:r>
          </w:p>
        </w:tc>
        <w:tc>
          <w:tcPr>
            <w:tcW w:type="dxa" w:w="33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モジュール型・段階的導入</w:t>
            </w:r>
          </w:p>
        </w:tc>
      </w:tr>
      <w:tr>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エネルギーコスト高騰</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完全閉鎖型施設</w:t>
            </w:r>
          </w:p>
        </w:tc>
        <w:tc>
          <w:tcPr>
            <w:tcW w:type="dxa" w:w="33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ハイブリッド施設（自然光+LED）</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低付加価値作物の価格競争</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レタス・ほうれん草中心</w:t>
            </w:r>
          </w:p>
        </w:tc>
        <w:tc>
          <w:tcPr>
            <w:tcW w:type="dxa" w:w="33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プレミアム作物へのシフト戦略</w:t>
            </w:r>
          </w:p>
        </w:tc>
      </w:tr>
      <w:tr>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採算性未検証での拡大</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VCマネー頼みのスケール</w:t>
            </w:r>
          </w:p>
        </w:tc>
        <w:tc>
          <w:tcPr>
            <w:tcW w:type="dxa" w:w="33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補助金活用＋段階的収益検証</w:t>
            </w:r>
          </w:p>
        </w:tc>
      </w:tr>
    </w:tbl>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第2章　一般社団法人の設立</w:t>
      </w:r>
    </w:p>
    <w:p>
      <w:pPr>
        <w:pStyle w:val="Heading2"/>
        <w:spacing w:before="300" w:after="150"/>
      </w:pPr>
      <w:r>
        <w:rPr>
          <w:rFonts w:ascii="Arial" w:cs="Arial" w:eastAsia="Arial" w:hAnsi="Arial"/>
          <w:b/>
          <w:bCs/>
          <w:color w:val="2E7D32"/>
          <w:sz w:val="28"/>
          <w:szCs w:val="28"/>
        </w:rPr>
        <w:t xml:space="preserve">2.1　設立時の必須決定事項</w:t>
      </w:r>
    </w:p>
    <w:p>
      <w:pPr>
        <w:spacing w:before="80" w:after="80" w:line="360"/>
      </w:pPr>
      <w:r>
        <w:rPr>
          <w:rFonts w:ascii="Arial" w:cs="Arial" w:eastAsia="Arial" w:hAnsi="Arial"/>
          <w:color w:val="1A1A1A"/>
          <w:sz w:val="22"/>
          <w:szCs w:val="22"/>
        </w:rPr>
        <w:t xml:space="preserve">一般社団法人の設立にあたり、以下の事項を定款作成前に決定する必要がある。</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カテゴリ</w:t>
            </w:r>
          </w:p>
        </w:tc>
        <w:tc>
          <w:tcPr>
            <w:tcW w:type="dxa" w:w="3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決定事項</w:t>
            </w:r>
          </w:p>
        </w:tc>
        <w:tc>
          <w:tcPr>
            <w:tcW w:type="dxa" w:w="38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検討ポイント</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基本情報</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法人名称</w:t>
            </w:r>
          </w:p>
        </w:tc>
        <w:tc>
          <w:tcPr>
            <w:tcW w:type="dxa" w:w="3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目的・事業内容を反映し、英語名も検討（海外展開を見据え）</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主たる事務所所在地</w:t>
            </w:r>
          </w:p>
        </w:tc>
        <w:tc>
          <w:tcPr>
            <w:tcW w:type="dxa" w:w="3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都道府県・市区町村の確定。農業関連施設との近接性も考慮</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設立目的（定款第2条）</w:t>
            </w:r>
          </w:p>
        </w:tc>
        <w:tc>
          <w:tcPr>
            <w:tcW w:type="dxa" w:w="3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「水耕栽培の研究開発、社会実装、普及啓発」等、具体的に記載</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社員構成</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設立時社員（最低2名）</w:t>
            </w:r>
          </w:p>
        </w:tc>
        <w:tc>
          <w:tcPr>
            <w:tcW w:type="dxa" w:w="3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農業・技術・経営各分野の専門家で構成を推奨</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社員資格・入退社要件</w:t>
            </w:r>
          </w:p>
        </w:tc>
        <w:tc>
          <w:tcPr>
            <w:tcW w:type="dxa" w:w="3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正会員（議決権あり）・賛助会員（財政支援）の区分設定</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機関設計</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理事会の設置有無</w:t>
            </w:r>
          </w:p>
        </w:tc>
        <w:tc>
          <w:tcPr>
            <w:tcW w:type="dxa" w:w="3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理事3名以上で理事会設置可。設置すると監事1名も必要</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代表理事</w:t>
            </w:r>
          </w:p>
        </w:tc>
        <w:tc>
          <w:tcPr>
            <w:tcW w:type="dxa" w:w="3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法人の顔となる人物。業界経験・対外折衝能力が重要</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財務設計</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事業年度・決算期</w:t>
            </w:r>
          </w:p>
        </w:tc>
        <w:tc>
          <w:tcPr>
            <w:tcW w:type="dxa" w:w="3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補助金の申請サイクルに合わせて4月〜3月を推奨</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入会金・会費</w:t>
            </w:r>
          </w:p>
        </w:tc>
        <w:tc>
          <w:tcPr>
            <w:tcW w:type="dxa" w:w="3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資金計画に基づき設定。初期運営の重要財源</w:t>
            </w:r>
          </w:p>
        </w:tc>
      </w:tr>
    </w:tbl>
    <w:p>
      <w:pPr>
        <w:spacing w:before="160"/>
      </w:pPr>
    </w:p>
    <w:p>
      <w:pPr>
        <w:pStyle w:val="Heading2"/>
        <w:spacing w:before="300" w:after="150"/>
      </w:pPr>
      <w:r>
        <w:rPr>
          <w:rFonts w:ascii="Arial" w:cs="Arial" w:eastAsia="Arial" w:hAnsi="Arial"/>
          <w:b/>
          <w:bCs/>
          <w:color w:val="2E7D32"/>
          <w:sz w:val="28"/>
          <w:szCs w:val="28"/>
        </w:rPr>
        <w:t xml:space="preserve">2.2　設立手続きフロー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500"/>
        <w:gridCol w:w="2560"/>
      </w:tblGrid>
      <w:tr>
        <w:tc>
          <w:tcPr>
            <w:tcW w:type="dxa" w:w="8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3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手続き内容</w:t>
            </w:r>
          </w:p>
        </w:tc>
        <w:tc>
          <w:tcPr>
            <w:tcW w:type="dxa" w:w="2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必要書類</w:t>
            </w:r>
          </w:p>
        </w:tc>
        <w:tc>
          <w:tcPr>
            <w:tcW w:type="dxa" w:w="25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費用・期間</w:t>
            </w:r>
          </w:p>
        </w:tc>
      </w:tr>
      <w:tr>
        <w:tc>
          <w:tcPr>
            <w:tcW w:type="dxa" w:w="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①</w:t>
            </w:r>
          </w:p>
        </w:tc>
        <w:tc>
          <w:tcPr>
            <w:tcW w:type="dxa" w:w="3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設立合意・定款草案作成</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定款草案、社員名簿</w:t>
            </w:r>
          </w:p>
        </w:tc>
        <w:tc>
          <w:tcPr>
            <w:tcW w:type="dxa" w:w="25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弁護士費用（任意）</w:t>
            </w:r>
          </w:p>
        </w:tc>
      </w:tr>
      <w:tr>
        <w:tc>
          <w:tcPr>
            <w:tcW w:type="dxa" w:w="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②</w:t>
            </w:r>
          </w:p>
        </w:tc>
        <w:tc>
          <w:tcPr>
            <w:tcW w:type="dxa" w:w="3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設立総会の開催</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議事録、役員就任承諾書</w:t>
            </w:r>
          </w:p>
        </w:tc>
        <w:tc>
          <w:tcPr>
            <w:tcW w:type="dxa" w:w="25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設立総会の開催</w:t>
            </w:r>
          </w:p>
        </w:tc>
      </w:tr>
      <w:tr>
        <w:tc>
          <w:tcPr>
            <w:tcW w:type="dxa" w:w="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③</w:t>
            </w:r>
          </w:p>
        </w:tc>
        <w:tc>
          <w:tcPr>
            <w:tcW w:type="dxa" w:w="3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公証人による定款認証</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定款（3通）、委任状</w:t>
            </w:r>
          </w:p>
        </w:tc>
        <w:tc>
          <w:tcPr>
            <w:tcW w:type="dxa" w:w="25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約5万円・1〜2週間</w:t>
            </w:r>
          </w:p>
        </w:tc>
      </w:tr>
      <w:tr>
        <w:tc>
          <w:tcPr>
            <w:tcW w:type="dxa" w:w="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④</w:t>
            </w:r>
          </w:p>
        </w:tc>
        <w:tc>
          <w:tcPr>
            <w:tcW w:type="dxa" w:w="3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法務局での設立登記</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登記申請書、印鑑届出書</w:t>
            </w:r>
          </w:p>
        </w:tc>
        <w:tc>
          <w:tcPr>
            <w:tcW w:type="dxa" w:w="25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登録免許税6万円・約2週間</w:t>
            </w:r>
          </w:p>
        </w:tc>
      </w:tr>
      <w:tr>
        <w:tc>
          <w:tcPr>
            <w:tcW w:type="dxa" w:w="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⑤</w:t>
            </w:r>
          </w:p>
        </w:tc>
        <w:tc>
          <w:tcPr>
            <w:tcW w:type="dxa" w:w="3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各種届出（税務署・都道府県等）</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法人設立届、給与支払事務所届</w:t>
            </w:r>
          </w:p>
        </w:tc>
        <w:tc>
          <w:tcPr>
            <w:tcW w:type="dxa" w:w="25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設立後2ヶ月以内</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8"/>
              <w:left w:val="single" w:color="1B5E20" w:sz="24"/>
              <w:bottom w:val="single" w:color="1B5E20" w:sz="8"/>
              <w:right w:val="single" w:color="1B5E20" w:sz="8"/>
            </w:tcBorders>
            <w:shd w:fill="E8F5E9" w:val="clear"/>
            <w:tcMar>
              <w:top w:type="dxa" w:w="150"/>
              <w:left w:type="dxa" w:w="200"/>
              <w:bottom w:type="dxa" w:w="150"/>
              <w:right w:type="dxa" w:w="150"/>
            </w:tcMar>
          </w:tcPr>
          <w:p>
            <w:pPr>
              <w:spacing w:after="60"/>
            </w:pPr>
            <w:r>
              <w:rPr>
                <w:rFonts w:ascii="Arial" w:cs="Arial" w:eastAsia="Arial" w:hAnsi="Arial"/>
                <w:b/>
                <w:bCs/>
                <w:color w:val="1B5E20"/>
                <w:sz w:val="22"/>
                <w:szCs w:val="22"/>
              </w:rPr>
              <w:t xml:space="preserve">💡 非営利型一般社団法人の検討</w:t>
            </w:r>
          </w:p>
          <w:p>
            <w:r>
              <w:rPr>
                <w:rFonts w:ascii="Arial" w:cs="Arial" w:eastAsia="Arial" w:hAnsi="Arial"/>
                <w:color w:val="333333"/>
                <w:sz w:val="21"/>
                <w:szCs w:val="21"/>
              </w:rPr>
              <w:t xml:space="preserve">収益事業以外の活動が主体の場合、「非営利型一般社団法人」として法人税の非課税措置（収益事業以外）を受けられる可能性がある。要件：①剰余金の分配を行わない旨を定款に明記、②解散時の残余財産を国等に帰属する旨を定款に明記。</w:t>
            </w:r>
          </w:p>
        </w:tc>
      </w:tr>
    </w:tbl>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第3章　市場分析</w:t>
      </w:r>
    </w:p>
    <w:p>
      <w:pPr>
        <w:pStyle w:val="Heading2"/>
        <w:spacing w:before="300" w:after="150"/>
      </w:pPr>
      <w:r>
        <w:rPr>
          <w:rFonts w:ascii="Arial" w:cs="Arial" w:eastAsia="Arial" w:hAnsi="Arial"/>
          <w:b/>
          <w:bCs/>
          <w:color w:val="2E7D32"/>
          <w:sz w:val="28"/>
          <w:szCs w:val="28"/>
        </w:rPr>
        <w:t xml:space="preserve">3.1　世界市場の概況</w:t>
      </w:r>
    </w:p>
    <w:p>
      <w:pPr>
        <w:spacing w:before="80" w:after="80" w:line="360"/>
      </w:pPr>
      <w:r>
        <w:rPr>
          <w:rFonts w:ascii="Arial" w:cs="Arial" w:eastAsia="Arial" w:hAnsi="Arial"/>
          <w:color w:val="1A1A1A"/>
          <w:sz w:val="22"/>
          <w:szCs w:val="22"/>
        </w:rPr>
        <w:t xml:space="preserve">水耕栽培・垂直農法の世界市場は急速な成長フェーズにある。2024〜2025年にかけての業界再編（一部企業の倒産・撤退）を経て、「技術力＋財務規律」を兼ね備えた事業者のみが生き残る構造に転換した。</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地域</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現在の市場規模</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成長率（CAGR）</w:t>
            </w:r>
          </w:p>
        </w:tc>
        <w:tc>
          <w:tcPr>
            <w:tcW w:type="dxa" w:w="28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主な推進要因</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北米</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約15.8億ドル（35%）</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年率12〜15%</w:t>
            </w:r>
          </w:p>
        </w:tc>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VC投資・自動化ロボット・食の安全意識</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アジア太平洋（APAC）</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約12.7億ドル（28%）</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年率18〜22%（最高成長）</w:t>
            </w:r>
          </w:p>
        </w:tc>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農地不足・高齢化・食料自給率向上政策</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欧州</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約10.5億ドル（24%）</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年率14〜17%</w:t>
            </w:r>
          </w:p>
        </w:tc>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窒素危機・EU農業改革・再エネ補助金</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中東・アフリカ</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約5.8億ドル（13%）</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年率25〜30%（最高ポテンシャル）</w:t>
            </w:r>
          </w:p>
        </w:tc>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食料安全保障政策・水資源不足・輸入依存脱却</w:t>
            </w:r>
          </w:p>
        </w:tc>
      </w:tr>
    </w:tbl>
    <w:p>
      <w:pPr>
        <w:spacing w:before="160"/>
      </w:pPr>
    </w:p>
    <w:p>
      <w:pPr>
        <w:pStyle w:val="Heading2"/>
        <w:spacing w:before="300" w:after="150"/>
      </w:pPr>
      <w:r>
        <w:rPr>
          <w:rFonts w:ascii="Arial" w:cs="Arial" w:eastAsia="Arial" w:hAnsi="Arial"/>
          <w:b/>
          <w:bCs/>
          <w:color w:val="2E7D32"/>
          <w:sz w:val="28"/>
          <w:szCs w:val="28"/>
        </w:rPr>
        <w:t xml:space="preserve">3.2　日本市場の特性と機会</w:t>
      </w:r>
    </w:p>
    <w:p>
      <w:pPr>
        <w:spacing w:before="80" w:after="80" w:line="360"/>
      </w:pPr>
      <w:r>
        <w:rPr>
          <w:rFonts w:ascii="Arial" w:cs="Arial" w:eastAsia="Arial" w:hAnsi="Arial"/>
          <w:color w:val="1A1A1A"/>
          <w:sz w:val="22"/>
          <w:szCs w:val="22"/>
        </w:rPr>
        <w:t xml:space="preserve">日本市場は本法人の初期ターゲット市場であり、以下の固有の機会が存在する。</w:t>
      </w:r>
    </w:p>
    <w:p>
      <w:pPr>
        <w:pStyle w:val="ListParagraph"/>
        <w:numPr>
          <w:ilvl w:val="0"/>
          <w:numId w:val="2"/>
        </w:numPr>
        <w:spacing w:before="60" w:after="60"/>
      </w:pPr>
      <w:r>
        <w:rPr>
          <w:rFonts w:ascii="Arial" w:cs="Arial" w:eastAsia="Arial" w:hAnsi="Arial"/>
          <w:color w:val="1A1A1A"/>
          <w:sz w:val="22"/>
          <w:szCs w:val="22"/>
        </w:rPr>
        <w:t xml:space="preserve">農業従事者の高齢化（平均年齢68.4歳）と担い手不足による自動化ニーズの急拡大</w:t>
      </w:r>
    </w:p>
    <w:p>
      <w:pPr>
        <w:pStyle w:val="ListParagraph"/>
        <w:numPr>
          <w:ilvl w:val="0"/>
          <w:numId w:val="2"/>
        </w:numPr>
        <w:spacing w:before="60" w:after="60"/>
      </w:pPr>
      <w:r>
        <w:rPr>
          <w:rFonts w:ascii="Arial" w:cs="Arial" w:eastAsia="Arial" w:hAnsi="Arial"/>
          <w:color w:val="1A1A1A"/>
          <w:sz w:val="22"/>
          <w:szCs w:val="22"/>
        </w:rPr>
        <w:t xml:space="preserve">農薬不使用・安全食品へのプレミアム消費者需要（単価の高い高付加価値作物が受け入れられやすい）</w:t>
      </w:r>
    </w:p>
    <w:p>
      <w:pPr>
        <w:pStyle w:val="ListParagraph"/>
        <w:numPr>
          <w:ilvl w:val="0"/>
          <w:numId w:val="2"/>
        </w:numPr>
        <w:spacing w:before="60" w:after="60"/>
      </w:pPr>
      <w:r>
        <w:rPr>
          <w:rFonts w:ascii="Arial" w:cs="Arial" w:eastAsia="Arial" w:hAnsi="Arial"/>
          <w:color w:val="1A1A1A"/>
          <w:sz w:val="22"/>
          <w:szCs w:val="22"/>
        </w:rPr>
        <w:t xml:space="preserve">農林水産省・経済産業省によるスマート農業推進政策および補助金制度の充実</w:t>
      </w:r>
    </w:p>
    <w:p>
      <w:pPr>
        <w:pStyle w:val="ListParagraph"/>
        <w:numPr>
          <w:ilvl w:val="0"/>
          <w:numId w:val="2"/>
        </w:numPr>
        <w:spacing w:before="60" w:after="60"/>
      </w:pPr>
      <w:r>
        <w:rPr>
          <w:rFonts w:ascii="Arial" w:cs="Arial" w:eastAsia="Arial" w:hAnsi="Arial"/>
          <w:color w:val="1A1A1A"/>
          <w:sz w:val="22"/>
          <w:szCs w:val="22"/>
        </w:rPr>
        <w:t xml:space="preserve">都市部への人口集中と農地縮小による都市型農業の需要増</w:t>
      </w:r>
    </w:p>
    <w:p>
      <w:pPr>
        <w:pStyle w:val="ListParagraph"/>
        <w:numPr>
          <w:ilvl w:val="0"/>
          <w:numId w:val="2"/>
        </w:numPr>
        <w:spacing w:before="60" w:after="60"/>
      </w:pPr>
      <w:r>
        <w:rPr>
          <w:rFonts w:ascii="Arial" w:cs="Arial" w:eastAsia="Arial" w:hAnsi="Arial"/>
          <w:color w:val="1A1A1A"/>
          <w:sz w:val="22"/>
          <w:szCs w:val="22"/>
        </w:rPr>
        <w:t xml:space="preserve">日本の水耕栽培垂直農法市場規模：2025年時点で約6.8億ドル（推計）</w:t>
      </w:r>
    </w:p>
    <w:p>
      <w:pPr>
        <w:spacing w:before="160"/>
      </w:pPr>
    </w:p>
    <w:p>
      <w:pPr>
        <w:pStyle w:val="Heading2"/>
        <w:spacing w:before="300" w:after="150"/>
      </w:pPr>
      <w:r>
        <w:rPr>
          <w:rFonts w:ascii="Arial" w:cs="Arial" w:eastAsia="Arial" w:hAnsi="Arial"/>
          <w:b/>
          <w:bCs/>
          <w:color w:val="2E7D32"/>
          <w:sz w:val="28"/>
          <w:szCs w:val="28"/>
        </w:rPr>
        <w:t xml:space="preserve">3.3　競合分析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企業・組織名</w:t>
            </w:r>
          </w:p>
        </w:tc>
        <w:tc>
          <w:tcPr>
            <w:tcW w:type="dxa" w:w="18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国/地域</w:t>
            </w:r>
          </w:p>
        </w:tc>
        <w:tc>
          <w:tcPr>
            <w:tcW w:type="dxa" w:w="18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強み</w:t>
            </w:r>
          </w:p>
        </w:tc>
        <w:tc>
          <w:tcPr>
            <w:tcW w:type="dxa" w:w="18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弱み/教訓</w:t>
            </w:r>
          </w:p>
        </w:tc>
        <w:tc>
          <w:tcPr>
            <w:tcW w:type="dxa" w:w="17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本法人との関係</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Spread Co.（テクノファームけいはんな）</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日本</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高い自動化率・安定収益</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葉物野菜中心で価格競争</w:t>
            </w:r>
          </w:p>
        </w:tc>
        <w:tc>
          <w:tcPr>
            <w:tcW w:type="dxa" w:w="17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ベンチマーク・連携候補</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Oishii Farm</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米国（日本技術）</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高単価イチゴ・ブランド戦略</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スケール拡大の課題</w:t>
            </w:r>
          </w:p>
        </w:tc>
        <w:tc>
          <w:tcPr>
            <w:tcW w:type="dxa" w:w="17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モデルケース参考</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Bustanica（UAE）</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UAE</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大規模・省エネ設計</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初期投資額が膨大</w:t>
            </w:r>
          </w:p>
        </w:tc>
        <w:tc>
          <w:tcPr>
            <w:tcW w:type="dxa" w:w="17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中東展開時の参考</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ベンチャー系スタートアップ群</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国内複数社</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技術革新・資金調達力</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収益化に苦戦</w:t>
            </w:r>
          </w:p>
        </w:tc>
        <w:tc>
          <w:tcPr>
            <w:tcW w:type="dxa" w:w="17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協業・補完関係</w:t>
            </w:r>
          </w:p>
        </w:tc>
      </w:tr>
    </w:tbl>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第4章　事業内容・収益モデル</w:t>
      </w:r>
    </w:p>
    <w:p>
      <w:pPr>
        <w:pStyle w:val="Heading2"/>
        <w:spacing w:before="300" w:after="150"/>
      </w:pPr>
      <w:r>
        <w:rPr>
          <w:rFonts w:ascii="Arial" w:cs="Arial" w:eastAsia="Arial" w:hAnsi="Arial"/>
          <w:b/>
          <w:bCs/>
          <w:color w:val="2E7D32"/>
          <w:sz w:val="28"/>
          <w:szCs w:val="28"/>
        </w:rPr>
        <w:t xml:space="preserve">4.1　事業の三本柱</w:t>
      </w:r>
    </w:p>
    <w:p>
      <w:pPr>
        <w:spacing w:before="80" w:after="80" w:line="360"/>
      </w:pPr>
      <w:r>
        <w:rPr>
          <w:rFonts w:ascii="Arial" w:cs="Arial" w:eastAsia="Arial" w:hAnsi="Arial"/>
          <w:color w:val="1A1A1A"/>
          <w:sz w:val="22"/>
          <w:szCs w:val="22"/>
        </w:rPr>
        <w:t xml:space="preserve">本法人の事業は、以下の三本柱を中核とする。各事業は相互に連携・強化し合い、持続的な社会的インパクトと財務的安定性を実現する。</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00"/>
        <w:gridCol w:w="3060"/>
      </w:tblGrid>
      <w:tr>
        <w:tc>
          <w:tcPr>
            <w:tcW w:type="dxa" w:w="6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柱</w:t>
            </w:r>
          </w:p>
        </w:tc>
        <w:tc>
          <w:tcPr>
            <w:tcW w:type="dxa" w:w="24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事業名称</w:t>
            </w:r>
          </w:p>
        </w:tc>
        <w:tc>
          <w:tcPr>
            <w:tcW w:type="dxa" w:w="33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内容</w:t>
            </w:r>
          </w:p>
        </w:tc>
        <w:tc>
          <w:tcPr>
            <w:tcW w:type="dxa" w:w="30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収益モデル</w:t>
            </w:r>
          </w:p>
        </w:tc>
      </w:tr>
      <w:tr>
        <w:tc>
          <w:tcPr>
            <w:tcW w:type="dxa" w:w="6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①</w:t>
            </w:r>
          </w:p>
        </w:tc>
        <w:tc>
          <w:tcPr>
            <w:tcW w:type="dxa" w:w="24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自動化システム開発・提供事業</w:t>
            </w:r>
          </w:p>
        </w:tc>
        <w:tc>
          <w:tcPr>
            <w:tcW w:type="dxa" w:w="33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IoT/AI/ロボティクスを統合した水耕栽培自動化キットの研究開発・販売。モジュール式設計で小規模農家から大規模施設まで対応</w:t>
            </w:r>
          </w:p>
        </w:tc>
        <w:tc>
          <w:tcPr>
            <w:tcW w:type="dxa" w:w="30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システム販売収益 + SaaS月額利用料（クラウド管理プラットフォーム）</w:t>
            </w:r>
          </w:p>
        </w:tc>
      </w:tr>
      <w:tr>
        <w:tc>
          <w:tcPr>
            <w:tcW w:type="dxa" w:w="6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②</w:t>
            </w:r>
          </w:p>
        </w:tc>
        <w:tc>
          <w:tcPr>
            <w:tcW w:type="dxa" w:w="24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コンサルティング・導入支援事業</w:t>
            </w:r>
          </w:p>
        </w:tc>
        <w:tc>
          <w:tcPr>
            <w:tcW w:type="dxa" w:w="33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農業法人・企業・自治体向けに、施設設計から運用最適化まで一貫支援。補助金申請支援サービスも提供</w:t>
            </w:r>
          </w:p>
        </w:tc>
        <w:tc>
          <w:tcPr>
            <w:tcW w:type="dxa" w:w="30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コンサルティングフィー + 成果報酬型補助金支援料</w:t>
            </w:r>
          </w:p>
        </w:tc>
      </w:tr>
      <w:tr>
        <w:tc>
          <w:tcPr>
            <w:tcW w:type="dxa" w:w="6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③</w:t>
            </w:r>
          </w:p>
        </w:tc>
        <w:tc>
          <w:tcPr>
            <w:tcW w:type="dxa" w:w="24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モデル農場運営・実証事業</w:t>
            </w:r>
          </w:p>
        </w:tc>
        <w:tc>
          <w:tcPr>
            <w:tcW w:type="dxa" w:w="33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高付加価値作物（プレミアムイチゴ・高級ハーブ類）の試験栽培。データ取得と商業化可能性の実証。見学・研修プログラムの運営</w:t>
            </w:r>
          </w:p>
        </w:tc>
        <w:tc>
          <w:tcPr>
            <w:tcW w:type="dxa" w:w="30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作物販売収益 + 見学・研修プログラム参加費</w:t>
            </w:r>
          </w:p>
        </w:tc>
      </w:tr>
    </w:tbl>
    <w:p>
      <w:pPr>
        <w:spacing w:before="200"/>
      </w:pPr>
    </w:p>
    <w:p>
      <w:pPr>
        <w:pStyle w:val="Heading2"/>
        <w:spacing w:before="300" w:after="150"/>
      </w:pPr>
      <w:r>
        <w:rPr>
          <w:rFonts w:ascii="Arial" w:cs="Arial" w:eastAsia="Arial" w:hAnsi="Arial"/>
          <w:b/>
          <w:bCs/>
          <w:color w:val="2E7D32"/>
          <w:sz w:val="28"/>
          <w:szCs w:val="28"/>
        </w:rPr>
        <w:t xml:space="preserve">4.2　ターゲット作物戦略（高付加価値シフト）</w:t>
      </w:r>
    </w:p>
    <w:p>
      <w:pPr>
        <w:spacing w:before="80" w:after="80" w:line="360"/>
      </w:pPr>
      <w:r>
        <w:rPr>
          <w:rFonts w:ascii="Arial" w:cs="Arial" w:eastAsia="Arial" w:hAnsi="Arial"/>
          <w:color w:val="1A1A1A"/>
          <w:sz w:val="22"/>
          <w:szCs w:val="22"/>
        </w:rPr>
        <w:t xml:space="preserve">先行失敗事例の最大の教訓は「葉物野菜の低価格競争への参入」であった。本法人はOishiiモデルを参考に、初期フェーズから高付加価値作物へ戦略的に注力する。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100"/>
        <w:gridCol w:w="2060"/>
      </w:tblGrid>
      <w:tr>
        <w:tc>
          <w:tcPr>
            <w:tcW w:type="dxa" w:w="22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作物カテゴリ</w:t>
            </w:r>
          </w:p>
        </w:tc>
        <w:tc>
          <w:tcPr>
            <w:tcW w:type="dxa" w:w="1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栽培難易度</w:t>
            </w:r>
          </w:p>
        </w:tc>
        <w:tc>
          <w:tcPr>
            <w:tcW w:type="dxa" w:w="1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市場単価目安</w:t>
            </w:r>
          </w:p>
        </w:tc>
        <w:tc>
          <w:tcPr>
            <w:tcW w:type="dxa" w:w="21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自動化による優位性</w:t>
            </w:r>
          </w:p>
        </w:tc>
        <w:tc>
          <w:tcPr>
            <w:tcW w:type="dxa" w:w="20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展開フェーズ</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プレミアムイチゴ（国産品種）</w:t>
            </w:r>
          </w:p>
        </w:tc>
        <w:tc>
          <w:tcPr>
            <w:tcW w:type="dxa" w:w="1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高（変数30以上）</w:t>
            </w:r>
          </w:p>
        </w:tc>
        <w:tc>
          <w:tcPr>
            <w:tcW w:type="dxa" w:w="1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15〜50ドル/パック</w:t>
            </w:r>
          </w:p>
        </w:tc>
        <w:tc>
          <w:tcPr>
            <w:tcW w:type="dxa" w:w="21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AI受粉管理・均一品質維持</w:t>
            </w:r>
          </w:p>
        </w:tc>
        <w:tc>
          <w:tcPr>
            <w:tcW w:type="dxa" w:w="20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フェーズ2〜3（実証後）</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高級ハーブ（バジル・パクチー等）</w:t>
            </w:r>
          </w:p>
        </w:tc>
        <w:tc>
          <w:tcPr>
            <w:tcW w:type="dxa" w:w="1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中</w:t>
            </w:r>
          </w:p>
        </w:tc>
        <w:tc>
          <w:tcPr>
            <w:tcW w:type="dxa" w:w="1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高利益率（ASP 2,200円以上）</w:t>
            </w:r>
          </w:p>
        </w:tc>
        <w:tc>
          <w:tcPr>
            <w:tcW w:type="dxa" w:w="21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収穫ロボット・品質均一化</w:t>
            </w:r>
          </w:p>
        </w:tc>
        <w:tc>
          <w:tcPr>
            <w:tcW w:type="dxa" w:w="20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フェーズ1〜（早期展開）</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リーフレタス（プレミアム有機）</w:t>
            </w:r>
          </w:p>
        </w:tc>
        <w:tc>
          <w:tcPr>
            <w:tcW w:type="dxa" w:w="1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低〜中</w:t>
            </w:r>
          </w:p>
        </w:tc>
        <w:tc>
          <w:tcPr>
            <w:tcW w:type="dxa" w:w="1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市場の1.5〜2倍の単価設定</w:t>
            </w:r>
          </w:p>
        </w:tc>
        <w:tc>
          <w:tcPr>
            <w:tcW w:type="dxa" w:w="21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完全農薬不使用認証取得</w:t>
            </w:r>
          </w:p>
        </w:tc>
        <w:tc>
          <w:tcPr>
            <w:tcW w:type="dxa" w:w="20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フェーズ1（キャッシュフロー源）</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薬用植物・機能性野菜</w:t>
            </w:r>
          </w:p>
        </w:tc>
        <w:tc>
          <w:tcPr>
            <w:tcW w:type="dxa" w:w="1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高（研究要素あり）</w:t>
            </w:r>
          </w:p>
        </w:tc>
        <w:tc>
          <w:tcPr>
            <w:tcW w:type="dxa" w:w="1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極めて高い（B2B向け）</w:t>
            </w:r>
          </w:p>
        </w:tc>
        <w:tc>
          <w:tcPr>
            <w:tcW w:type="dxa" w:w="21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成分濃度のAI最適化管理</w:t>
            </w:r>
          </w:p>
        </w:tc>
        <w:tc>
          <w:tcPr>
            <w:tcW w:type="dxa" w:w="20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フェーズ3〜（中長期）</w:t>
            </w:r>
          </w:p>
        </w:tc>
      </w:tr>
    </w:tbl>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第5章　組織設計とエージェントチーム構成</w:t>
      </w:r>
    </w:p>
    <w:p>
      <w:pPr>
        <w:pStyle w:val="Heading2"/>
        <w:spacing w:before="300" w:after="150"/>
      </w:pPr>
      <w:r>
        <w:rPr>
          <w:rFonts w:ascii="Arial" w:cs="Arial" w:eastAsia="Arial" w:hAnsi="Arial"/>
          <w:b/>
          <w:bCs/>
          <w:color w:val="2E7D32"/>
          <w:sz w:val="28"/>
          <w:szCs w:val="28"/>
        </w:rPr>
        <w:t xml:space="preserve">5.1　組織体制</w:t>
      </w:r>
    </w:p>
    <w:p>
      <w:pPr>
        <w:spacing w:before="80" w:after="80" w:line="360"/>
      </w:pPr>
      <w:r>
        <w:rPr>
          <w:rFonts w:ascii="Arial" w:cs="Arial" w:eastAsia="Arial" w:hAnsi="Arial"/>
          <w:color w:val="1A1A1A"/>
          <w:sz w:val="22"/>
          <w:szCs w:val="22"/>
        </w:rPr>
        <w:t xml:space="preserve">本法人は、設立初期から「少数精鋭＋AI活用」を徹底し、管理コストを最小化しながら最大のアウトプットを実現する組織モデルを採用する。</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00"/>
        <w:gridCol w:w="2560"/>
      </w:tblGrid>
      <w:tr>
        <w:tc>
          <w:tcPr>
            <w:tcW w:type="dxa" w:w="2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部門・役職</w:t>
            </w:r>
          </w:p>
        </w:tc>
        <w:tc>
          <w:tcPr>
            <w:tcW w:type="dxa" w:w="22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主な責務</w:t>
            </w:r>
          </w:p>
        </w:tc>
        <w:tc>
          <w:tcPr>
            <w:tcW w:type="dxa" w:w="21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必要スキル</w:t>
            </w:r>
          </w:p>
        </w:tc>
        <w:tc>
          <w:tcPr>
            <w:tcW w:type="dxa" w:w="25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採用優先度</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代表理事（CEO）</w:t>
            </w:r>
          </w:p>
        </w:tc>
        <w:tc>
          <w:tcPr>
            <w:tcW w:type="dxa" w:w="2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対外折衝・資金調達・ビジョン推進</w:t>
            </w:r>
          </w:p>
        </w:tc>
        <w:tc>
          <w:tcPr>
            <w:tcW w:type="dxa" w:w="21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農業/IT/経営経験</w:t>
            </w:r>
          </w:p>
        </w:tc>
        <w:tc>
          <w:tcPr>
            <w:tcW w:type="dxa" w:w="25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設立時必須</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技術部門長（CTO）</w:t>
            </w:r>
          </w:p>
        </w:tc>
        <w:tc>
          <w:tcPr>
            <w:tcW w:type="dxa" w:w="22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自動化システム開発・技術戦略</w:t>
            </w:r>
          </w:p>
        </w:tc>
        <w:tc>
          <w:tcPr>
            <w:tcW w:type="dxa" w:w="21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IoT/AI/農業工学</w:t>
            </w:r>
          </w:p>
        </w:tc>
        <w:tc>
          <w:tcPr>
            <w:tcW w:type="dxa" w:w="25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 設立時必須</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事業開発担当</w:t>
            </w:r>
          </w:p>
        </w:tc>
        <w:tc>
          <w:tcPr>
            <w:tcW w:type="dxa" w:w="2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顧客開拓・パートナーシップ・コンサル</w:t>
            </w:r>
          </w:p>
        </w:tc>
        <w:tc>
          <w:tcPr>
            <w:tcW w:type="dxa" w:w="21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農業業界知識・営業経験</w:t>
            </w:r>
          </w:p>
        </w:tc>
        <w:tc>
          <w:tcPr>
            <w:tcW w:type="dxa" w:w="25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フェーズ1優先</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財務・法務担当</w:t>
            </w:r>
          </w:p>
        </w:tc>
        <w:tc>
          <w:tcPr>
            <w:tcW w:type="dxa" w:w="22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資金管理・補助金申請・コンプライアンス</w:t>
            </w:r>
          </w:p>
        </w:tc>
        <w:tc>
          <w:tcPr>
            <w:tcW w:type="dxa" w:w="21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会計/法務資格</w:t>
            </w:r>
          </w:p>
        </w:tc>
        <w:tc>
          <w:tcPr>
            <w:tcW w:type="dxa" w:w="25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 フェーズ1優先（外部委託も可）</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農場運営担当</w:t>
            </w:r>
          </w:p>
        </w:tc>
        <w:tc>
          <w:tcPr>
            <w:tcW w:type="dxa" w:w="2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モデル農場の管理・実証データ収集</w:t>
            </w:r>
          </w:p>
        </w:tc>
        <w:tc>
          <w:tcPr>
            <w:tcW w:type="dxa" w:w="21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農業経験・センサー操作</w:t>
            </w:r>
          </w:p>
        </w:tc>
        <w:tc>
          <w:tcPr>
            <w:tcW w:type="dxa" w:w="25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フェーズ2から</w:t>
            </w:r>
          </w:p>
        </w:tc>
      </w:tr>
    </w:tbl>
    <w:p>
      <w:pPr>
        <w:spacing w:before="200"/>
      </w:pPr>
    </w:p>
    <w:p>
      <w:pPr>
        <w:pStyle w:val="Heading2"/>
        <w:spacing w:before="300" w:after="150"/>
      </w:pPr>
      <w:r>
        <w:rPr>
          <w:rFonts w:ascii="Arial" w:cs="Arial" w:eastAsia="Arial" w:hAnsi="Arial"/>
          <w:b/>
          <w:bCs/>
          <w:color w:val="2E7D32"/>
          <w:sz w:val="28"/>
          <w:szCs w:val="28"/>
        </w:rPr>
        <w:t xml:space="preserve">5.2　AIエージェントチームの活用（推奨ベストプラクティス）</w:t>
      </w:r>
    </w:p>
    <w:p>
      <w:pPr>
        <w:spacing w:before="80" w:after="80" w:line="360"/>
      </w:pPr>
      <w:r>
        <w:rPr>
          <w:rFonts w:ascii="Arial" w:cs="Arial" w:eastAsia="Arial" w:hAnsi="Arial"/>
          <w:color w:val="1A1A1A"/>
          <w:sz w:val="22"/>
          <w:szCs w:val="22"/>
        </w:rPr>
        <w:t xml:space="preserve">事業計画の立案・実行管理において、部門別AIエージェントチームを活用することで、意思決定の品質と速度を大幅に向上させることができる。以下の構成を推奨する。</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8"/>
              <w:left w:val="single" w:color="1B5E20" w:sz="24"/>
              <w:bottom w:val="single" w:color="1B5E20" w:sz="8"/>
              <w:right w:val="single" w:color="1B5E20" w:sz="8"/>
            </w:tcBorders>
            <w:shd w:fill="E8F5E9" w:val="clear"/>
            <w:tcMar>
              <w:top w:type="dxa" w:w="150"/>
              <w:left w:type="dxa" w:w="200"/>
              <w:bottom w:type="dxa" w:w="150"/>
              <w:right w:type="dxa" w:w="150"/>
            </w:tcMar>
          </w:tcPr>
          <w:p>
            <w:pPr>
              <w:spacing w:after="60"/>
            </w:pPr>
            <w:r>
              <w:rPr>
                <w:rFonts w:ascii="Arial" w:cs="Arial" w:eastAsia="Arial" w:hAnsi="Arial"/>
                <w:b/>
                <w:bCs/>
                <w:color w:val="1B5E20"/>
                <w:sz w:val="22"/>
                <w:szCs w:val="22"/>
              </w:rPr>
              <w:t xml:space="preserve">🤖 マルチエージェント構成の基本設計</w:t>
            </w:r>
          </w:p>
          <w:p>
            <w:r>
              <w:rPr>
                <w:rFonts w:ascii="Arial" w:cs="Arial" w:eastAsia="Arial" w:hAnsi="Arial"/>
                <w:color w:val="333333"/>
                <w:sz w:val="21"/>
                <w:szCs w:val="21"/>
              </w:rPr>
              <w:t xml:space="preserve">オーケストレーターAI（統括）が各専門エージェントに指示を出し、結果を統合する。各エージェントは自部門の専門知識に特化し、独立して高品質なアウトプットを生成する。</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エージェント名</w:t>
            </w:r>
          </w:p>
        </w:tc>
        <w:tc>
          <w:tcPr>
            <w:tcW w:type="dxa" w:w="3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担当領域</w:t>
            </w:r>
          </w:p>
        </w:tc>
        <w:tc>
          <w:tcPr>
            <w:tcW w:type="dxa" w:w="38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主なタスク例</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法務・設立エージェント</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定款作成・登記・コンプライアンス</w:t>
            </w:r>
          </w:p>
        </w:tc>
        <w:tc>
          <w:tcPr>
            <w:tcW w:type="dxa" w:w="3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定款ドラフト作成、補助金申請要件確認、契約書レビュー支援</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技術開発エージェント</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自動化システム設計・IoT/AI仕様策定</w:t>
            </w:r>
          </w:p>
        </w:tc>
        <w:tc>
          <w:tcPr>
            <w:tcW w:type="dxa" w:w="3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センサー選定、制御アルゴリズム設計、ROI試算、技術ロードマップ策定</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事業戦略エージェント</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市場分析・競合調査・成長戦略</w:t>
            </w:r>
          </w:p>
        </w:tc>
        <w:tc>
          <w:tcPr>
            <w:tcW w:type="dxa" w:w="3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競合ベンチマーク、ターゲット顧客分析、GTM戦略立案</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財務・資金調達エージェント</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財務モデル・補助金・投資家対応</w:t>
            </w:r>
          </w:p>
        </w:tc>
        <w:tc>
          <w:tcPr>
            <w:tcW w:type="dxa" w:w="3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収支計画作成、補助金データベース検索、投資家向けピッチ資料作成支援</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マーケティングエージェント</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ブランディング・PR・販路開拓</w:t>
            </w:r>
          </w:p>
        </w:tc>
        <w:tc>
          <w:tcPr>
            <w:tcW w:type="dxa" w:w="3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コンセプト立案、Webサイト文言、展示会戦略、B2B顧客ターゲティング</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農業技術エージェント</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作物栽培データ・収量最適化</w:t>
            </w:r>
          </w:p>
        </w:tc>
        <w:tc>
          <w:tcPr>
            <w:tcW w:type="dxa" w:w="3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作物別栽培プロトコル策定、養液管理レシピ最適化、疾病リスク分析</w:t>
            </w:r>
          </w:p>
        </w:tc>
      </w:tr>
    </w:tbl>
    <w:p>
      <w:pPr>
        <w:spacing w:before="160"/>
      </w:pPr>
    </w:p>
    <w:p>
      <w:pPr>
        <w:pStyle w:val="Heading3"/>
        <w:spacing w:before="200" w:after="100"/>
      </w:pPr>
      <w:r>
        <w:rPr>
          <w:rFonts w:ascii="Arial" w:cs="Arial" w:eastAsia="Arial" w:hAnsi="Arial"/>
          <w:b/>
          <w:bCs/>
          <w:color w:val="2E7D32"/>
          <w:sz w:val="24"/>
          <w:szCs w:val="24"/>
        </w:rPr>
        <w:t xml:space="preserve">エージェントチーム活用のベストプラクティス</w:t>
      </w:r>
    </w:p>
    <w:p>
      <w:pPr>
        <w:pStyle w:val="ListParagraph"/>
        <w:numPr>
          <w:ilvl w:val="0"/>
          <w:numId w:val="2"/>
        </w:numPr>
        <w:spacing w:before="60" w:after="60"/>
      </w:pPr>
      <w:r>
        <w:rPr>
          <w:rFonts w:ascii="Arial" w:cs="Arial" w:eastAsia="Arial" w:hAnsi="Arial"/>
          <w:color w:val="1A1A1A"/>
          <w:sz w:val="22"/>
          <w:szCs w:val="22"/>
        </w:rPr>
        <w:t xml:space="preserve">段階的活用：最初は事業計画書・定款作成など「文書作業」から開始し、徐々に意思決定支援へ拡大</w:t>
      </w:r>
    </w:p>
    <w:p>
      <w:pPr>
        <w:pStyle w:val="ListParagraph"/>
        <w:numPr>
          <w:ilvl w:val="0"/>
          <w:numId w:val="2"/>
        </w:numPr>
        <w:spacing w:before="60" w:after="60"/>
      </w:pPr>
      <w:r>
        <w:rPr>
          <w:rFonts w:ascii="Arial" w:cs="Arial" w:eastAsia="Arial" w:hAnsi="Arial"/>
          <w:color w:val="1A1A1A"/>
          <w:sz w:val="22"/>
          <w:szCs w:val="22"/>
        </w:rPr>
        <w:t xml:space="preserve">人間-AI協働：各エージェントのアウトプットを専門家（理事・顧問）がレビューする二重チェック体制</w:t>
      </w:r>
    </w:p>
    <w:p>
      <w:pPr>
        <w:pStyle w:val="ListParagraph"/>
        <w:numPr>
          <w:ilvl w:val="0"/>
          <w:numId w:val="2"/>
        </w:numPr>
        <w:spacing w:before="60" w:after="60"/>
      </w:pPr>
      <w:r>
        <w:rPr>
          <w:rFonts w:ascii="Arial" w:cs="Arial" w:eastAsia="Arial" w:hAnsi="Arial"/>
          <w:color w:val="1A1A1A"/>
          <w:sz w:val="22"/>
          <w:szCs w:val="22"/>
        </w:rPr>
        <w:t xml:space="preserve">ナレッジ蓄積：各エージェントとの対話履歴・決定事項を構造化して保存し、組織ナレッジとして活用</w:t>
      </w:r>
    </w:p>
    <w:p>
      <w:pPr>
        <w:pStyle w:val="ListParagraph"/>
        <w:numPr>
          <w:ilvl w:val="0"/>
          <w:numId w:val="2"/>
        </w:numPr>
        <w:spacing w:before="60" w:after="60"/>
      </w:pPr>
      <w:r>
        <w:rPr>
          <w:rFonts w:ascii="Arial" w:cs="Arial" w:eastAsia="Arial" w:hAnsi="Arial"/>
          <w:color w:val="1A1A1A"/>
          <w:sz w:val="22"/>
          <w:szCs w:val="22"/>
        </w:rPr>
        <w:t xml:space="preserve">定期レビュー：週次でエージェントチームのアウトプット品質を評価し、プロンプトとルールを改善</w:t>
      </w:r>
    </w:p>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第6章　資金計画・財務計画</w:t>
      </w:r>
    </w:p>
    <w:p>
      <w:pPr>
        <w:pStyle w:val="Heading2"/>
        <w:spacing w:before="300" w:after="150"/>
      </w:pPr>
      <w:r>
        <w:rPr>
          <w:rFonts w:ascii="Arial" w:cs="Arial" w:eastAsia="Arial" w:hAnsi="Arial"/>
          <w:b/>
          <w:bCs/>
          <w:color w:val="2E7D32"/>
          <w:sz w:val="28"/>
          <w:szCs w:val="28"/>
        </w:rPr>
        <w:t xml:space="preserve">6.1　初期資金調達計画</w:t>
      </w:r>
    </w:p>
    <w:p>
      <w:pPr>
        <w:spacing w:before="80" w:after="80" w:line="360"/>
      </w:pPr>
      <w:r>
        <w:rPr>
          <w:rFonts w:ascii="Arial" w:cs="Arial" w:eastAsia="Arial" w:hAnsi="Arial"/>
          <w:color w:val="1A1A1A"/>
          <w:sz w:val="22"/>
          <w:szCs w:val="22"/>
        </w:rPr>
        <w:t xml:space="preserve">投資家・クラウドファンディング・補助金の三方向から資金を調達し、財務リスクを分散させる。</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資金調達手段</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目標金額</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想定時期</w:t>
            </w:r>
          </w:p>
        </w:tc>
        <w:tc>
          <w:tcPr>
            <w:tcW w:type="dxa" w:w="28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主な条件・注意点</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クラウドファンディング（CF）</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300〜500万円</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設立後3ヶ月以内</w:t>
            </w:r>
          </w:p>
        </w:tc>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「応援購入型」で農産物・見学権を返礼品に設定。ブランド認知向上にも有効</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農林水産省 スマート農業補助金</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500〜2,000万円</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設立後6ヶ月〜</w:t>
            </w:r>
          </w:p>
        </w:tc>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「スマート農業技術の開発・実証」事業等。事業計画書の精度が審査の鍵</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経産省・中小機構 創業補助金</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100〜200万円</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設立後すぐ申請可能</w:t>
            </w:r>
          </w:p>
        </w:tc>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「創業・第二創業促進事業」等。一般社団法人も対象になる場合あり（要確認）</w:t>
            </w:r>
          </w:p>
        </w:tc>
      </w:tr>
      <w:tr>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民間投資家（エンジェル）</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1,000〜5,000万円</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フェーズ1実証後</w:t>
            </w:r>
          </w:p>
        </w:tc>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農業特化VCまたはインパクト投資家をターゲット。実証データが必須条件</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設立社員からの拠出</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100〜300万円</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設立時</w:t>
            </w:r>
          </w:p>
        </w:tc>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初期運転資金として。後日社員費・会費に転換</w:t>
            </w:r>
          </w:p>
        </w:tc>
      </w:tr>
    </w:tbl>
    <w:p>
      <w:pPr>
        <w:spacing w:before="200"/>
      </w:pPr>
    </w:p>
    <w:p>
      <w:pPr>
        <w:pStyle w:val="Heading2"/>
        <w:spacing w:before="300" w:after="150"/>
      </w:pPr>
      <w:r>
        <w:rPr>
          <w:rFonts w:ascii="Arial" w:cs="Arial" w:eastAsia="Arial" w:hAnsi="Arial"/>
          <w:b/>
          <w:bCs/>
          <w:color w:val="2E7D32"/>
          <w:sz w:val="28"/>
          <w:szCs w:val="28"/>
        </w:rPr>
        <w:t xml:space="preserve">6.2　3ヵ年収支計画（概算）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000"/>
        <w:gridCol w:w="2000"/>
        <w:gridCol w:w="2500"/>
      </w:tblGrid>
      <w:tr>
        <w:tc>
          <w:tcPr>
            <w:tcW w:type="dxa" w:w="28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項目</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1年目（設立期）</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2年目（実証期）</w:t>
            </w:r>
          </w:p>
        </w:tc>
        <w:tc>
          <w:tcPr>
            <w:tcW w:type="dxa" w:w="2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3年目（展開期）</w:t>
            </w:r>
          </w:p>
        </w:tc>
      </w:tr>
      <w:tr>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【収入】</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r>
      <w:tr>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会費・拠出金収入</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200万円</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400万円</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800万円</w:t>
            </w:r>
          </w:p>
        </w:tc>
      </w:tr>
      <w:tr>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補助金・助成金</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500万円</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1,500万円</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2,000万円</w:t>
            </w:r>
          </w:p>
        </w:tc>
      </w:tr>
      <w:tr>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コンサル・システム販売収入</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100万円</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800万円</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3,000万円</w:t>
            </w:r>
          </w:p>
        </w:tc>
      </w:tr>
      <w:tr>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作物販売・研修収入</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0万円</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300万円</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1,000万円</w:t>
            </w:r>
          </w:p>
        </w:tc>
      </w:tr>
      <w:tr>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収入合計</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800万円</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3,000万円</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6,800万円</w:t>
            </w:r>
          </w:p>
        </w:tc>
      </w:tr>
      <w:tr>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【支出】</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w:r>
          </w:p>
        </w:tc>
      </w:tr>
      <w:tr>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人件費</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400万円</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1,200万円</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2,500万円</w:t>
            </w:r>
          </w:p>
        </w:tc>
      </w:tr>
      <w:tr>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設備投資・研究開発費</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200万円</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800万円</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1,500万円</w:t>
            </w:r>
          </w:p>
        </w:tc>
      </w:tr>
      <w:tr>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事務所・運営経費</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150万円</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300万円</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500万円</w:t>
            </w:r>
          </w:p>
        </w:tc>
      </w:tr>
      <w:tr>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マーケティング・広報費</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50万円</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200万円</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500万円</w:t>
            </w:r>
          </w:p>
        </w:tc>
      </w:tr>
      <w:tr>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支出合計</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800万円</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2,500万円</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5,000万円</w:t>
            </w:r>
          </w:p>
        </w:tc>
      </w:tr>
      <w:tr>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当期収支差額</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±0万円</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+500万円</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+1,800万円</w:t>
            </w:r>
          </w:p>
        </w:tc>
      </w:tr>
    </w:tbl>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第7章　実行ロードマップ</w:t>
      </w:r>
    </w:p>
    <w:p>
      <w:pPr>
        <w:pStyle w:val="Heading2"/>
        <w:spacing w:before="300" w:after="150"/>
      </w:pPr>
      <w:r>
        <w:rPr>
          <w:rFonts w:ascii="Arial" w:cs="Arial" w:eastAsia="Arial" w:hAnsi="Arial"/>
          <w:b/>
          <w:bCs/>
          <w:color w:val="2E7D32"/>
          <w:sz w:val="28"/>
          <w:szCs w:val="28"/>
        </w:rPr>
        <w:t xml:space="preserve">7.1　フェーズ別展開計画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フェーズ</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期間</w:t>
            </w:r>
          </w:p>
        </w:tc>
        <w:tc>
          <w:tcPr>
            <w:tcW w:type="dxa" w:w="3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主要マイルストーン</w:t>
            </w:r>
          </w:p>
        </w:tc>
        <w:tc>
          <w:tcPr>
            <w:tcW w:type="dxa" w:w="28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KPI目標</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Phase 0
設立準備</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〜2026年6月</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法人設立・定款認証・登記完了
エージェントチーム体制構築
初期資金調達（CF・設立社員拠出）</w:t>
            </w:r>
          </w:p>
        </w:tc>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法人登記完了
初期資金300万円確保</w:t>
            </w:r>
          </w:p>
        </w:tc>
      </w:tr>
      <w:tr>
        <w:tc>
          <w:tcPr>
            <w:tcW w:type="dxa" w:w="1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Phase 1
基盤構築</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2026年7月〜
2027年3月</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小規模実証農場の設置・稼働
スマート農業補助金申請・採択
第1号顧客へのコンサル提供開始</w:t>
            </w:r>
          </w:p>
        </w:tc>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補助金採択1件以上
コンサル契約3社以上
実証データ蓄積開始</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Phase 2
実証・改善</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2027年4月〜
2028年3月</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自動化システムv1.0リリース
モデル農場での収益化達成
投資家向けピッチ・エンジェル調達</w:t>
            </w:r>
          </w:p>
        </w:tc>
        <w:tc>
          <w:tcPr>
            <w:tcW w:type="dxa" w:w="28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システム導入先5社以上
農場収支黒字化
投資家調達1,000万円以上</w:t>
            </w:r>
          </w:p>
        </w:tc>
      </w:tr>
      <w:tr>
        <w:tc>
          <w:tcPr>
            <w:tcW w:type="dxa" w:w="1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Phase 3
拡大展開</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2028年4月〜
2029年3月</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自動化システムの商業化・スケール
海外展開（APAC・中東）準備
業界標準化への取り組み開始</w:t>
            </w:r>
          </w:p>
        </w:tc>
        <w:tc>
          <w:tcPr>
            <w:tcW w:type="dxa" w:w="28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売上6,800万円達成
海外パートナー1社以上獲得
業界内認知度向上</w:t>
            </w:r>
          </w:p>
        </w:tc>
      </w:tr>
    </w:tbl>
    <w:p>
      <w:pPr>
        <w:spacing w:before="200"/>
      </w:pPr>
    </w:p>
    <w:p>
      <w:pPr>
        <w:pStyle w:val="Heading2"/>
        <w:spacing w:before="300" w:after="150"/>
      </w:pPr>
      <w:r>
        <w:rPr>
          <w:rFonts w:ascii="Arial" w:cs="Arial" w:eastAsia="Arial" w:hAnsi="Arial"/>
          <w:b/>
          <w:bCs/>
          <w:color w:val="2E7D32"/>
          <w:sz w:val="28"/>
          <w:szCs w:val="28"/>
        </w:rPr>
        <w:t xml:space="preserve">7.2　重要KPIと管理指標</w:t>
      </w:r>
    </w:p>
    <w:p>
      <w:pPr>
        <w:spacing w:before="80" w:after="80" w:line="360"/>
      </w:pPr>
      <w:r>
        <w:rPr>
          <w:rFonts w:ascii="Arial" w:cs="Arial" w:eastAsia="Arial" w:hAnsi="Arial"/>
          <w:color w:val="1A1A1A"/>
          <w:sz w:val="22"/>
          <w:szCs w:val="22"/>
        </w:rPr>
        <w:t xml:space="preserve">先行失敗事例の教訓から、以下のKPIを毎月モニタリングし、財務規律を維持する。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KPI指標</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目標値</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警戒ライン</w:t>
            </w:r>
          </w:p>
        </w:tc>
        <w:tc>
          <w:tcPr>
            <w:tcW w:type="dxa" w:w="23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モニタリング頻度</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エネルギーコスト比率（対収益）</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20%未満</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30%超で警戒</w:t>
            </w:r>
          </w:p>
        </w:tc>
        <w:tc>
          <w:tcPr>
            <w:tcW w:type="dxa" w:w="23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毎週</w:t>
            </w:r>
          </w:p>
        </w:tc>
      </w:tr>
      <w:tr>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貢献利益率</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80%以上</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70%未満で要対策</w:t>
            </w:r>
          </w:p>
        </w:tc>
        <w:tc>
          <w:tcPr>
            <w:tcW w:type="dxa" w:w="23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毎月</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補助金採択率</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申請件数の60%以上</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40%未満で戦略見直し</w:t>
            </w:r>
          </w:p>
        </w:tc>
        <w:tc>
          <w:tcPr>
            <w:tcW w:type="dxa" w:w="23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四半期</w:t>
            </w:r>
          </w:p>
        </w:tc>
      </w:tr>
      <w:tr>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コンサル顧客獲得数（累計）</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1年目3社・2年目10社</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目標の50%未満で営業強化</w:t>
            </w:r>
          </w:p>
        </w:tc>
        <w:tc>
          <w:tcPr>
            <w:tcW w:type="dxa" w:w="23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毎月</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収穫量目標達成率（実証農場）</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目標の90%以上</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70%未満で技術改善</w:t>
            </w:r>
          </w:p>
        </w:tc>
        <w:tc>
          <w:tcPr>
            <w:tcW w:type="dxa" w:w="23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毎週</w:t>
            </w:r>
          </w:p>
        </w:tc>
      </w:tr>
    </w:tbl>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第8章　リスク分析と対応策</w:t>
      </w:r>
    </w:p>
    <w:p>
      <w:pPr>
        <w:pStyle w:val="Heading2"/>
        <w:spacing w:before="300" w:after="150"/>
      </w:pPr>
      <w:r>
        <w:rPr>
          <w:rFonts w:ascii="Arial" w:cs="Arial" w:eastAsia="Arial" w:hAnsi="Arial"/>
          <w:b/>
          <w:bCs/>
          <w:color w:val="2E7D32"/>
          <w:sz w:val="28"/>
          <w:szCs w:val="28"/>
        </w:rPr>
        <w:t xml:space="preserve">8.1　主要リスクと軽減策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000"/>
        <w:gridCol w:w="3660"/>
      </w:tblGrid>
      <w:tr>
        <w:tc>
          <w:tcPr>
            <w:tcW w:type="dxa" w:w="12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リスク
レベル</w:t>
            </w:r>
          </w:p>
        </w:tc>
        <w:tc>
          <w:tcPr>
            <w:tcW w:type="dxa" w:w="25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リスク内容</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発生確率</w:t>
            </w:r>
          </w:p>
        </w:tc>
        <w:tc>
          <w:tcPr>
            <w:tcW w:type="dxa" w:w="36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軽減策・コンティンジェンシープラン</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 高</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エネルギーコストの高騰による採算悪化</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高（業界共通の構造問題）</w:t>
            </w:r>
          </w:p>
        </w:tc>
        <w:tc>
          <w:tcPr>
            <w:tcW w:type="dxa" w:w="36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ハイブリッド施設（自然光+LED）採用、太陽光発電設備の導入、電力コスト変動に耐えるユニットエコノミクスの事前検証</w:t>
            </w:r>
          </w:p>
        </w:tc>
      </w:tr>
      <w:tr>
        <w:tc>
          <w:tcPr>
            <w:tcW w:type="dxa" w:w="12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 高</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補助金採択の失敗・遅延</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中〜高（競争率が高い）</w:t>
            </w:r>
          </w:p>
        </w:tc>
        <w:tc>
          <w:tcPr>
            <w:tcW w:type="dxa" w:w="36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複数の補助金スキームへの並行申請、CF資金を補助金未採択時のバッファとして確保、補助金コンサルタントの活用</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 中</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技術開発の遅延・想定外コスト発生</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中</w:t>
            </w:r>
          </w:p>
        </w:tc>
        <w:tc>
          <w:tcPr>
            <w:tcW w:type="dxa" w:w="36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既存OSS農業技術の最大限活用、段階的リリース（MVP方式）、外部技術パートナーとのアライアンス</w:t>
            </w:r>
          </w:p>
        </w:tc>
      </w:tr>
      <w:tr>
        <w:tc>
          <w:tcPr>
            <w:tcW w:type="dxa" w:w="12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 中</w:t>
            </w:r>
          </w:p>
        </w:tc>
        <w:tc>
          <w:tcPr>
            <w:tcW w:type="dxa" w:w="25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人材確保の困難（農業×ITの希少性）</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中（市場競争が激しい）</w:t>
            </w:r>
          </w:p>
        </w:tc>
        <w:tc>
          <w:tcPr>
            <w:tcW w:type="dxa" w:w="36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農業系大学・農工大との連携協定、インターン・フェローシッププログラムの創設、AI活用による少数精鋭体制の維持</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 低</w:t>
            </w:r>
          </w:p>
        </w:tc>
        <w:tc>
          <w:tcPr>
            <w:tcW w:type="dxa" w:w="25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作物疾病・収穫失敗リスク</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低（管理環境内で栽培）</w:t>
            </w:r>
          </w:p>
        </w:tc>
        <w:tc>
          <w:tcPr>
            <w:tcW w:type="dxa" w:w="36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AI画像診断による早期疾病検知、複数作物の並行栽培によるリスク分散、農業保険の活用</w:t>
            </w:r>
          </w:p>
        </w:tc>
      </w:tr>
    </w:tbl>
    <w:p>
      <w:r>
        <w:br w:type="page"/>
      </w:r>
    </w:p>
    <w:p>
      <w:pPr>
        <w:pStyle w:val="Heading1"/>
        <w:pBdr>
          <w:bottom w:val="single" w:color="1B5E20" w:sz="6" w:space="4"/>
        </w:pBdr>
        <w:spacing w:before="400" w:after="200"/>
      </w:pPr>
      <w:r>
        <w:rPr>
          <w:rFonts w:ascii="Arial" w:cs="Arial" w:eastAsia="Arial" w:hAnsi="Arial"/>
          <w:b/>
          <w:bCs/>
          <w:color w:val="1B5E20"/>
          <w:sz w:val="36"/>
          <w:szCs w:val="36"/>
        </w:rPr>
        <w:t xml:space="preserve">第9章　今後のアクションプラン（Next Steps）</w:t>
      </w:r>
    </w:p>
    <w:p>
      <w:pPr>
        <w:spacing w:before="80" w:after="80" w:line="360"/>
      </w:pPr>
      <w:r>
        <w:rPr>
          <w:rFonts w:ascii="Arial" w:cs="Arial" w:eastAsia="Arial" w:hAnsi="Arial"/>
          <w:color w:val="1A1A1A"/>
          <w:sz w:val="22"/>
          <w:szCs w:val="22"/>
        </w:rPr>
        <w:t xml:space="preserve">本事業計画書に基づき、以下の優先アクションを実行する。各アクションにオーナーとDeadlineを設定し、週次でエージェントチームと進捗確認を行うことを推奨する。</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1800"/>
        <w:gridCol w:w="1960"/>
      </w:tblGrid>
      <w:tr>
        <w:tc>
          <w:tcPr>
            <w:tcW w:type="dxa" w:w="6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優先</w:t>
            </w:r>
          </w:p>
        </w:tc>
        <w:tc>
          <w:tcPr>
            <w:tcW w:type="dxa" w:w="3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アクション</w:t>
            </w:r>
          </w:p>
        </w:tc>
        <w:tc>
          <w:tcPr>
            <w:tcW w:type="dxa" w:w="20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担当部門</w:t>
            </w:r>
          </w:p>
        </w:tc>
        <w:tc>
          <w:tcPr>
            <w:tcW w:type="dxa" w:w="180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期限目安</w:t>
            </w:r>
          </w:p>
        </w:tc>
        <w:tc>
          <w:tcPr>
            <w:tcW w:type="dxa" w:w="1960"/>
            <w:tcBorders>
              <w:top w:val="single" w:color="A5D6A7" w:sz="1"/>
              <w:left w:val="single" w:color="A5D6A7" w:sz="1"/>
              <w:bottom w:val="single" w:color="A5D6A7" w:sz="1"/>
              <w:right w:val="single" w:color="A5D6A7"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成功指標</w:t>
            </w:r>
          </w:p>
        </w:tc>
      </w:tr>
      <w:tr>
        <w:tc>
          <w:tcPr>
            <w:tcW w:type="dxa" w:w="6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設立社員・理事メンバーの最終確定と役割分担合意</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代表理事（CEO）</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2026年4月末</w:t>
            </w:r>
          </w:p>
        </w:tc>
        <w:tc>
          <w:tcPr>
            <w:tcW w:type="dxa" w:w="19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メンバー合意書の締結</w:t>
            </w:r>
          </w:p>
        </w:tc>
      </w:tr>
      <w:tr>
        <w:tc>
          <w:tcPr>
            <w:tcW w:type="dxa" w:w="6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S</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定款草案の作成・公証人認証・法務局登記</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法務エージェント＋司法書士</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2026年5月末</w:t>
            </w:r>
          </w:p>
        </w:tc>
        <w:tc>
          <w:tcPr>
            <w:tcW w:type="dxa" w:w="19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法人登記証明書の取得</w:t>
            </w:r>
          </w:p>
        </w:tc>
      </w:tr>
      <w:tr>
        <w:tc>
          <w:tcPr>
            <w:tcW w:type="dxa" w:w="6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クラウドファンディングのプロジェクト設計・公開</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マーケティングエージェント</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2026年6月</w:t>
            </w:r>
          </w:p>
        </w:tc>
        <w:tc>
          <w:tcPr>
            <w:tcW w:type="dxa" w:w="19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目標額300万円達成</w:t>
            </w:r>
          </w:p>
        </w:tc>
      </w:tr>
      <w:tr>
        <w:tc>
          <w:tcPr>
            <w:tcW w:type="dxa" w:w="6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A</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スマート農業補助金の申請要件調査・書類準備開始</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財務エージェント＋担当者</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2026年6月</w:t>
            </w:r>
          </w:p>
        </w:tc>
        <w:tc>
          <w:tcPr>
            <w:tcW w:type="dxa" w:w="19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申請書類一式の完成</w:t>
            </w:r>
          </w:p>
        </w:tc>
      </w:tr>
      <w:tr>
        <w:tc>
          <w:tcPr>
            <w:tcW w:type="dxa" w:w="6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A</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実証農場候補地の選定・賃借交渉</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事業開発担当</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2026年7月</w:t>
            </w:r>
          </w:p>
        </w:tc>
        <w:tc>
          <w:tcPr>
            <w:tcW w:type="dxa" w:w="19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契約候補地の確定</w:t>
            </w:r>
          </w:p>
        </w:tc>
      </w:tr>
      <w:tr>
        <w:tc>
          <w:tcPr>
            <w:tcW w:type="dxa" w:w="6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bCs/>
                <w:color w:val="1A1A1A"/>
                <w:sz w:val="20"/>
                <w:szCs w:val="20"/>
              </w:rPr>
              <w:t xml:space="preserve">A</w:t>
            </w:r>
          </w:p>
        </w:tc>
        <w:tc>
          <w:tcPr>
            <w:tcW w:type="dxa" w:w="3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技術パートナー（農業系大学・研究機関）との連携協定締結</w:t>
            </w:r>
          </w:p>
        </w:tc>
        <w:tc>
          <w:tcPr>
            <w:tcW w:type="dxa" w:w="20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技術エージェント＋CTO</w:t>
            </w:r>
          </w:p>
        </w:tc>
        <w:tc>
          <w:tcPr>
            <w:tcW w:type="dxa" w:w="180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2026年8月</w:t>
            </w:r>
          </w:p>
        </w:tc>
        <w:tc>
          <w:tcPr>
            <w:tcW w:type="dxa" w:w="1960"/>
            <w:tcBorders>
              <w:top w:val="single" w:color="A5D6A7" w:sz="1"/>
              <w:left w:val="single" w:color="A5D6A7" w:sz="1"/>
              <w:bottom w:val="single" w:color="A5D6A7" w:sz="1"/>
              <w:right w:val="single" w:color="A5D6A7" w:sz="1"/>
            </w:tcBorders>
            <w:shd w:fill="F1F8E9" w:val="clear"/>
            <w:tcMar>
              <w:top w:type="dxa" w:w="80"/>
              <w:left w:type="dxa" w:w="150"/>
              <w:bottom w:type="dxa" w:w="80"/>
              <w:right w:type="dxa" w:w="150"/>
            </w:tcMar>
          </w:tcPr>
          <w:p>
            <w:r>
              <w:rPr>
                <w:rFonts w:ascii="Arial" w:cs="Arial" w:eastAsia="Arial" w:hAnsi="Arial"/>
                <w:b w:val="false"/>
                <w:bCs w:val="false"/>
                <w:color w:val="1A1A1A"/>
                <w:sz w:val="20"/>
                <w:szCs w:val="20"/>
              </w:rPr>
              <w:t xml:space="preserve">MOU締結1機関以上</w:t>
            </w:r>
          </w:p>
        </w:tc>
      </w:tr>
      <w:tr>
        <w:tc>
          <w:tcPr>
            <w:tcW w:type="dxa" w:w="6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B</w:t>
            </w:r>
          </w:p>
        </w:tc>
        <w:tc>
          <w:tcPr>
            <w:tcW w:type="dxa" w:w="3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初期顧客（農業法人）へのヒアリング・ニーズ検証</w:t>
            </w:r>
          </w:p>
        </w:tc>
        <w:tc>
          <w:tcPr>
            <w:tcW w:type="dxa" w:w="20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事業開発担当</w:t>
            </w:r>
          </w:p>
        </w:tc>
        <w:tc>
          <w:tcPr>
            <w:tcW w:type="dxa" w:w="180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2026年9月</w:t>
            </w:r>
          </w:p>
        </w:tc>
        <w:tc>
          <w:tcPr>
            <w:tcW w:type="dxa" w:w="1960"/>
            <w:tcBorders>
              <w:top w:val="single" w:color="A5D6A7" w:sz="1"/>
              <w:left w:val="single" w:color="A5D6A7" w:sz="1"/>
              <w:bottom w:val="single" w:color="A5D6A7" w:sz="1"/>
              <w:right w:val="single" w:color="A5D6A7"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ヒアリング10社完了</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8"/>
              <w:left w:val="single" w:color="1B5E20" w:sz="24"/>
              <w:bottom w:val="single" w:color="1B5E20" w:sz="8"/>
              <w:right w:val="single" w:color="1B5E20" w:sz="8"/>
            </w:tcBorders>
            <w:shd w:fill="E8F5E9" w:val="clear"/>
            <w:tcMar>
              <w:top w:type="dxa" w:w="150"/>
              <w:left w:type="dxa" w:w="200"/>
              <w:bottom w:type="dxa" w:w="150"/>
              <w:right w:type="dxa" w:w="150"/>
            </w:tcMar>
          </w:tcPr>
          <w:p>
            <w:pPr>
              <w:spacing w:after="60"/>
            </w:pPr>
            <w:r>
              <w:rPr>
                <w:rFonts w:ascii="Arial" w:cs="Arial" w:eastAsia="Arial" w:hAnsi="Arial"/>
                <w:b/>
                <w:bCs/>
                <w:color w:val="1B5E20"/>
                <w:sz w:val="22"/>
                <w:szCs w:val="22"/>
              </w:rPr>
              <w:t xml:space="preserve">📋 エージェントチームへの最初の指示（推奨）</w:t>
            </w:r>
          </w:p>
          <w:p>
            <w:r>
              <w:rPr>
                <w:rFonts w:ascii="Arial" w:cs="Arial" w:eastAsia="Arial" w:hAnsi="Arial"/>
                <w:color w:val="333333"/>
                <w:sz w:val="21"/>
                <w:szCs w:val="21"/>
              </w:rPr>
              <w:t xml:space="preserve">【法務エージェント】「一般社団法人設立のための定款のドラフトを作成してください。事業目的は水耕栽培の自動化技術の研究開発・普及です。非営利型を検討しています。」
【財務エージェント】「農林水産省・経済産業省の2026年度スマート農業関連補助金を調査し、申請可能なものをリストアップしてください。」
【技術エージェント】「IoT/AI水耕栽培自動化システムのMVP仕様書を作成してください。初期予算300万円以内での実装を想定しています。」</w:t>
            </w:r>
          </w:p>
        </w:tc>
      </w:tr>
    </w:tbl>
    <w:p>
      <w:pPr>
        <w:spacing w:before="400"/>
      </w:pPr>
    </w:p>
    <w:p>
      <w:pPr>
        <w:pBdr>
          <w:top w:val="single" w:color="66BB6A" w:sz="6" w:space="8"/>
        </w:pBdr>
        <w:spacing w:before="200"/>
        <w:jc w:val="center"/>
      </w:pPr>
      <w:r>
        <w:rPr>
          <w:rFonts w:ascii="Arial" w:cs="Arial" w:eastAsia="Arial" w:hAnsi="Arial"/>
          <w:i/>
          <w:iCs/>
          <w:color w:val="1B5E20"/>
          <w:sz w:val="18"/>
          <w:szCs w:val="18"/>
        </w:rPr>
        <w:t xml:space="preserve">以上 ／ 一般社団法人スマート水耕栽培自動化機構　事業計画書　第1.0版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2026-03-06T16:16:50.682Z</dcterms:created>
  <dcterms:modified xsi:type="dcterms:W3CDTF">2026-03-06T16:16:50.683Z</dcterms:modified>
</cp:coreProperties>
</file>

<file path=docProps/custom.xml><?xml version="1.0" encoding="utf-8"?>
<Properties xmlns="http://schemas.openxmlformats.org/officeDocument/2006/custom-properties" xmlns:vt="http://schemas.openxmlformats.org/officeDocument/2006/docPropsVTypes"/>
</file>