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10FCA21E" w:rsidR="00BA56D5" w:rsidRDefault="00D725FB">
          <w:pPr>
            <w:pStyle w:val="Name"/>
          </w:pPr>
          <w:r>
            <w:t>Peter Reeves</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78107E7E" w:rsidR="00BA56D5" w:rsidRDefault="00D845CD">
            <w:pPr>
              <w:pStyle w:val="Heading1"/>
            </w:pPr>
            <w:r>
              <w:t>Usage</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4DC47427" w:rsidR="00BA2954" w:rsidRDefault="00D845CD" w:rsidP="00BA2954">
            <w:r>
              <w:t>T</w:t>
            </w:r>
            <w:r w:rsidR="00BA2954">
              <w:t>his software is designed to allow the easy import of CSV based schedules for multiple sites, as well as resolve the issues caused by the mass downloading of schedules by the Trend Software. Additionally, this software creates a report upon completion that allows the user to verify correct downloading of schedules, and well as a list of failures to manually rectify. It also includes functionality to select which type of controllers are included on the download list. This is because IQ1’s and 2’s can only store exceptions 6 days in advance using the ‘Current Week’ functionality.</w:t>
            </w:r>
          </w:p>
          <w:p w14:paraId="04A8DA5B" w14:textId="2A5B5D43" w:rsidR="00D725FB" w:rsidRDefault="00D725FB" w:rsidP="00BA2954">
            <w:r>
              <w:t>Format to be determined</w:t>
            </w:r>
          </w:p>
          <w:p w14:paraId="7BBF10F1" w14:textId="0A254069" w:rsidR="000C457E" w:rsidRDefault="000C457E" w:rsidP="000C457E"/>
        </w:tc>
      </w:tr>
      <w:tr w:rsidR="00CF62DF" w14:paraId="226F7CBB" w14:textId="77777777" w:rsidTr="00D845CD">
        <w:tc>
          <w:tcPr>
            <w:tcW w:w="1528" w:type="dxa"/>
            <w:tcBorders>
              <w:top w:val="single" w:sz="4" w:space="0" w:color="418AB3" w:themeColor="accent1"/>
              <w:bottom w:val="single" w:sz="4" w:space="0" w:color="418AB3" w:themeColor="accent1"/>
            </w:tcBorders>
          </w:tcPr>
          <w:p w14:paraId="6E621403" w14:textId="31107176" w:rsidR="00BA56D5" w:rsidRDefault="00D845CD">
            <w:pPr>
              <w:pStyle w:val="Heading1"/>
            </w:pPr>
            <w:r>
              <w:t>Limitations</w:t>
            </w:r>
          </w:p>
        </w:tc>
        <w:tc>
          <w:tcPr>
            <w:tcW w:w="302" w:type="dxa"/>
            <w:tcBorders>
              <w:top w:val="single" w:sz="4" w:space="0" w:color="418AB3" w:themeColor="accent1"/>
              <w:bottom w:val="single" w:sz="4" w:space="0" w:color="418AB3" w:themeColor="accent1"/>
            </w:tcBorders>
          </w:tcPr>
          <w:p w14:paraId="43A6AFF3" w14:textId="77777777" w:rsidR="00BA56D5" w:rsidRDefault="00BA56D5"/>
        </w:tc>
        <w:tc>
          <w:tcPr>
            <w:tcW w:w="8250" w:type="dxa"/>
            <w:tcBorders>
              <w:top w:val="single" w:sz="4" w:space="0" w:color="418AB3" w:themeColor="accent1"/>
              <w:bottom w:val="single" w:sz="4" w:space="0" w:color="418AB3" w:themeColor="accent1"/>
            </w:tcBorders>
          </w:tcPr>
          <w:p w14:paraId="35769CF0" w14:textId="33BE543D" w:rsidR="00BA2954" w:rsidRPr="003A5E74" w:rsidRDefault="00BA2954" w:rsidP="00BA2954">
            <w:pPr>
              <w:pStyle w:val="ListParagraph"/>
              <w:numPr>
                <w:ilvl w:val="0"/>
                <w:numId w:val="4"/>
              </w:numPr>
            </w:pPr>
            <w:r>
              <w:t>Downloading to the controller is handled by the Trend Software and as such, this software is dependent on the TrendN4-rt module.</w:t>
            </w:r>
          </w:p>
        </w:tc>
      </w:tr>
      <w:tr w:rsidR="00CF62DF" w14:paraId="79324E2D" w14:textId="77777777" w:rsidTr="00D845CD">
        <w:tc>
          <w:tcPr>
            <w:tcW w:w="1528" w:type="dxa"/>
            <w:tcBorders>
              <w:top w:val="single" w:sz="4" w:space="0" w:color="418AB3" w:themeColor="accent1"/>
              <w:bottom w:val="single" w:sz="4" w:space="0" w:color="418AB3" w:themeColor="accent1"/>
            </w:tcBorders>
          </w:tcPr>
          <w:p w14:paraId="2A10C7BC" w14:textId="60414EB2" w:rsidR="00BA56D5" w:rsidRDefault="00D845CD">
            <w:pPr>
              <w:pStyle w:val="Heading1"/>
            </w:pPr>
            <w:r>
              <w:t>Settings</w:t>
            </w:r>
          </w:p>
        </w:tc>
        <w:tc>
          <w:tcPr>
            <w:tcW w:w="302" w:type="dxa"/>
            <w:tcBorders>
              <w:top w:val="single" w:sz="4" w:space="0" w:color="418AB3" w:themeColor="accent1"/>
              <w:bottom w:val="single" w:sz="4" w:space="0" w:color="418AB3" w:themeColor="accent1"/>
            </w:tcBorders>
          </w:tcPr>
          <w:p w14:paraId="60CB3ACE" w14:textId="77777777" w:rsidR="00BA56D5" w:rsidRDefault="00BA56D5"/>
        </w:tc>
        <w:tc>
          <w:tcPr>
            <w:tcW w:w="8250" w:type="dxa"/>
            <w:tcBorders>
              <w:top w:val="single" w:sz="4" w:space="0" w:color="418AB3" w:themeColor="accent1"/>
              <w:bottom w:val="single" w:sz="4" w:space="0" w:color="418AB3" w:themeColor="accent1"/>
            </w:tcBorders>
          </w:tcPr>
          <w:p w14:paraId="61AD0C2D" w14:textId="77777777" w:rsidR="00186613" w:rsidRDefault="00BA2954" w:rsidP="00186613">
            <w:pPr>
              <w:pStyle w:val="ResumeText"/>
              <w:numPr>
                <w:ilvl w:val="0"/>
                <w:numId w:val="3"/>
              </w:numPr>
            </w:pPr>
            <w:r>
              <w:t>CSV to read</w:t>
            </w:r>
          </w:p>
          <w:p w14:paraId="2FCCF405" w14:textId="0A99EA76" w:rsidR="00BA2954" w:rsidRDefault="00BA2954" w:rsidP="00186613">
            <w:pPr>
              <w:pStyle w:val="ResumeText"/>
              <w:numPr>
                <w:ilvl w:val="0"/>
                <w:numId w:val="3"/>
              </w:numPr>
            </w:pPr>
            <w:r>
              <w:t>Controller</w:t>
            </w:r>
            <w:r w:rsidR="00D725FB">
              <w:t xml:space="preserve"> Type(s)</w:t>
            </w:r>
          </w:p>
          <w:p w14:paraId="3A9ECD2F" w14:textId="451E5E12" w:rsidR="00BA2954" w:rsidRDefault="00BA2954" w:rsidP="00186613">
            <w:pPr>
              <w:pStyle w:val="ResumeText"/>
              <w:numPr>
                <w:ilvl w:val="0"/>
                <w:numId w:val="3"/>
              </w:numPr>
            </w:pPr>
            <w:r>
              <w:t>Interrupt</w:t>
            </w:r>
          </w:p>
        </w:tc>
      </w:tr>
      <w:tr w:rsidR="00CF62DF" w14:paraId="6BB96418" w14:textId="77777777" w:rsidTr="00D845CD">
        <w:tc>
          <w:tcPr>
            <w:tcW w:w="1528" w:type="dxa"/>
            <w:tcBorders>
              <w:top w:val="single" w:sz="4" w:space="0" w:color="418AB3" w:themeColor="accent1"/>
              <w:bottom w:val="single" w:sz="4" w:space="0" w:color="418AB3" w:themeColor="accent1"/>
            </w:tcBorders>
          </w:tcPr>
          <w:p w14:paraId="4B440D1C" w14:textId="77777777" w:rsidR="00BA56D5" w:rsidRDefault="00D845CD">
            <w:pPr>
              <w:pStyle w:val="Heading1"/>
            </w:pPr>
            <w:r>
              <w:t>Licensing</w:t>
            </w:r>
          </w:p>
          <w:p w14:paraId="19EE06D7" w14:textId="48BE6561" w:rsidR="00D845CD" w:rsidRPr="00D845CD" w:rsidRDefault="00D845CD" w:rsidP="00D845CD"/>
        </w:tc>
        <w:tc>
          <w:tcPr>
            <w:tcW w:w="302" w:type="dxa"/>
            <w:tcBorders>
              <w:top w:val="single" w:sz="4" w:space="0" w:color="418AB3" w:themeColor="accent1"/>
              <w:bottom w:val="single" w:sz="4" w:space="0" w:color="418AB3" w:themeColor="accent1"/>
            </w:tcBorders>
          </w:tcPr>
          <w:p w14:paraId="5B892E8F" w14:textId="77777777" w:rsidR="00BA56D5" w:rsidRDefault="00BA56D5"/>
        </w:tc>
        <w:tc>
          <w:tcPr>
            <w:tcW w:w="8250" w:type="dxa"/>
            <w:tcBorders>
              <w:top w:val="single" w:sz="4" w:space="0" w:color="418AB3" w:themeColor="accent1"/>
              <w:bottom w:val="single" w:sz="4" w:space="0" w:color="418AB3" w:themeColor="accent1"/>
            </w:tcBorders>
          </w:tcPr>
          <w:p w14:paraId="261AC30C" w14:textId="55E46543" w:rsidR="003A5E74" w:rsidRPr="003A5E74" w:rsidRDefault="00317711" w:rsidP="003A5E74">
            <w:r>
              <w:t>This module is for Internal use only and thus is not restricted by license.</w:t>
            </w:r>
          </w:p>
        </w:tc>
      </w:tr>
      <w:tr w:rsidR="00CF62DF" w14:paraId="47CB8967" w14:textId="77777777" w:rsidTr="00D845CD">
        <w:tc>
          <w:tcPr>
            <w:tcW w:w="1528" w:type="dxa"/>
            <w:tcBorders>
              <w:top w:val="single" w:sz="4" w:space="0" w:color="418AB3" w:themeColor="accent1"/>
              <w:bottom w:val="single" w:sz="4" w:space="0" w:color="418AB3" w:themeColor="accent1"/>
            </w:tcBorders>
          </w:tcPr>
          <w:p w14:paraId="4241EA86" w14:textId="0E618F51" w:rsidR="00BA56D5" w:rsidRDefault="00D845CD">
            <w:pPr>
              <w:pStyle w:val="Heading1"/>
            </w:pPr>
            <w:r>
              <w:t>External Interfaces</w:t>
            </w:r>
          </w:p>
        </w:tc>
        <w:tc>
          <w:tcPr>
            <w:tcW w:w="302" w:type="dxa"/>
            <w:tcBorders>
              <w:top w:val="single" w:sz="4" w:space="0" w:color="418AB3" w:themeColor="accent1"/>
              <w:bottom w:val="single" w:sz="4" w:space="0" w:color="418AB3" w:themeColor="accent1"/>
            </w:tcBorders>
          </w:tcPr>
          <w:p w14:paraId="75CEEF9E" w14:textId="77777777" w:rsidR="00BA56D5" w:rsidRDefault="00BA56D5"/>
        </w:tc>
        <w:tc>
          <w:tcPr>
            <w:tcW w:w="8250" w:type="dxa"/>
            <w:tcBorders>
              <w:top w:val="single" w:sz="4" w:space="0" w:color="418AB3" w:themeColor="accent1"/>
              <w:bottom w:val="single" w:sz="4" w:space="0" w:color="418AB3" w:themeColor="accent1"/>
            </w:tcBorders>
          </w:tcPr>
          <w:p w14:paraId="692EE9C8" w14:textId="4803428E" w:rsidR="00BA56D5" w:rsidRDefault="00317711" w:rsidP="004A0209">
            <w:r>
              <w:t>None</w:t>
            </w:r>
          </w:p>
        </w:tc>
      </w:tr>
      <w:tr w:rsidR="008F1C0D" w14:paraId="740163C3" w14:textId="77777777" w:rsidTr="008F1C0D">
        <w:tc>
          <w:tcPr>
            <w:tcW w:w="1528" w:type="dxa"/>
          </w:tcPr>
          <w:p w14:paraId="0178A6CC" w14:textId="77777777" w:rsidR="008F1C0D" w:rsidRDefault="008F1C0D" w:rsidP="00343AC1">
            <w:pPr>
              <w:pStyle w:val="Heading1"/>
            </w:pPr>
            <w:r>
              <w:t>Download Procedure</w:t>
            </w:r>
          </w:p>
        </w:tc>
        <w:tc>
          <w:tcPr>
            <w:tcW w:w="302" w:type="dxa"/>
          </w:tcPr>
          <w:p w14:paraId="0CA38EF1" w14:textId="77777777" w:rsidR="008F1C0D" w:rsidRDefault="008F1C0D" w:rsidP="00343AC1"/>
        </w:tc>
        <w:tc>
          <w:tcPr>
            <w:tcW w:w="8250" w:type="dxa"/>
          </w:tcPr>
          <w:p w14:paraId="79AF7B2E" w14:textId="77777777" w:rsidR="008F1C0D" w:rsidRDefault="008F1C0D" w:rsidP="00343AC1">
            <w:r>
              <w:t xml:space="preserve">Throughout the Christmas trading period, the store opening schedules have to be adjusted constantly. In order to reduce workload, this will be done exclusively through the use of special events. IQ1’s and 2’s </w:t>
            </w:r>
            <w:proofErr w:type="gramStart"/>
            <w:r>
              <w:t>do</w:t>
            </w:r>
            <w:proofErr w:type="gramEnd"/>
            <w:r>
              <w:t xml:space="preserve"> not operate special events in the same manner and IQ3’s and 4’s so they have a separate procedure as listed below</w:t>
            </w:r>
          </w:p>
          <w:p w14:paraId="5C1591ED" w14:textId="77777777" w:rsidR="008F1C0D" w:rsidRDefault="008F1C0D" w:rsidP="00343AC1">
            <w:r>
              <w:t xml:space="preserve">IQ3’s and 4’s – These will have a </w:t>
            </w:r>
            <w:proofErr w:type="gramStart"/>
            <w:r>
              <w:t>one off</w:t>
            </w:r>
            <w:proofErr w:type="gramEnd"/>
            <w:r>
              <w:t xml:space="preserve"> download in which the entire set of timings for the Christmas period will be sent to all controllers.</w:t>
            </w:r>
          </w:p>
          <w:p w14:paraId="428C1D38" w14:textId="77777777" w:rsidR="008F1C0D" w:rsidRDefault="008F1C0D" w:rsidP="00343AC1">
            <w:r>
              <w:t>IQ1’s and 2’s – These controllers can have exceptions loaded by using the ‘current week’ feature. This means that the furthest in advance the controller can have the schedule loaded is 6 days. During the Christmas trading period, on Mondays and Thursdays, a download will run sending the schedules to these controllers in order to download the current week.</w:t>
            </w:r>
          </w:p>
          <w:p w14:paraId="1449CB4F" w14:textId="77777777" w:rsidR="008F1C0D" w:rsidRDefault="008F1C0D" w:rsidP="00343AC1">
            <w:r>
              <w:t xml:space="preserve">In general, there is no advantage to grouping stores, and as such the entire CSV will be loaded into </w:t>
            </w:r>
            <w:proofErr w:type="spellStart"/>
            <w:r>
              <w:t>IQVision</w:t>
            </w:r>
            <w:proofErr w:type="spellEnd"/>
            <w:r>
              <w:t xml:space="preserve"> to write each store individually. As mentioned in the usage section, the download part of the </w:t>
            </w:r>
            <w:r>
              <w:lastRenderedPageBreak/>
              <w:t>software checks the success of the download before moving onto the next store. This is expected to take around 50 minutes for the full download, and less for the IQ1 and 2 sites only download.</w:t>
            </w:r>
          </w:p>
          <w:p w14:paraId="6E0940A1" w14:textId="77777777" w:rsidR="008F1C0D" w:rsidRDefault="008F1C0D" w:rsidP="00343AC1">
            <w:r>
              <w:t>As agreed, the test procedure will be completed on the demo board first, before replicating on live sites. Also agreed is the completion date for testing which is the 30</w:t>
            </w:r>
            <w:r w:rsidRPr="00817D29">
              <w:rPr>
                <w:vertAlign w:val="superscript"/>
              </w:rPr>
              <w:t>th</w:t>
            </w:r>
            <w:r>
              <w:t xml:space="preserve"> of November.</w:t>
            </w:r>
          </w:p>
        </w:tc>
      </w:tr>
    </w:tbl>
    <w:p w14:paraId="67754541" w14:textId="77777777" w:rsidR="003A5E74" w:rsidRDefault="003A5E74"/>
    <w:sectPr w:rsidR="003A5E74">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6EC17" w14:textId="77777777" w:rsidR="00EC4362" w:rsidRDefault="00EC4362">
      <w:pPr>
        <w:spacing w:before="0" w:after="0" w:line="240" w:lineRule="auto"/>
      </w:pPr>
      <w:r>
        <w:separator/>
      </w:r>
    </w:p>
  </w:endnote>
  <w:endnote w:type="continuationSeparator" w:id="0">
    <w:p w14:paraId="607672FA" w14:textId="77777777" w:rsidR="00EC4362" w:rsidRDefault="00EC43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8"/>
      <w:gridCol w:w="5042"/>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394507CF" w:rsidR="00BA56D5" w:rsidRDefault="00D725FB">
              <w:pPr>
                <w:pStyle w:val="Footer"/>
                <w:jc w:val="right"/>
                <w:cnfStyle w:val="100000000000" w:firstRow="1" w:lastRow="0" w:firstColumn="0" w:lastColumn="0" w:oddVBand="0" w:evenVBand="0" w:oddHBand="0" w:evenHBand="0" w:firstRowFirstColumn="0" w:firstRowLastColumn="0" w:lastRowFirstColumn="0" w:lastRowLastColumn="0"/>
              </w:pPr>
              <w:r>
                <w:t>Peter Reeves</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6CFAC" w14:textId="77777777" w:rsidR="00EC4362" w:rsidRDefault="00EC4362">
      <w:pPr>
        <w:spacing w:before="0" w:after="0" w:line="240" w:lineRule="auto"/>
      </w:pPr>
      <w:r>
        <w:separator/>
      </w:r>
    </w:p>
  </w:footnote>
  <w:footnote w:type="continuationSeparator" w:id="0">
    <w:p w14:paraId="2496D837" w14:textId="77777777" w:rsidR="00EC4362" w:rsidRDefault="00EC43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080E6B"/>
    <w:multiLevelType w:val="hybridMultilevel"/>
    <w:tmpl w:val="A4E0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45286"/>
    <w:rsid w:val="00186613"/>
    <w:rsid w:val="001E76FC"/>
    <w:rsid w:val="00317711"/>
    <w:rsid w:val="00332678"/>
    <w:rsid w:val="003A5E74"/>
    <w:rsid w:val="004A0209"/>
    <w:rsid w:val="006C19AC"/>
    <w:rsid w:val="006F0F86"/>
    <w:rsid w:val="00796D9E"/>
    <w:rsid w:val="007B78DD"/>
    <w:rsid w:val="008F1C0D"/>
    <w:rsid w:val="008F7017"/>
    <w:rsid w:val="009060F3"/>
    <w:rsid w:val="009D55A9"/>
    <w:rsid w:val="00B62E0F"/>
    <w:rsid w:val="00BA2954"/>
    <w:rsid w:val="00BA56D5"/>
    <w:rsid w:val="00CF62DF"/>
    <w:rsid w:val="00D00AEC"/>
    <w:rsid w:val="00D725FB"/>
    <w:rsid w:val="00D845CD"/>
    <w:rsid w:val="00EA7D0A"/>
    <w:rsid w:val="00EC4362"/>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050FDC"/>
    <w:rsid w:val="0011173A"/>
    <w:rsid w:val="0025339B"/>
    <w:rsid w:val="004E6BE3"/>
    <w:rsid w:val="00B51255"/>
    <w:rsid w:val="00D07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Template>
  <TotalTime>38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Reeves</dc:creator>
  <cp:keywords/>
  <dc:description/>
  <cp:lastModifiedBy>Peter Reeves</cp:lastModifiedBy>
  <cp:revision>8</cp:revision>
  <dcterms:created xsi:type="dcterms:W3CDTF">2020-11-10T10:51:00Z</dcterms:created>
  <dcterms:modified xsi:type="dcterms:W3CDTF">2020-11-18T15:11:00Z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