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0.4</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D55612"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D55612"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D55612"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D55612"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55612"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55612"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D55612"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Pr>
          <w:lang w:val="en-US"/>
        </w:rPr>
        <w:t xml:space="preserve"> and </w:t>
      </w:r>
      <w:r>
        <w:rPr>
          <w:b/>
          <w:lang w:val="en-US"/>
        </w:rPr>
        <w:t>prepend</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D55612"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D55612"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D55612"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D55612"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bl>
    <w:p w:rsidR="005A7077" w:rsidRDefault="005A7077" w:rsidP="00DE23D1">
      <w:pPr>
        <w:rPr>
          <w:lang w:val="en-US"/>
        </w:rPr>
      </w:pPr>
    </w:p>
    <w:p w:rsidR="0071519C" w:rsidRDefault="0071519C" w:rsidP="00DE23D1">
      <w:pPr>
        <w:rPr>
          <w:lang w:val="en-US"/>
        </w:rPr>
      </w:pPr>
      <w:r>
        <w:rPr>
          <w:lang w:val="en-US"/>
        </w:rPr>
        <w:lastRenderedPageBreak/>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09672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w:t>
      </w:r>
      <w:proofErr w:type="gramStart"/>
      <w:r>
        <w:rPr>
          <w:lang w:val="en-US"/>
        </w:rPr>
        <w:t>..”</w:t>
      </w:r>
      <w:proofErr w:type="gramEnd"/>
      <w:r>
        <w:rPr>
          <w:lang w:val="en-US"/>
        </w:rPr>
        <w:t xml:space="preserve">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EA225B"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 xml:space="preserve">The source code of the program is available under GPL license from </w:t>
      </w:r>
      <w:hyperlink r:id="rId11" w:history="1">
        <w:r w:rsidRPr="002D1CD9">
          <w:rPr>
            <w:rStyle w:val="Hyperlink"/>
            <w:lang w:val="en-US"/>
          </w:rPr>
          <w:t>http://code.google.com/p/oftvg/</w:t>
        </w:r>
      </w:hyperlink>
      <w:r>
        <w:rPr>
          <w:lang w:val="en-US"/>
        </w:rPr>
        <w:t xml:space="preserve"> </w:t>
      </w:r>
      <w:r>
        <w:rPr>
          <w:lang w:val="en-US"/>
        </w:rPr>
        <w:br/>
      </w:r>
      <w:proofErr w:type="gramStart"/>
      <w:r>
        <w:rPr>
          <w:lang w:val="en-US"/>
        </w:rPr>
        <w:t>The</w:t>
      </w:r>
      <w:proofErr w:type="gramEnd"/>
      <w:r>
        <w:rPr>
          <w:lang w:val="en-US"/>
        </w:rPr>
        <w:t xml:space="preserv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bookmarkStart w:id="0" w:name="_GoBack"/>
      <w:bookmarkEnd w:id="0"/>
    </w:p>
    <w:p w:rsidR="00C951FD" w:rsidRDefault="00C951FD" w:rsidP="00C951FD">
      <w:pPr>
        <w:pStyle w:val="Heading1"/>
        <w:rPr>
          <w:lang w:val="en-US"/>
        </w:rPr>
      </w:pPr>
      <w:r>
        <w:rPr>
          <w:lang w:val="en-US"/>
        </w:rPr>
        <w:lastRenderedPageBreak/>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D5561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Default="00622AAF" w:rsidP="00C951FD">
            <w:pPr>
              <w:rPr>
                <w:lang w:val="en-US"/>
              </w:rPr>
            </w:pPr>
            <w:r w:rsidRPr="00622AAF">
              <w:rPr>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bl>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678D3"/>
    <w:rsid w:val="00EA225B"/>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ftvg/" TargetMode="Externa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4167-645F-424B-BE71-B8367B245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1232</Words>
  <Characters>9983</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130</cp:revision>
  <dcterms:created xsi:type="dcterms:W3CDTF">2012-01-03T11:21:00Z</dcterms:created>
  <dcterms:modified xsi:type="dcterms:W3CDTF">2012-06-15T06:29:00Z</dcterms:modified>
</cp:coreProperties>
</file>