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  <w:shd w:fill="f8f8f8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إدارة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0"/>
        </w:rPr>
        <w:t xml:space="preserve">Optomatica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واللجان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shd w:fill="f8f8f8" w:val="clear"/>
          <w:rtl w:val="1"/>
        </w:rPr>
        <w:t xml:space="preserve">المعنية</w:t>
      </w:r>
    </w:p>
    <w:p w:rsidR="00000000" w:rsidDel="00000000" w:rsidP="00000000" w:rsidRDefault="00000000" w:rsidRPr="00000000" w14:paraId="00000002">
      <w:pPr>
        <w:jc w:val="center"/>
        <w:rPr>
          <w:b w:val="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dfdfd" w:val="clear"/>
        <w:bidi w:val="1"/>
        <w:spacing w:after="120" w:before="120" w:line="276" w:lineRule="auto"/>
        <w:ind w:left="-540" w:firstLine="0"/>
        <w:jc w:val="both"/>
        <w:rPr>
          <w:b w:val="1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shd w:fill="f8f8f8" w:val="clear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shd w:fill="f8f8f8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76" w:lineRule="auto"/>
        <w:ind w:left="-540" w:firstLine="0"/>
        <w:jc w:val="both"/>
        <w:rPr>
          <w:rFonts w:ascii="Times New Roman" w:cs="Times New Roman" w:eastAsia="Times New Roman" w:hAnsi="Times New Roman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حرصت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ابتوماتيكا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اعضاء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ادارتها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الامتثال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لقواعد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حوكمة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تنويع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خبرات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المديرين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يتناسب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نشاط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وتشكيل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النحو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التالى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: </w:t>
      </w:r>
    </w:p>
    <w:p w:rsidR="00000000" w:rsidDel="00000000" w:rsidP="00000000" w:rsidRDefault="00000000" w:rsidRPr="00000000" w14:paraId="00000006">
      <w:pPr>
        <w:bidi w:val="1"/>
        <w:spacing w:line="276" w:lineRule="auto"/>
        <w:ind w:left="-108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محمد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عادل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توفيق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البلتاجي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خبير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والنمذجة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الابتكار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الناشئة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مؤسس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استشارات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برمجية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التكنولوجيا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العميقة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مسيرته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المهنية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مناصب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عليا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شركتان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السويد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Hive Streaming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مقرها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ستوكهولم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الفيديو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كمدير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للابتكار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RaceFox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المدير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Aim Technologies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الاستماع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الاجتماعي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المعتمد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Racemate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للعد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ائين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Optofolio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Jilatee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Flend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الدكتور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البلتاجي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مجالس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EFG Finance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Camel Ventures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DFin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حصل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الدكتور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البلتاجي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الدكتوراه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الهندسة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الميكانيكية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ساوثهامبتون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طو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منهجيات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Airbus A380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كعال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Bios Group Inc.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سانتا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نيو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مكسيكو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مشاريع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التشغيلية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Fortune 50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الدكتور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البلتاجي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أستاذ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جامعي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متخصص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الحسابي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المباريات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بجامعة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القاهرة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كأستاذ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بحوث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bidi w:val="1"/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عتبر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الدكتور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البلتاجي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مؤلف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براءة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دولية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تأليف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عشرات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المنشورات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النمذجة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والخوارزميات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ساره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محمود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عبدالواحد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رافع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التنفيذي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التجاري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CCO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تقود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والمبيعات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الأداء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التجاري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وتوسيع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عملائها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استراتيجيات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مبتكرة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المبيعات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نجاحها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المستدام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السوق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دورها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الشريك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المؤسس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Racemate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ركز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Racemate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استراتيجيات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التسويق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والنمو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التجاري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تلبي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احتياجات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وتحقق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يتوقعونها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تقود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التعاون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المبيعات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والتسويق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لتصميم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حملات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عزز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وتساهم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الإيرادات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الهندسة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المعمارية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خبرتها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إبداعية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وتنظيمية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فريدة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تسهم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مشاريعها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ودورها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القيادي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Racemate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الاستاذ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أحمد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حسين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مصطفي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حسن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1"/>
        </w:rPr>
        <w:t xml:space="preserve">الهندسة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١٤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البرمجيات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(optimization)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والتعلم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الآلي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ونظرية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والنمذجة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والمحاكاة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هندسية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ومتعددة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التخصصات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لتصميم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الابتكارات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تعاون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محليين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ودوليين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قطاعات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الرعاية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والتصنيع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لتقديم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مبتكرة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الكفاءة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التشغيلية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ودفع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الابتكار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أدار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مشروعات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تكامل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وإنترنت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IoT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متكاملة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وفع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نجح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رائدة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وزيادة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الإيرادات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العاملة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قطاعات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مبادرات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الهندسي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التسليم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بنسبة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30%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معايير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الجودة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لتحليل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الأنماط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واتخاذ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قرارات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الأداء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التشغيلي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تعاون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لابتكار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التنافسية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السوق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ماجستير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بحوث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ودعم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اتخاذ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القاهرة</w:t>
      </w:r>
    </w:p>
    <w:p w:rsidR="00000000" w:rsidDel="00000000" w:rsidP="00000000" w:rsidRDefault="00000000" w:rsidRPr="00000000" w14:paraId="00000021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الاستاذ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أمجد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نعيم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مرتجي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ابادير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هو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التكنولوجيا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والحلول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١٧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البرمجيات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مسيرته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المهنية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مناصب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عليا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شركتان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السويد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Hive Streaming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مقرها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ستوكهولم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الفيديو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كباحث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مطور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متقدم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RaceFox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مهندسي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باحث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الآلي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Racemate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للعد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ائين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Optofolio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الشركات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التكنولوجيا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Optomatica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(Artificial Intelligence)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البرمجة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المشاريع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والتعلم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الآلي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تأليف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المنشورات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النمذجة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المحاكاة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والخوارزميات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تقديمها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مؤتمرات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عالمية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مرموقة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قطاعات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التمويل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والاتصالات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مشروعات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استثنائية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وتجاوز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توقعات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ماجستير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بحوث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ودعم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اتخاذ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القاهرة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spacing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مؤلف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براءة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دولية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تأليف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المنشورات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المحاكاة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والخوارزميات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الاستاذة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هبه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أحمد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عبدالحليم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خزبك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البرمجيات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مسيرتها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المهنية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أدارت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الأستاذة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هبة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المشروعات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الرائدة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لعملاء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متنوعين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مصر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السويد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والنرويج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أبرز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المشروعات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تطويرها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Rottefella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مبتكرة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bidi w:val="1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OrganAise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وفع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Veloaero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الرياضيين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وخاصة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راكبي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الدراجات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الأداء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Nawy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برمجية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متكاملة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قطاع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العقارات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تمتلك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الأستاذة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هبة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إنترنت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IoT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وتنفيذ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الكفاءة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التشغيلية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والابتكار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القطاعات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حاصلة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بكالوريوس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علوم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الحاسب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بتقدير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إمتياز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الشرف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تفوقها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الأكاديمي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وقدرتها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النظرية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التحديات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line="276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الاستاذ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نبيل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عادل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محمود</w:t>
      </w:r>
    </w:p>
    <w:p w:rsidR="00000000" w:rsidDel="00000000" w:rsidP="00000000" w:rsidRDefault="00000000" w:rsidRPr="00000000" w14:paraId="00000039">
      <w:pPr>
        <w:bidi w:val="1"/>
        <w:spacing w:line="276" w:lineRule="auto"/>
        <w:ind w:left="720" w:hanging="360"/>
        <w:jc w:val="both"/>
        <w:rPr>
          <w:rFonts w:ascii="Arial" w:cs="Arial" w:eastAsia="Arial" w:hAnsi="Arial"/>
          <w:i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مالي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0"/>
        </w:rPr>
        <w:t xml:space="preserve">Optomatica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بخبرة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كفاءته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الشؤون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وقيادة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الاستراتيجية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يشغل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حالي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منصب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مالي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Optomatica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ويضمن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المستدام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استراتيجيات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الكفاءة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التشغيلية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أشرف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الميزانيات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ضمان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التوازن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والاستقرار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وثيق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لمراجعة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الجوانب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المحاسبية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FinTech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فعالية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Optomatica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المتخصصة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Micro ERP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Almohaseb ERP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https://almohaseb-erp.com/)،</w:t>
        </w:r>
      </w:hyperlink>
      <w:r w:rsidDel="00000000" w:rsidR="00000000" w:rsidRPr="00000000">
        <w:rPr>
          <w:rFonts w:ascii="Arial" w:cs="Arial" w:eastAsia="Arial" w:hAnsi="Arial"/>
          <w:color w:val="1155cc"/>
          <w:sz w:val="23"/>
          <w:szCs w:val="23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المتكاملة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لتحسين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مشروعات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الدمج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والاستحواذ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مكانة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السوق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أشرف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الدورية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ضمان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الامتثال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الكامل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للمعايير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والدولية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التدقيق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وضمان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دقتها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وشفافيتها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المخاطر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استباقية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التحديات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قيادة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التميز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التدفقات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النقدية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والموازنات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خبرة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التحليل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الاستراتيجي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المستدام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="276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before="180" w:lineRule="auto"/>
        <w:ind w:hanging="54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before="180" w:lineRule="auto"/>
        <w:ind w:hanging="54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والحوكمة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A">
      <w:pPr>
        <w:bidi w:val="1"/>
        <w:spacing w:before="180" w:lineRule="auto"/>
        <w:ind w:lef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أبتوماتيكا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يترأس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محمد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البلتاجي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وشريك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أبتوماتيكا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وتتضمن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قطاع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الشفافية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والامتثال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الفعالة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تشرف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والضوابط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والامتثال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للمتطلبات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التنظيمية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spacing w:before="180" w:lineRule="auto"/>
        <w:ind w:lef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بمهام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الرقابة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مكتوب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رأيها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وتوصياتها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القوائم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والإدلاء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برأيها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وتوصياتها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المحاسبية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والإدلاء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برأيها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وتوصياتها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بخصوصها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لتوصية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بتعيين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مؤهلاتهم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وكفاءتهم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واستقلاليتهم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تعيينهم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أتعابهم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اختصاص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الاطلاع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والإدلاء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بملاحظاتها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وتوصيات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القوائم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الواردة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التزام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بإتباع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واللوائح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والقوانين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والخارجية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المرفوعة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الالتزام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التوصية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بالموافقة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والتوصية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بالموافقة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يتقاضاه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يتناسب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أتعابه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السنوية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مناقشة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واعتماد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السنوية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كفاءتها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شموليتها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وأنشطة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الإطلاع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وأسباب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القصور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التصحيحية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الإنذار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المبكر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واقتراح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يلزم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لتحسينه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وتطبيقه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بفاعلية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تأمين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والبيانات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وكيفية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حمايتها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اختراقات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خارجية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الملاحظات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المخالفات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الواردة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الرقابية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دعوة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لحضور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اجتماعاتها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دعت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يكلفها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الدوري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وصياغة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الأدلة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والمواثيق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بكيفية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التزام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بقواعد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لاستكمال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القواعد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السنوي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وبالأخص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ببنود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الإفصاح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وغيرها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البنود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وتوثيق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الرقابية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الحوكمة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وأخذها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الاعتبار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استراتيجية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وضوابط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تدابير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وممارسات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الإشراف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استثمارات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ومشاريع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وتخفف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المخاطر</w:t>
      </w:r>
    </w:p>
    <w:p w:rsidR="00000000" w:rsidDel="00000000" w:rsidP="00000000" w:rsidRDefault="00000000" w:rsidRPr="00000000" w14:paraId="00000067">
      <w:pPr>
        <w:bidi w:val="1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عضوين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before="180" w:lineRule="auto"/>
        <w:ind w:lef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بمهام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والقواعد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تعتمدها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واللازمة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الإستراتيجية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التشغيل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السوق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السمعة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وحماية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التأثير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نشاط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واستدامة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مساعدة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قبوله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تجاوز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الإشراف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والتحقق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فاعلية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المسندة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بعملها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الاختصاصات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المقررة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استقلالية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موظفي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bidi w:val="1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نتائج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أعمالها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وتوصياتها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اللازم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والأمن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محوري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وسلامة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الأصول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والأنظمة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الرقمية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مسؤولة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والإشراف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المبادرات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ومعالجة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التهديدات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الناشئة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وفيما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التوجيهية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حوكمة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bidi w:val="1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تطوير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وتنفيذ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ومعايير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bidi w:val="1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الإشراف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bidi w:val="1"/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الامتثال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للقوانين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واللوائح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ومعايير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الصناعة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استراتيجية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bidi w:val="1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الاتجاه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الاستراتيجي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للمبادرات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bidi w:val="1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التقنيات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الناشئة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وتأثيرها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المحتمل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bidi w:val="1"/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أولويات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الاستثمارات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والمشاريع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التكنولوجية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والعائد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الاستجابة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للحوادث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وإدارتها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bidi w:val="1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إجراءات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للكشف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والاستجابة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والتعافي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bidi w:val="1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مراجعة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خطط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الاستجابة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للحوادث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وإجراء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تمارين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الطاولة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لاختبار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الاستعداد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bidi w:val="1"/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التنسيق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أصحاب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المصلحة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المعنيين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والفرق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القانونية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والاتصالات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الحوادث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التوعية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والتدريب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الأمني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bidi w:val="1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تعزيز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ثقافة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الوعي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بالأمن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السيبراني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حملات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التدريب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والتوعية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bidi w:val="1"/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مراقبة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وتقديم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التوصيات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للتحسين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التسعير</w:t>
      </w:r>
    </w:p>
    <w:p w:rsidR="00000000" w:rsidDel="00000000" w:rsidP="00000000" w:rsidRDefault="00000000" w:rsidRPr="00000000" w14:paraId="00000081">
      <w:pPr>
        <w:bidi w:val="1"/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التسعير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يفوضهم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عضو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عضو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التسعير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مسؤولة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تحديث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المطبقة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الفترات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وتصنيف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180" w:line="259" w:lineRule="auto"/>
        <w:ind w:right="46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المكافآت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6">
      <w:pPr>
        <w:bidi w:val="1"/>
        <w:spacing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اختصاصات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لجنة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المكافآت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المنبثقة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إدارتها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تضم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bidi w:val="1"/>
        <w:spacing w:line="259" w:lineRule="auto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اقتراح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واضحة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لمكافآت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واستحقاقات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وأعضاء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اللجان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وكبار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التنفيذيين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والاستعانة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بمعايير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بالأداء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الاستحقاقات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ومراجعة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السياسات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سنويا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الدراسات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والاستقصاءات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يختص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بحزم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المكافآت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bidi w:val="1"/>
        <w:spacing w:line="259" w:lineRule="auto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ومتابعة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سياسة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استرداد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مكافآت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واستحقاقات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hd w:fill="f8f8f8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وأعضاء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اللجان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التنفيذيين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قيامهم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انتهاكات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اختلاسات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bidi w:val="1"/>
        <w:spacing w:line="259" w:lineRule="auto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بأسهم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التحفيز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يراعى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حافزا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للحاصلين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تحقق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مصلحة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القصير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وإنما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مرتبطة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الطويل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bidi w:val="1"/>
        <w:spacing w:line="259" w:lineRule="auto"/>
        <w:ind w:left="720" w:right="6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المكافآت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والمزايا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والمنافع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تتحصل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العليا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lmohaseb-erp.com/)%D8%8C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JHpG9c8RhI13kTLC+H/vlLUpg==">CgMxLjA4AHIhMThDM0dwcGc4c21KUGp1YVVQbFFPTTNpZTJtbkRyY0xa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2024-04-25T12:22:00Z</dcterms:created>
  <dc:creator>Nehal Helmy</dc:creator>
</cp:coreProperties>
</file>