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864"/>
          <w:sz w:val="22"/>
        </w:rPr>
        <w:t>HARGROVE &amp; LUND LLP</w:t>
      </w:r>
    </w:p>
    <w:p>
      <w:r>
        <w:rPr>
          <w:color w:val="595959"/>
          <w:sz w:val="17"/>
        </w:rPr>
        <w:t>1221 Avenue of the Americas, New York, NY 10020  |  International Tax</w:t>
      </w:r>
    </w:p>
    <w:p>
      <w:pPr>
        <w:spacing w:before="200" w:after="40"/>
      </w:pPr>
      <w:r>
        <w:rPr>
          <w:b/>
          <w:color w:val="1F3864"/>
          <w:sz w:val="36"/>
        </w:rPr>
        <w:t>CROSS-BORDER TAX STRUCTURE MEMORANDUM</w:t>
      </w:r>
    </w:p>
    <w:p>
      <w:pPr>
        <w:spacing w:after="160"/>
      </w:pPr>
      <w:r>
        <w:rPr>
          <w:b/>
          <w:color w:val="2E5496"/>
          <w:sz w:val="23"/>
        </w:rPr>
        <w:t>Project Nordenvik — Proposed Acquisition of Nordenvik Group AB by Meridian Capital Partners IV, L.P.</w:t>
      </w:r>
    </w:p>
    <w:tbl>
      <w:tblPr>
        <w:tblStyle w:val="TableGrid"/>
        <w:tblW w:type="auto" w:w="0"/>
        <w:tblLook w:firstColumn="1" w:firstRow="1" w:lastColumn="0" w:lastRow="0" w:noHBand="0" w:noVBand="1" w:val="04A0"/>
      </w:tblPr>
      <w:tblGrid>
        <w:gridCol w:w="9746"/>
      </w:tblGrid>
      <w:tr>
        <w:tc>
          <w:tcPr>
            <w:tcW w:type="dxa" w:w="9746"/>
            <w:shd w:val="clear" w:color="auto" w:fill="1F3864"/>
          </w:tcPr>
          <w:p>
            <w:pPr>
              <w:spacing w:after="40"/>
            </w:pPr>
            <w:r/>
            <w:r>
              <w:rPr>
                <w:b/>
                <w:color w:val="FFFFFF"/>
                <w:sz w:val="20"/>
              </w:rPr>
              <w:t>PRIVILEGED &amp; CONFIDENTIAL — ATTORNEY-CLIENT PRIVILEGE / ATTORNEY WORK PRODUCT</w:t>
            </w:r>
          </w:p>
          <w:p>
            <w:pPr>
              <w:spacing w:after="40"/>
            </w:pPr>
            <w:r>
              <w:rPr>
                <w:sz w:val="19"/>
              </w:rPr>
              <w:t>Prepared by Hargrove &amp; Lund LLP at the direction of counsel for Meridian Capital Partners IV, L.P. This memorandum constitutes tax structuring analysis and does not represent a legal opinion of record. It is delivered to satisfy lender condition precedent #9 (tax structuring memorandum confirming deductibility of acquisition interest at the Borrower level under Dutch law) and for internal investment-committee use. It may not be relied upon by any other person without prior written consent.</w:t>
            </w:r>
          </w:p>
        </w:tc>
      </w:tr>
    </w:tbl>
    <w:p>
      <w:pPr>
        <w:spacing w:after="40"/>
      </w:pPr>
    </w:p>
    <w:tbl>
      <w:tblPr>
        <w:tblStyle w:val="TableGrid"/>
        <w:tblW w:type="auto" w:w="0"/>
        <w:tblLook w:firstColumn="1" w:firstRow="1" w:lastColumn="0" w:lastRow="0" w:noHBand="0" w:noVBand="1" w:val="04A0"/>
      </w:tblPr>
      <w:tblGrid>
        <w:gridCol w:w="4873"/>
        <w:gridCol w:w="4873"/>
      </w:tblGrid>
      <w:tr>
        <w:tc>
          <w:tcPr>
            <w:tcW w:type="dxa" w:w="1584"/>
            <w:shd w:val="clear" w:color="auto" w:fill="D6E0F0"/>
          </w:tcPr>
          <w:p>
            <w:pPr>
              <w:spacing w:after="40" w:before="40"/>
              <w:jc w:val="left"/>
            </w:pPr>
            <w:r/>
            <w:r>
              <w:rPr>
                <w:b/>
                <w:sz w:val="18"/>
              </w:rPr>
              <w:t>To:</w:t>
            </w:r>
          </w:p>
        </w:tc>
        <w:tc>
          <w:tcPr>
            <w:tcW w:type="dxa" w:w="7776"/>
          </w:tcPr>
          <w:p>
            <w:pPr>
              <w:spacing w:after="40" w:before="40"/>
              <w:jc w:val="left"/>
            </w:pPr>
            <w:r/>
            <w:r>
              <w:rPr>
                <w:b w:val="0"/>
                <w:sz w:val="18"/>
              </w:rPr>
              <w:t>Meridian Capital Partners IV, L.P. — Investment Committee; Victoria Hargrove-Szymanski, MD (Tax &amp; Structuring)</w:t>
            </w:r>
          </w:p>
        </w:tc>
      </w:tr>
      <w:tr>
        <w:tc>
          <w:tcPr>
            <w:tcW w:type="dxa" w:w="1584"/>
            <w:shd w:val="clear" w:color="auto" w:fill="D6E0F0"/>
          </w:tcPr>
          <w:p>
            <w:pPr>
              <w:spacing w:after="40" w:before="40"/>
              <w:jc w:val="left"/>
            </w:pPr>
            <w:r/>
            <w:r>
              <w:rPr>
                <w:b/>
                <w:sz w:val="18"/>
              </w:rPr>
              <w:t>From:</w:t>
            </w:r>
          </w:p>
        </w:tc>
        <w:tc>
          <w:tcPr>
            <w:tcW w:type="dxa" w:w="7776"/>
          </w:tcPr>
          <w:p>
            <w:pPr>
              <w:spacing w:after="40" w:before="40"/>
              <w:jc w:val="left"/>
            </w:pPr>
            <w:r/>
            <w:r>
              <w:rPr>
                <w:b w:val="0"/>
                <w:sz w:val="18"/>
              </w:rPr>
              <w:t>Nathaniel Osei-Mensah, Partner — International Tax; Priya Subramaniam, Associate; Dirk van der Hoeven, Netherlands Desk</w:t>
            </w:r>
          </w:p>
        </w:tc>
      </w:tr>
      <w:tr>
        <w:tc>
          <w:tcPr>
            <w:tcW w:type="dxa" w:w="1584"/>
            <w:shd w:val="clear" w:color="auto" w:fill="D6E0F0"/>
          </w:tcPr>
          <w:p>
            <w:pPr>
              <w:spacing w:after="40" w:before="40"/>
              <w:jc w:val="left"/>
            </w:pPr>
            <w:r/>
            <w:r>
              <w:rPr>
                <w:b/>
                <w:sz w:val="18"/>
              </w:rPr>
              <w:t>Date:</w:t>
            </w:r>
          </w:p>
        </w:tc>
        <w:tc>
          <w:tcPr>
            <w:tcW w:type="dxa" w:w="7776"/>
          </w:tcPr>
          <w:p>
            <w:pPr>
              <w:spacing w:after="40" w:before="40"/>
              <w:jc w:val="left"/>
            </w:pPr>
            <w:r/>
            <w:r>
              <w:rPr>
                <w:b w:val="0"/>
                <w:sz w:val="18"/>
              </w:rPr>
              <w:t>December 20, 2024 (working draft)</w:t>
            </w:r>
          </w:p>
        </w:tc>
      </w:tr>
      <w:tr>
        <w:tc>
          <w:tcPr>
            <w:tcW w:type="dxa" w:w="1584"/>
            <w:shd w:val="clear" w:color="auto" w:fill="D6E0F0"/>
          </w:tcPr>
          <w:p>
            <w:pPr>
              <w:spacing w:after="40" w:before="40"/>
              <w:jc w:val="left"/>
            </w:pPr>
            <w:r/>
            <w:r>
              <w:rPr>
                <w:b/>
                <w:sz w:val="18"/>
              </w:rPr>
              <w:t>Re:</w:t>
            </w:r>
          </w:p>
        </w:tc>
        <w:tc>
          <w:tcPr>
            <w:tcW w:type="dxa" w:w="7776"/>
          </w:tcPr>
          <w:p>
            <w:pPr>
              <w:spacing w:after="40" w:before="40"/>
              <w:jc w:val="left"/>
            </w:pPr>
            <w:r/>
            <w:r>
              <w:rPr>
                <w:b w:val="0"/>
                <w:sz w:val="18"/>
              </w:rPr>
              <w:t>Cross-border tax structure for the acquisition of 100% of Nordenvik Group AB (Sweden)</w:t>
            </w:r>
          </w:p>
        </w:tc>
      </w:tr>
      <w:tr>
        <w:tc>
          <w:tcPr>
            <w:tcW w:type="dxa" w:w="1584"/>
            <w:shd w:val="clear" w:color="auto" w:fill="D6E0F0"/>
          </w:tcPr>
          <w:p>
            <w:pPr>
              <w:spacing w:after="40" w:before="40"/>
              <w:jc w:val="left"/>
            </w:pPr>
            <w:r/>
            <w:r>
              <w:rPr>
                <w:b/>
                <w:sz w:val="18"/>
              </w:rPr>
              <w:t>Deal docs:</w:t>
            </w:r>
          </w:p>
        </w:tc>
        <w:tc>
          <w:tcPr>
            <w:tcW w:type="dxa" w:w="7776"/>
          </w:tcPr>
          <w:p>
            <w:pPr>
              <w:spacing w:after="40" w:before="40"/>
              <w:jc w:val="left"/>
            </w:pPr>
            <w:r/>
            <w:r>
              <w:rPr>
                <w:b w:val="0"/>
                <w:sz w:val="18"/>
              </w:rPr>
              <w:t>Draft SPA (Doc 1); Pre/Post-acquisition structure charts (Docs 2–3); Financial model (Docs 4–6); Local tax opinions SE/DE/NL/SG (Docs 7–10); KPMG TP study (Doc 11); EY tax DD (Doc 12); Term sheet (Doc 21); Integration plan (Doc 24); DAC6 memo (Doc 23)</w:t>
            </w:r>
          </w:p>
        </w:tc>
      </w:tr>
      <w:tr>
        <w:tc>
          <w:tcPr>
            <w:tcW w:type="dxa" w:w="1584"/>
            <w:shd w:val="clear" w:color="auto" w:fill="D6E0F0"/>
          </w:tcPr>
          <w:p>
            <w:pPr>
              <w:spacing w:after="40" w:before="40"/>
              <w:jc w:val="left"/>
            </w:pPr>
            <w:r/>
            <w:r>
              <w:rPr>
                <w:b/>
                <w:sz w:val="18"/>
              </w:rPr>
              <w:t>Companion files:</w:t>
            </w:r>
          </w:p>
        </w:tc>
        <w:tc>
          <w:tcPr>
            <w:tcW w:type="dxa" w:w="7776"/>
          </w:tcPr>
          <w:p>
            <w:pPr>
              <w:spacing w:after="40" w:before="40"/>
              <w:jc w:val="left"/>
            </w:pPr>
            <w:r/>
            <w:r>
              <w:rPr>
                <w:b w:val="0"/>
                <w:sz w:val="18"/>
              </w:rPr>
              <w:t>tax-cost-model.xlsx; action-item-tracker.xlsx</w:t>
            </w:r>
          </w:p>
        </w:tc>
      </w:tr>
    </w:tbl>
    <w:p>
      <w:pPr>
        <w:spacing w:after="40"/>
      </w:pPr>
    </w:p>
    <w:p>
      <w:pPr>
        <w:spacing w:before="280" w:after="80"/>
        <w:pBdr>
          <w:bottom w:val="single" w:sz="6" w:space="2" w:color="1F3864"/>
        </w:pBdr>
      </w:pPr>
      <w:r>
        <w:rPr>
          <w:b/>
          <w:color w:val="1F3864"/>
          <w:sz w:val="26"/>
        </w:rPr>
        <w:t>1. Executive Summary</w:t>
      </w:r>
    </w:p>
    <w:p>
      <w:pPr>
        <w:spacing w:after="120"/>
        <w:jc w:val="both"/>
      </w:pPr>
      <w:r>
        <w:rPr>
          <w:b w:val="0"/>
          <w:i w:val="0"/>
          <w:sz w:val="21"/>
        </w:rPr>
        <w:t>This memorandum sets out the proposed cross-border tax structure for the acquisition of 100% of the shares of Nordenvik Group AB ("Nordenvik" or the "Target"), a Swedish industrial-automation and robotics group, by Meridian Capital Partners IV, L.P. ("Meridian" or the "Sponsor"), through a newly formed Luxembourg–Netherlands acquisition chain. The enterprise value is EUR 285.0 million (equity value EUR 223.0 million), funded with EUR 68.0 million of sponsor equity, EUR 2.0 million of transaction fees, and EUR 155.0 million of senior secured Term Loan B debt. Closing is targeted for 31 March 2025 on a locked-box basis (reference date 30 June 2024).</w:t>
      </w:r>
    </w:p>
    <w:p>
      <w:pPr>
        <w:spacing w:before="200" w:after="60"/>
      </w:pPr>
      <w:r>
        <w:rPr>
          <w:b/>
          <w:color w:val="2E5496"/>
          <w:sz w:val="23"/>
        </w:rPr>
        <w:t>1.1 Recommended structure</w:t>
      </w:r>
    </w:p>
    <w:p>
      <w:pPr>
        <w:spacing w:after="120"/>
        <w:jc w:val="both"/>
      </w:pPr>
      <w:r>
        <w:rPr>
          <w:b w:val="0"/>
          <w:i w:val="0"/>
          <w:sz w:val="21"/>
        </w:rPr>
        <w:t>We recommend the following acquisition chain, which is documented in the post-acquisition structure chart (Doc 3):</w:t>
      </w:r>
    </w:p>
    <w:p>
      <w:pPr>
        <w:pStyle w:val="ListBullet"/>
        <w:spacing w:after="60"/>
      </w:pPr>
      <w:r>
        <w:rPr>
          <w:b/>
          <w:sz w:val="21"/>
        </w:rPr>
        <w:t xml:space="preserve">Meridian Capital Partners IV, L.P. (US) — </w:t>
      </w:r>
      <w:r>
        <w:rPr>
          <w:sz w:val="21"/>
        </w:rPr>
        <w:t>Delaware limited partnership (pass-through; no entity-level U.S. federal income tax). Ultimate source of equity capital.</w:t>
      </w:r>
    </w:p>
    <w:p>
      <w:pPr>
        <w:pStyle w:val="ListBullet"/>
        <w:spacing w:after="60"/>
      </w:pPr>
      <w:r>
        <w:rPr>
          <w:b/>
          <w:sz w:val="21"/>
        </w:rPr>
        <w:t xml:space="preserve">MCP HoldCo S.à r.l. (LU) — </w:t>
      </w:r>
      <w:r>
        <w:rPr>
          <w:sz w:val="21"/>
        </w:rPr>
        <w:t>Luxembourg S.à r.l. intermediate holding company. Provides EU treaty access and the Luxembourg participation exemption (Art. 166 LIR) on dividends and capital gains from the Dutch BidCo. 0% Luxembourg withholding on distributions to the Fund. Minimum two Luxembourg-resident directors; quarterly board meetings in Luxembourg.</w:t>
      </w:r>
    </w:p>
    <w:p>
      <w:pPr>
        <w:pStyle w:val="ListBullet"/>
        <w:spacing w:after="60"/>
      </w:pPr>
      <w:r>
        <w:rPr>
          <w:b/>
          <w:sz w:val="21"/>
        </w:rPr>
        <w:t xml:space="preserve">MCP BidCo BV (NL) — </w:t>
      </w:r>
      <w:r>
        <w:rPr>
          <w:sz w:val="21"/>
        </w:rPr>
        <w:t>Dutch acquisition vehicle and borrower under the Term Loan B. Acquires 100% of Nordenvik Group AB. Dutch participation exemption (deelnemingsvrijstelling, Art. 13 Wet VPB) exempts dividends and capital gains from the Swedish Target. Forms a Dutch fiscal unity with Nordenvik BV to offset acquisition interest expense against royalty income.</w:t>
      </w:r>
    </w:p>
    <w:p>
      <w:pPr>
        <w:pStyle w:val="ListBullet"/>
        <w:spacing w:after="60"/>
      </w:pPr>
      <w:r>
        <w:rPr>
          <w:b/>
          <w:sz w:val="21"/>
        </w:rPr>
        <w:t xml:space="preserve">Nordenvik Group AB (SE) — </w:t>
      </w:r>
      <w:r>
        <w:rPr>
          <w:sz w:val="21"/>
        </w:rPr>
        <w:t>Swedish operating parent and its operating subsidiaries in Sweden, Germany, the Netherlands (IP), and Singapore.</w:t>
      </w:r>
    </w:p>
    <w:p>
      <w:pPr>
        <w:spacing w:before="200" w:after="60"/>
      </w:pPr>
      <w:r>
        <w:rPr>
          <w:b/>
          <w:color w:val="2E5496"/>
          <w:sz w:val="23"/>
        </w:rPr>
        <w:t>1.2 Headline conclusions</w:t>
      </w:r>
    </w:p>
    <w:tbl>
      <w:tblPr>
        <w:tblStyle w:val="TableGrid"/>
        <w:tblW w:type="auto" w:w="0"/>
        <w:jc w:val="center"/>
        <w:tblLook w:firstColumn="1" w:firstRow="1" w:lastColumn="0" w:lastRow="0" w:noHBand="0" w:noVBand="1" w:val="04A0"/>
      </w:tblPr>
      <w:tblGrid>
        <w:gridCol w:w="4873"/>
        <w:gridCol w:w="4873"/>
      </w:tblGrid>
      <w:tr>
        <w:tc>
          <w:tcPr>
            <w:tcW w:type="dxa" w:w="2016"/>
            <w:shd w:val="clear" w:color="auto" w:fill="1F3864"/>
          </w:tcPr>
          <w:p>
            <w:pPr>
              <w:spacing w:after="40" w:before="40"/>
              <w:jc w:val="center"/>
            </w:pPr>
            <w:r/>
            <w:r>
              <w:rPr>
                <w:b/>
                <w:color w:val="FFFFFF"/>
                <w:sz w:val="18"/>
              </w:rPr>
              <w:t>Topic</w:t>
            </w:r>
          </w:p>
        </w:tc>
        <w:tc>
          <w:tcPr>
            <w:tcW w:type="dxa" w:w="7344"/>
            <w:shd w:val="clear" w:color="auto" w:fill="1F3864"/>
          </w:tcPr>
          <w:p>
            <w:pPr>
              <w:spacing w:after="40" w:before="40"/>
              <w:jc w:val="center"/>
            </w:pPr>
            <w:r/>
            <w:r>
              <w:rPr>
                <w:b/>
                <w:color w:val="FFFFFF"/>
                <w:sz w:val="18"/>
              </w:rPr>
              <w:t>Conclusion</w:t>
            </w:r>
          </w:p>
        </w:tc>
      </w:tr>
      <w:tr>
        <w:tc>
          <w:tcPr>
            <w:tcW w:type="dxa" w:w="2016"/>
          </w:tcPr>
          <w:p>
            <w:pPr>
              <w:spacing w:after="40" w:before="40"/>
              <w:jc w:val="left"/>
            </w:pPr>
            <w:r/>
            <w:r>
              <w:rPr>
                <w:b/>
                <w:sz w:val="18"/>
              </w:rPr>
              <w:t>Acquisition chain</w:t>
            </w:r>
          </w:p>
        </w:tc>
        <w:tc>
          <w:tcPr>
            <w:tcW w:type="dxa" w:w="7344"/>
          </w:tcPr>
          <w:p>
            <w:pPr>
              <w:spacing w:after="40" w:before="40"/>
              <w:jc w:val="center"/>
            </w:pPr>
            <w:r/>
            <w:r>
              <w:rPr>
                <w:b w:val="0"/>
                <w:sz w:val="18"/>
              </w:rPr>
              <w:t>The US → Luxembourg → Netherlands → Sweden chain achieves 0% withholding tax leakage on dividends up to the Fund under treaties and the EU Parent-Subsidiary Directive, subject to beneficial ownership, substance, and the MLI Principal Purpose Test (PPT).</w:t>
            </w:r>
          </w:p>
        </w:tc>
      </w:tr>
      <w:tr>
        <w:tc>
          <w:tcPr>
            <w:tcW w:type="dxa" w:w="2016"/>
            <w:shd w:val="clear" w:color="auto" w:fill="EAF0FA"/>
          </w:tcPr>
          <w:p>
            <w:pPr>
              <w:spacing w:after="40" w:before="40"/>
              <w:jc w:val="left"/>
            </w:pPr>
            <w:r/>
            <w:r>
              <w:rPr>
                <w:b/>
                <w:sz w:val="18"/>
              </w:rPr>
              <w:t>Dutch interest deductibility</w:t>
            </w:r>
          </w:p>
        </w:tc>
        <w:tc>
          <w:tcPr>
            <w:tcW w:type="dxa" w:w="7344"/>
            <w:shd w:val="clear" w:color="auto" w:fill="EAF0FA"/>
          </w:tcPr>
          <w:p>
            <w:pPr>
              <w:spacing w:after="40" w:before="40"/>
              <w:jc w:val="center"/>
            </w:pPr>
            <w:r/>
            <w:r>
              <w:rPr>
                <w:b w:val="0"/>
                <w:sz w:val="18"/>
              </w:rPr>
              <w:t>Acquisition interest (EUR 10.7M Year 1) is deductible at MCP BidCo BV under Dutch CITA. Art. 10a anti-avoidance does not apply (acquisition of an unrelated target). The ATAD earnings-stripping rule (Art. 15b, 30% of EBITDA / EUR 1M safe harbor) is satisfied within the fiscal unity. This satisfies lender CP #9.</w:t>
            </w:r>
          </w:p>
        </w:tc>
      </w:tr>
      <w:tr>
        <w:tc>
          <w:tcPr>
            <w:tcW w:type="dxa" w:w="2016"/>
          </w:tcPr>
          <w:p>
            <w:pPr>
              <w:spacing w:after="40" w:before="40"/>
              <w:jc w:val="left"/>
            </w:pPr>
            <w:r/>
            <w:r>
              <w:rPr>
                <w:b/>
                <w:sz w:val="18"/>
              </w:rPr>
              <w:t>Debt placement</w:t>
            </w:r>
          </w:p>
        </w:tc>
        <w:tc>
          <w:tcPr>
            <w:tcW w:type="dxa" w:w="7344"/>
          </w:tcPr>
          <w:p>
            <w:pPr>
              <w:spacing w:after="40" w:before="40"/>
              <w:jc w:val="center"/>
            </w:pPr>
            <w:r/>
            <w:r>
              <w:rPr>
                <w:b w:val="0"/>
                <w:sz w:val="18"/>
              </w:rPr>
              <w:t>We recommend retaining the acquisition debt at MCP BidCo BV (Netherlands) and NOT pushing it down to the Swedish Target. The Dutch fiscal unity offsets BidCo interest against Nordenvik BV royalty income (annual saving ~EUR 2.76M). A Swedish pushdown risks permanent interest disallowance of SEK 22–34M per year under the entity-level EBITDA rule (Doc 7).</w:t>
            </w:r>
          </w:p>
        </w:tc>
      </w:tr>
      <w:tr>
        <w:tc>
          <w:tcPr>
            <w:tcW w:type="dxa" w:w="2016"/>
            <w:shd w:val="clear" w:color="auto" w:fill="EAF0FA"/>
          </w:tcPr>
          <w:p>
            <w:pPr>
              <w:spacing w:after="40" w:before="40"/>
              <w:jc w:val="left"/>
            </w:pPr>
            <w:r/>
            <w:r>
              <w:rPr>
                <w:b/>
                <w:sz w:val="18"/>
              </w:rPr>
              <w:t>Withholding tax</w:t>
            </w:r>
          </w:p>
        </w:tc>
        <w:tc>
          <w:tcPr>
            <w:tcW w:type="dxa" w:w="7344"/>
            <w:shd w:val="clear" w:color="auto" w:fill="EAF0FA"/>
          </w:tcPr>
          <w:p>
            <w:pPr>
              <w:spacing w:after="40" w:before="40"/>
              <w:jc w:val="center"/>
            </w:pPr>
            <w:r/>
            <w:r>
              <w:rPr>
                <w:b w:val="0"/>
                <w:sz w:val="18"/>
              </w:rPr>
              <w:t>All intercompany dividend, interest, and royalty flows are at 0% under treaties/directives in the base case. The principal exposure is a substance challenge to Nordenvik BV (combined royalty WHT exposure ~EUR 0.65M/yr if treaties denied).</w:t>
            </w:r>
          </w:p>
        </w:tc>
      </w:tr>
      <w:tr>
        <w:tc>
          <w:tcPr>
            <w:tcW w:type="dxa" w:w="2016"/>
          </w:tcPr>
          <w:p>
            <w:pPr>
              <w:spacing w:after="40" w:before="40"/>
              <w:jc w:val="left"/>
            </w:pPr>
            <w:r/>
            <w:r>
              <w:rPr>
                <w:b/>
                <w:sz w:val="18"/>
              </w:rPr>
              <w:t>Tax attributes</w:t>
            </w:r>
          </w:p>
        </w:tc>
        <w:tc>
          <w:tcPr>
            <w:tcW w:type="dxa" w:w="7344"/>
          </w:tcPr>
          <w:p>
            <w:pPr>
              <w:spacing w:after="40" w:before="40"/>
              <w:jc w:val="center"/>
            </w:pPr>
            <w:r/>
            <w:r>
              <w:rPr>
                <w:b w:val="0"/>
                <w:sz w:val="18"/>
              </w:rPr>
              <w:t>Swedish NOLs of SEK 187M (DTA SEK 38.5M) survive the share deal. German loss carryforwards of EUR 24.0M (tax value EUR 3.8M) are forfeited under §8c KStG on closing, subject to the Stille Reserven exception, which has NOT yet been analyzed.</w:t>
            </w:r>
          </w:p>
        </w:tc>
      </w:tr>
      <w:tr>
        <w:tc>
          <w:tcPr>
            <w:tcW w:type="dxa" w:w="2016"/>
            <w:shd w:val="clear" w:color="auto" w:fill="EAF0FA"/>
          </w:tcPr>
          <w:p>
            <w:pPr>
              <w:spacing w:after="40" w:before="40"/>
              <w:jc w:val="left"/>
            </w:pPr>
            <w:r/>
            <w:r>
              <w:rPr>
                <w:b/>
                <w:sz w:val="18"/>
              </w:rPr>
              <w:t>Model corrections</w:t>
            </w:r>
          </w:p>
        </w:tc>
        <w:tc>
          <w:tcPr>
            <w:tcW w:type="dxa" w:w="7344"/>
            <w:shd w:val="clear" w:color="auto" w:fill="EAF0FA"/>
          </w:tcPr>
          <w:p>
            <w:pPr>
              <w:spacing w:after="40" w:before="40"/>
              <w:jc w:val="center"/>
            </w:pPr>
            <w:r/>
            <w:r>
              <w:rPr>
                <w:b w:val="0"/>
                <w:sz w:val="18"/>
              </w:rPr>
              <w:t>The financial model (Docs 4–5) contains two material errors that must be corrected before signing: (i) Singapore is modelled at a 5% Pioneer rate that expired 31 December 2023 (17% applies); and (ii) Swedish interest disallowance is shown as zero using consolidated EBITDA, whereas the entity-level standalone EBITDA applied by Swedish counsel produces a material annual disallowance. Both reduce projected IRR/MOIC and require re-underwriting.</w:t>
            </w:r>
          </w:p>
        </w:tc>
      </w:tr>
    </w:tbl>
    <w:p>
      <w:pPr>
        <w:spacing w:before="200" w:after="60"/>
      </w:pPr>
      <w:r>
        <w:rPr>
          <w:b/>
          <w:color w:val="2E5496"/>
          <w:sz w:val="23"/>
        </w:rPr>
        <w:t>1.3 Top priority risks (RAG)</w:t>
      </w:r>
    </w:p>
    <w:tbl>
      <w:tblPr>
        <w:tblStyle w:val="TableGrid"/>
        <w:tblW w:type="auto" w:w="0"/>
        <w:jc w:val="center"/>
        <w:tblLook w:firstColumn="1" w:firstRow="1" w:lastColumn="0" w:lastRow="0" w:noHBand="0" w:noVBand="1" w:val="04A0"/>
      </w:tblPr>
      <w:tblGrid>
        <w:gridCol w:w="3249"/>
        <w:gridCol w:w="3249"/>
        <w:gridCol w:w="3249"/>
      </w:tblGrid>
      <w:tr>
        <w:tc>
          <w:tcPr>
            <w:tcW w:type="dxa" w:w="2880"/>
            <w:shd w:val="clear" w:color="auto" w:fill="1F3864"/>
          </w:tcPr>
          <w:p>
            <w:pPr>
              <w:spacing w:after="40" w:before="40"/>
              <w:jc w:val="center"/>
            </w:pPr>
            <w:r/>
            <w:r>
              <w:rPr>
                <w:b/>
                <w:color w:val="FFFFFF"/>
                <w:sz w:val="18"/>
              </w:rPr>
              <w:t>Risk</w:t>
            </w:r>
          </w:p>
        </w:tc>
        <w:tc>
          <w:tcPr>
            <w:tcW w:type="dxa" w:w="5184"/>
            <w:shd w:val="clear" w:color="auto" w:fill="1F3864"/>
          </w:tcPr>
          <w:p>
            <w:pPr>
              <w:spacing w:after="40" w:before="40"/>
              <w:jc w:val="center"/>
            </w:pPr>
            <w:r/>
            <w:r>
              <w:rPr>
                <w:b/>
                <w:color w:val="FFFFFF"/>
                <w:sz w:val="18"/>
              </w:rPr>
              <w:t>Quantification / status</w:t>
            </w:r>
          </w:p>
        </w:tc>
        <w:tc>
          <w:tcPr>
            <w:tcW w:type="dxa" w:w="1296"/>
            <w:shd w:val="clear" w:color="auto" w:fill="1F3864"/>
          </w:tcPr>
          <w:p>
            <w:pPr>
              <w:spacing w:after="40" w:before="40"/>
              <w:jc w:val="center"/>
            </w:pPr>
            <w:r/>
            <w:r>
              <w:rPr>
                <w:b/>
                <w:color w:val="FFFFFF"/>
                <w:sz w:val="18"/>
              </w:rPr>
              <w:t>RAG</w:t>
            </w:r>
          </w:p>
        </w:tc>
      </w:tr>
      <w:tr>
        <w:tc>
          <w:tcPr>
            <w:tcW w:type="dxa" w:w="2880"/>
          </w:tcPr>
          <w:p>
            <w:pPr>
              <w:spacing w:after="40" w:before="40"/>
              <w:jc w:val="left"/>
            </w:pPr>
            <w:r/>
            <w:r>
              <w:rPr>
                <w:b/>
                <w:sz w:val="18"/>
              </w:rPr>
              <w:t>German §8c loss forfeiture</w:t>
            </w:r>
          </w:p>
        </w:tc>
        <w:tc>
          <w:tcPr>
            <w:tcW w:type="dxa" w:w="5184"/>
          </w:tcPr>
          <w:p>
            <w:pPr>
              <w:spacing w:after="40" w:before="40"/>
              <w:jc w:val="center"/>
            </w:pPr>
            <w:r/>
            <w:r>
              <w:rPr>
                <w:b w:val="0"/>
                <w:sz w:val="18"/>
              </w:rPr>
              <w:t>EUR 3.8M tax value; Stille Reserven analysis outstanding</w:t>
            </w:r>
          </w:p>
        </w:tc>
        <w:tc>
          <w:tcPr>
            <w:tcW w:type="dxa" w:w="1296"/>
            <w:shd w:val="clear" w:color="auto" w:fill="F8CBAD"/>
          </w:tcPr>
          <w:p>
            <w:pPr>
              <w:spacing w:after="40" w:before="40"/>
              <w:jc w:val="center"/>
            </w:pPr>
            <w:r/>
            <w:r>
              <w:rPr>
                <w:b w:val="0"/>
                <w:sz w:val="18"/>
              </w:rPr>
              <w:t>RED</w:t>
            </w:r>
          </w:p>
        </w:tc>
      </w:tr>
      <w:tr>
        <w:tc>
          <w:tcPr>
            <w:tcW w:type="dxa" w:w="2880"/>
            <w:shd w:val="clear" w:color="auto" w:fill="EAF0FA"/>
          </w:tcPr>
          <w:p>
            <w:pPr>
              <w:spacing w:after="40" w:before="40"/>
              <w:jc w:val="left"/>
            </w:pPr>
            <w:r/>
            <w:r>
              <w:rPr>
                <w:b/>
                <w:sz w:val="18"/>
              </w:rPr>
              <w:t>Singapore 5% model error</w:t>
            </w:r>
          </w:p>
        </w:tc>
        <w:tc>
          <w:tcPr>
            <w:tcW w:type="dxa" w:w="5184"/>
            <w:shd w:val="clear" w:color="auto" w:fill="EAF0FA"/>
          </w:tcPr>
          <w:p>
            <w:pPr>
              <w:spacing w:after="40" w:before="40"/>
              <w:jc w:val="center"/>
            </w:pPr>
            <w:r/>
            <w:r>
              <w:rPr>
                <w:b w:val="0"/>
                <w:sz w:val="18"/>
              </w:rPr>
              <w:t>Pioneer expired; 17% applies; IRR/MOIC overstated</w:t>
            </w:r>
          </w:p>
        </w:tc>
        <w:tc>
          <w:tcPr>
            <w:tcW w:type="dxa" w:w="1296"/>
            <w:shd w:val="clear" w:color="auto" w:fill="EAF0FA"/>
            <w:shd w:val="clear" w:color="auto" w:fill="F8CBAD"/>
          </w:tcPr>
          <w:p>
            <w:pPr>
              <w:spacing w:after="40" w:before="40"/>
              <w:jc w:val="center"/>
            </w:pPr>
            <w:r/>
            <w:r>
              <w:rPr>
                <w:b w:val="0"/>
                <w:sz w:val="18"/>
              </w:rPr>
              <w:t>RED</w:t>
            </w:r>
          </w:p>
        </w:tc>
      </w:tr>
      <w:tr>
        <w:tc>
          <w:tcPr>
            <w:tcW w:type="dxa" w:w="2880"/>
          </w:tcPr>
          <w:p>
            <w:pPr>
              <w:spacing w:after="40" w:before="40"/>
              <w:jc w:val="left"/>
            </w:pPr>
            <w:r/>
            <w:r>
              <w:rPr>
                <w:b/>
                <w:sz w:val="18"/>
              </w:rPr>
              <w:t>Swedish interest disallowance</w:t>
            </w:r>
          </w:p>
        </w:tc>
        <w:tc>
          <w:tcPr>
            <w:tcW w:type="dxa" w:w="5184"/>
          </w:tcPr>
          <w:p>
            <w:pPr>
              <w:spacing w:after="40" w:before="40"/>
              <w:jc w:val="center"/>
            </w:pPr>
            <w:r/>
            <w:r>
              <w:rPr>
                <w:b w:val="0"/>
                <w:sz w:val="18"/>
              </w:rPr>
              <w:t>SEK 22–34M/yr at risk if debt pushed to Sweden</w:t>
            </w:r>
          </w:p>
        </w:tc>
        <w:tc>
          <w:tcPr>
            <w:tcW w:type="dxa" w:w="1296"/>
            <w:shd w:val="clear" w:color="auto" w:fill="F8CBAD"/>
          </w:tcPr>
          <w:p>
            <w:pPr>
              <w:spacing w:after="40" w:before="40"/>
              <w:jc w:val="center"/>
            </w:pPr>
            <w:r/>
            <w:r>
              <w:rPr>
                <w:b w:val="0"/>
                <w:sz w:val="18"/>
              </w:rPr>
              <w:t>RED</w:t>
            </w:r>
          </w:p>
        </w:tc>
      </w:tr>
      <w:tr>
        <w:tc>
          <w:tcPr>
            <w:tcW w:type="dxa" w:w="2880"/>
            <w:shd w:val="clear" w:color="auto" w:fill="EAF0FA"/>
          </w:tcPr>
          <w:p>
            <w:pPr>
              <w:spacing w:after="40" w:before="40"/>
              <w:jc w:val="left"/>
            </w:pPr>
            <w:r/>
            <w:r>
              <w:rPr>
                <w:b/>
                <w:sz w:val="18"/>
              </w:rPr>
              <w:t>Nordenvik BV substance / DEMPE</w:t>
            </w:r>
          </w:p>
        </w:tc>
        <w:tc>
          <w:tcPr>
            <w:tcW w:type="dxa" w:w="5184"/>
            <w:shd w:val="clear" w:color="auto" w:fill="EAF0FA"/>
          </w:tcPr>
          <w:p>
            <w:pPr>
              <w:spacing w:after="40" w:before="40"/>
              <w:jc w:val="center"/>
            </w:pPr>
            <w:r/>
            <w:r>
              <w:rPr>
                <w:b w:val="0"/>
                <w:sz w:val="18"/>
              </w:rPr>
              <w:t>Participation exemption, treaty benefits, fiscal unity, IP-box all at risk</w:t>
            </w:r>
          </w:p>
        </w:tc>
        <w:tc>
          <w:tcPr>
            <w:tcW w:type="dxa" w:w="1296"/>
            <w:shd w:val="clear" w:color="auto" w:fill="EAF0FA"/>
            <w:shd w:val="clear" w:color="auto" w:fill="FFE699"/>
          </w:tcPr>
          <w:p>
            <w:pPr>
              <w:spacing w:after="40" w:before="40"/>
              <w:jc w:val="center"/>
            </w:pPr>
            <w:r/>
            <w:r>
              <w:rPr>
                <w:b w:val="0"/>
                <w:sz w:val="18"/>
              </w:rPr>
              <w:t>AMBER</w:t>
            </w:r>
          </w:p>
        </w:tc>
      </w:tr>
      <w:tr>
        <w:tc>
          <w:tcPr>
            <w:tcW w:type="dxa" w:w="2880"/>
          </w:tcPr>
          <w:p>
            <w:pPr>
              <w:spacing w:after="40" w:before="40"/>
              <w:jc w:val="left"/>
            </w:pPr>
            <w:r/>
            <w:r>
              <w:rPr>
                <w:b/>
                <w:sz w:val="18"/>
              </w:rPr>
              <w:t>German Zinsschranke + GewSt add-back</w:t>
            </w:r>
          </w:p>
        </w:tc>
        <w:tc>
          <w:tcPr>
            <w:tcW w:type="dxa" w:w="5184"/>
          </w:tcPr>
          <w:p>
            <w:pPr>
              <w:spacing w:after="40" w:before="40"/>
              <w:jc w:val="center"/>
            </w:pPr>
            <w:r/>
            <w:r>
              <w:rPr>
                <w:b w:val="0"/>
                <w:sz w:val="18"/>
              </w:rPr>
              <w:t>~EUR 0.35M/yr recurring; structural</w:t>
            </w:r>
          </w:p>
        </w:tc>
        <w:tc>
          <w:tcPr>
            <w:tcW w:type="dxa" w:w="1296"/>
            <w:shd w:val="clear" w:color="auto" w:fill="FFE699"/>
          </w:tcPr>
          <w:p>
            <w:pPr>
              <w:spacing w:after="40" w:before="40"/>
              <w:jc w:val="center"/>
            </w:pPr>
            <w:r/>
            <w:r>
              <w:rPr>
                <w:b w:val="0"/>
                <w:sz w:val="18"/>
              </w:rPr>
              <w:t>AMBER</w:t>
            </w:r>
          </w:p>
        </w:tc>
      </w:tr>
      <w:tr>
        <w:tc>
          <w:tcPr>
            <w:tcW w:type="dxa" w:w="2880"/>
            <w:shd w:val="clear" w:color="auto" w:fill="EAF0FA"/>
          </w:tcPr>
          <w:p>
            <w:pPr>
              <w:spacing w:after="40" w:before="40"/>
              <w:jc w:val="left"/>
            </w:pPr>
            <w:r/>
            <w:r>
              <w:rPr>
                <w:b/>
                <w:sz w:val="18"/>
              </w:rPr>
              <w:t>German tax audit FY19-21</w:t>
            </w:r>
          </w:p>
        </w:tc>
        <w:tc>
          <w:tcPr>
            <w:tcW w:type="dxa" w:w="5184"/>
            <w:shd w:val="clear" w:color="auto" w:fill="EAF0FA"/>
          </w:tcPr>
          <w:p>
            <w:pPr>
              <w:spacing w:after="40" w:before="40"/>
              <w:jc w:val="center"/>
            </w:pPr>
            <w:r/>
            <w:r>
              <w:rPr>
                <w:b w:val="0"/>
                <w:sz w:val="18"/>
              </w:rPr>
              <w:t>EUR 2.4M contingent; under appeal; RWI-excluded</w:t>
            </w:r>
          </w:p>
        </w:tc>
        <w:tc>
          <w:tcPr>
            <w:tcW w:type="dxa" w:w="1296"/>
            <w:shd w:val="clear" w:color="auto" w:fill="EAF0FA"/>
            <w:shd w:val="clear" w:color="auto" w:fill="FFE699"/>
          </w:tcPr>
          <w:p>
            <w:pPr>
              <w:spacing w:after="40" w:before="40"/>
              <w:jc w:val="center"/>
            </w:pPr>
            <w:r/>
            <w:r>
              <w:rPr>
                <w:b w:val="0"/>
                <w:sz w:val="18"/>
              </w:rPr>
              <w:t>AMBER</w:t>
            </w:r>
          </w:p>
        </w:tc>
      </w:tr>
      <w:tr>
        <w:tc>
          <w:tcPr>
            <w:tcW w:type="dxa" w:w="2880"/>
          </w:tcPr>
          <w:p>
            <w:pPr>
              <w:spacing w:after="40" w:before="40"/>
              <w:jc w:val="left"/>
            </w:pPr>
            <w:r/>
            <w:r>
              <w:rPr>
                <w:b/>
                <w:sz w:val="18"/>
              </w:rPr>
              <w:t>DAC6 reporting</w:t>
            </w:r>
          </w:p>
        </w:tc>
        <w:tc>
          <w:tcPr>
            <w:tcW w:type="dxa" w:w="5184"/>
          </w:tcPr>
          <w:p>
            <w:pPr>
              <w:spacing w:after="40" w:before="40"/>
              <w:jc w:val="center"/>
            </w:pPr>
            <w:r/>
            <w:r>
              <w:rPr>
                <w:b w:val="0"/>
                <w:sz w:val="18"/>
              </w:rPr>
              <w:t>Analysis incomplete (Hallmarks D/E not assessed)</w:t>
            </w:r>
          </w:p>
        </w:tc>
        <w:tc>
          <w:tcPr>
            <w:tcW w:type="dxa" w:w="1296"/>
            <w:shd w:val="clear" w:color="auto" w:fill="FFE699"/>
          </w:tcPr>
          <w:p>
            <w:pPr>
              <w:spacing w:after="40" w:before="40"/>
              <w:jc w:val="center"/>
            </w:pPr>
            <w:r/>
            <w:r>
              <w:rPr>
                <w:b w:val="0"/>
                <w:sz w:val="18"/>
              </w:rPr>
              <w:t>AMBER</w:t>
            </w:r>
          </w:p>
        </w:tc>
      </w:tr>
      <w:tr>
        <w:tc>
          <w:tcPr>
            <w:tcW w:type="dxa" w:w="2880"/>
            <w:shd w:val="clear" w:color="auto" w:fill="EAF0FA"/>
          </w:tcPr>
          <w:p>
            <w:pPr>
              <w:spacing w:after="40" w:before="40"/>
              <w:jc w:val="left"/>
            </w:pPr>
            <w:r/>
            <w:r>
              <w:rPr>
                <w:b/>
                <w:sz w:val="18"/>
              </w:rPr>
              <w:t>Step 5 merger §22 UmwStG lock-up</w:t>
            </w:r>
          </w:p>
        </w:tc>
        <w:tc>
          <w:tcPr>
            <w:tcW w:type="dxa" w:w="5184"/>
            <w:shd w:val="clear" w:color="auto" w:fill="EAF0FA"/>
          </w:tcPr>
          <w:p>
            <w:pPr>
              <w:spacing w:after="40" w:before="40"/>
              <w:jc w:val="center"/>
            </w:pPr>
            <w:r/>
            <w:r>
              <w:rPr>
                <w:b w:val="0"/>
                <w:sz w:val="18"/>
              </w:rPr>
              <w:t>5-yr lock-up; early exit &lt;2030 risks EUR 26–33M</w:t>
            </w:r>
          </w:p>
        </w:tc>
        <w:tc>
          <w:tcPr>
            <w:tcW w:type="dxa" w:w="1296"/>
            <w:shd w:val="clear" w:color="auto" w:fill="EAF0FA"/>
            <w:shd w:val="clear" w:color="auto" w:fill="FFE699"/>
          </w:tcPr>
          <w:p>
            <w:pPr>
              <w:spacing w:after="40" w:before="40"/>
              <w:jc w:val="center"/>
            </w:pPr>
            <w:r/>
            <w:r>
              <w:rPr>
                <w:b w:val="0"/>
                <w:sz w:val="18"/>
              </w:rPr>
              <w:t>AMBER</w:t>
            </w:r>
          </w:p>
        </w:tc>
      </w:tr>
      <w:tr>
        <w:tc>
          <w:tcPr>
            <w:tcW w:type="dxa" w:w="2880"/>
          </w:tcPr>
          <w:p>
            <w:pPr>
              <w:spacing w:after="40" w:before="40"/>
              <w:jc w:val="left"/>
            </w:pPr>
            <w:r/>
            <w:r>
              <w:rPr>
                <w:b/>
                <w:sz w:val="18"/>
              </w:rPr>
              <w:t>Pillar Two (GloBE)</w:t>
            </w:r>
          </w:p>
        </w:tc>
        <w:tc>
          <w:tcPr>
            <w:tcW w:type="dxa" w:w="5184"/>
          </w:tcPr>
          <w:p>
            <w:pPr>
              <w:spacing w:after="40" w:before="40"/>
              <w:jc w:val="center"/>
            </w:pPr>
            <w:r/>
            <w:r>
              <w:rPr>
                <w:b w:val="0"/>
                <w:sz w:val="18"/>
              </w:rPr>
              <w:t>Out of scope now; top-up ~EUR 1.21M if €750M crossed</w:t>
            </w:r>
          </w:p>
        </w:tc>
        <w:tc>
          <w:tcPr>
            <w:tcW w:type="dxa" w:w="1296"/>
            <w:shd w:val="clear" w:color="auto" w:fill="C6E0B4"/>
          </w:tcPr>
          <w:p>
            <w:pPr>
              <w:spacing w:after="40" w:before="40"/>
              <w:jc w:val="center"/>
            </w:pPr>
            <w:r/>
            <w:r>
              <w:rPr>
                <w:b w:val="0"/>
                <w:sz w:val="18"/>
              </w:rPr>
              <w:t>GREEN (monitor)</w:t>
            </w:r>
          </w:p>
        </w:tc>
      </w:tr>
    </w:tbl>
    <w:p/>
    <w:p>
      <w:pPr>
        <w:spacing w:before="280" w:after="80"/>
        <w:keepNext/>
        <w:pBdr>
          <w:bottom w:val="single" w:sz="6" w:space="2" w:color="1F3864"/>
        </w:pBdr>
      </w:pPr>
      <w:r>
        <w:rPr>
          <w:b/>
          <w:color w:val="1F3864"/>
          <w:sz w:val="26"/>
        </w:rPr>
        <w:t>2. Transaction and Structure</w:t>
      </w:r>
    </w:p>
    <w:p>
      <w:pPr>
        <w:keepNext/>
        <w:spacing w:before="200" w:after="60"/>
      </w:pPr>
      <w:r>
        <w:rPr>
          <w:b/>
          <w:color w:val="2E5496"/>
          <w:sz w:val="23"/>
        </w:rPr>
        <w:t>2.1 Transaction terms</w:t>
      </w:r>
    </w:p>
    <w:tbl>
      <w:tblPr>
        <w:tblStyle w:val="TableGrid"/>
        <w:tblW w:type="auto" w:w="0"/>
        <w:jc w:val="center"/>
        <w:tblLook w:firstColumn="1" w:firstRow="1" w:lastColumn="0" w:lastRow="0" w:noHBand="0" w:noVBand="1" w:val="04A0"/>
      </w:tblPr>
      <w:tblGrid>
        <w:gridCol w:w="4873"/>
        <w:gridCol w:w="4873"/>
      </w:tblGrid>
      <w:tr>
        <w:tc>
          <w:tcPr>
            <w:tcW w:type="dxa" w:w="2160"/>
            <w:shd w:val="clear" w:color="auto" w:fill="1F3864"/>
          </w:tcPr>
          <w:p>
            <w:pPr>
              <w:spacing w:after="40" w:before="40"/>
              <w:jc w:val="center"/>
            </w:pPr>
            <w:r/>
            <w:r>
              <w:rPr>
                <w:b/>
                <w:color w:val="FFFFFF"/>
                <w:sz w:val="18"/>
              </w:rPr>
              <w:t>Term</w:t>
            </w:r>
          </w:p>
        </w:tc>
        <w:tc>
          <w:tcPr>
            <w:tcW w:type="dxa" w:w="7200"/>
            <w:shd w:val="clear" w:color="auto" w:fill="1F3864"/>
          </w:tcPr>
          <w:p>
            <w:pPr>
              <w:spacing w:after="40" w:before="40"/>
              <w:jc w:val="center"/>
            </w:pPr>
            <w:r/>
            <w:r>
              <w:rPr>
                <w:b/>
                <w:color w:val="FFFFFF"/>
                <w:sz w:val="18"/>
              </w:rPr>
              <w:t>Detail</w:t>
            </w:r>
          </w:p>
        </w:tc>
      </w:tr>
      <w:tr>
        <w:tc>
          <w:tcPr>
            <w:tcW w:type="dxa" w:w="2160"/>
          </w:tcPr>
          <w:p>
            <w:pPr>
              <w:spacing w:after="40" w:before="40"/>
              <w:jc w:val="left"/>
            </w:pPr>
            <w:r/>
            <w:r>
              <w:rPr>
                <w:b/>
                <w:sz w:val="18"/>
              </w:rPr>
              <w:t>Acquirer</w:t>
            </w:r>
          </w:p>
        </w:tc>
        <w:tc>
          <w:tcPr>
            <w:tcW w:type="dxa" w:w="7200"/>
          </w:tcPr>
          <w:p>
            <w:pPr>
              <w:spacing w:after="40" w:before="40"/>
              <w:jc w:val="center"/>
            </w:pPr>
            <w:r/>
            <w:r>
              <w:rPr>
                <w:b w:val="0"/>
                <w:sz w:val="18"/>
              </w:rPr>
              <w:t>Meridian Capital Partners IV, L.P. (Delaware LP), through MCP HoldCo S.à r.l. (LU) and MCP BidCo BV (NL)</w:t>
            </w:r>
          </w:p>
        </w:tc>
      </w:tr>
      <w:tr>
        <w:tc>
          <w:tcPr>
            <w:tcW w:type="dxa" w:w="2160"/>
            <w:shd w:val="clear" w:color="auto" w:fill="EAF0FA"/>
          </w:tcPr>
          <w:p>
            <w:pPr>
              <w:spacing w:after="40" w:before="40"/>
              <w:jc w:val="left"/>
            </w:pPr>
            <w:r/>
            <w:r>
              <w:rPr>
                <w:b/>
                <w:sz w:val="18"/>
              </w:rPr>
              <w:t>Target</w:t>
            </w:r>
          </w:p>
        </w:tc>
        <w:tc>
          <w:tcPr>
            <w:tcW w:type="dxa" w:w="7200"/>
            <w:shd w:val="clear" w:color="auto" w:fill="EAF0FA"/>
          </w:tcPr>
          <w:p>
            <w:pPr>
              <w:spacing w:after="40" w:before="40"/>
              <w:jc w:val="center"/>
            </w:pPr>
            <w:r/>
            <w:r>
              <w:rPr>
                <w:b w:val="0"/>
                <w:sz w:val="18"/>
              </w:rPr>
              <w:t>Nordenvik Group AB (Sweden, reg. 556812-4471) — 100% share acquisition (share deal)</w:t>
            </w:r>
          </w:p>
        </w:tc>
      </w:tr>
      <w:tr>
        <w:tc>
          <w:tcPr>
            <w:tcW w:type="dxa" w:w="2160"/>
          </w:tcPr>
          <w:p>
            <w:pPr>
              <w:spacing w:after="40" w:before="40"/>
              <w:jc w:val="left"/>
            </w:pPr>
            <w:r/>
            <w:r>
              <w:rPr>
                <w:b/>
                <w:sz w:val="18"/>
              </w:rPr>
              <w:t>Sellers</w:t>
            </w:r>
          </w:p>
        </w:tc>
        <w:tc>
          <w:tcPr>
            <w:tcW w:type="dxa" w:w="7200"/>
          </w:tcPr>
          <w:p>
            <w:pPr>
              <w:spacing w:after="40" w:before="40"/>
              <w:jc w:val="center"/>
            </w:pPr>
            <w:r/>
            <w:r>
              <w:rPr>
                <w:b w:val="0"/>
                <w:sz w:val="18"/>
              </w:rPr>
              <w:t>Nordenvik Holding GmbH (60%); Lindqvist Family Trust (28%); Employee Stock Pool AB (12%)</w:t>
            </w:r>
          </w:p>
        </w:tc>
      </w:tr>
      <w:tr>
        <w:tc>
          <w:tcPr>
            <w:tcW w:type="dxa" w:w="2160"/>
            <w:shd w:val="clear" w:color="auto" w:fill="EAF0FA"/>
          </w:tcPr>
          <w:p>
            <w:pPr>
              <w:spacing w:after="40" w:before="40"/>
              <w:jc w:val="left"/>
            </w:pPr>
            <w:r/>
            <w:r>
              <w:rPr>
                <w:b/>
                <w:sz w:val="18"/>
              </w:rPr>
              <w:t>Enterprise value</w:t>
            </w:r>
          </w:p>
        </w:tc>
        <w:tc>
          <w:tcPr>
            <w:tcW w:type="dxa" w:w="7200"/>
            <w:shd w:val="clear" w:color="auto" w:fill="EAF0FA"/>
          </w:tcPr>
          <w:p>
            <w:pPr>
              <w:spacing w:after="40" w:before="40"/>
              <w:jc w:val="center"/>
            </w:pPr>
            <w:r/>
            <w:r>
              <w:rPr>
                <w:b w:val="0"/>
                <w:sz w:val="18"/>
              </w:rPr>
              <w:t>EUR 285.0 million</w:t>
            </w:r>
          </w:p>
        </w:tc>
      </w:tr>
      <w:tr>
        <w:tc>
          <w:tcPr>
            <w:tcW w:type="dxa" w:w="2160"/>
          </w:tcPr>
          <w:p>
            <w:pPr>
              <w:spacing w:after="40" w:before="40"/>
              <w:jc w:val="left"/>
            </w:pPr>
            <w:r/>
            <w:r>
              <w:rPr>
                <w:b/>
                <w:sz w:val="18"/>
              </w:rPr>
              <w:t>Equity value</w:t>
            </w:r>
          </w:p>
        </w:tc>
        <w:tc>
          <w:tcPr>
            <w:tcW w:type="dxa" w:w="7200"/>
          </w:tcPr>
          <w:p>
            <w:pPr>
              <w:spacing w:after="40" w:before="40"/>
              <w:jc w:val="center"/>
            </w:pPr>
            <w:r/>
            <w:r>
              <w:rPr>
                <w:b w:val="0"/>
                <w:sz w:val="18"/>
              </w:rPr>
              <w:t>EUR 223.0 million</w:t>
            </w:r>
          </w:p>
        </w:tc>
      </w:tr>
      <w:tr>
        <w:tc>
          <w:tcPr>
            <w:tcW w:type="dxa" w:w="2160"/>
            <w:shd w:val="clear" w:color="auto" w:fill="EAF0FA"/>
          </w:tcPr>
          <w:p>
            <w:pPr>
              <w:spacing w:after="40" w:before="40"/>
              <w:jc w:val="left"/>
            </w:pPr>
            <w:r/>
            <w:r>
              <w:rPr>
                <w:b/>
                <w:sz w:val="18"/>
              </w:rPr>
              <w:t>Locked-box date</w:t>
            </w:r>
          </w:p>
        </w:tc>
        <w:tc>
          <w:tcPr>
            <w:tcW w:type="dxa" w:w="7200"/>
            <w:shd w:val="clear" w:color="auto" w:fill="EAF0FA"/>
          </w:tcPr>
          <w:p>
            <w:pPr>
              <w:spacing w:after="40" w:before="40"/>
              <w:jc w:val="center"/>
            </w:pPr>
            <w:r/>
            <w:r>
              <w:rPr>
                <w:b w:val="0"/>
                <w:sz w:val="18"/>
              </w:rPr>
              <w:t>30 June 2024</w:t>
            </w:r>
          </w:p>
        </w:tc>
      </w:tr>
      <w:tr>
        <w:tc>
          <w:tcPr>
            <w:tcW w:type="dxa" w:w="2160"/>
          </w:tcPr>
          <w:p>
            <w:pPr>
              <w:spacing w:after="40" w:before="40"/>
              <w:jc w:val="left"/>
            </w:pPr>
            <w:r/>
            <w:r>
              <w:rPr>
                <w:b/>
                <w:sz w:val="18"/>
              </w:rPr>
              <w:t>Closing target</w:t>
            </w:r>
          </w:p>
        </w:tc>
        <w:tc>
          <w:tcPr>
            <w:tcW w:type="dxa" w:w="7200"/>
          </w:tcPr>
          <w:p>
            <w:pPr>
              <w:spacing w:after="40" w:before="40"/>
              <w:jc w:val="center"/>
            </w:pPr>
            <w:r/>
            <w:r>
              <w:rPr>
                <w:b w:val="0"/>
                <w:sz w:val="18"/>
              </w:rPr>
              <w:t>31 March 2025</w:t>
            </w:r>
          </w:p>
        </w:tc>
      </w:tr>
      <w:tr>
        <w:tc>
          <w:tcPr>
            <w:tcW w:type="dxa" w:w="2160"/>
            <w:shd w:val="clear" w:color="auto" w:fill="EAF0FA"/>
          </w:tcPr>
          <w:p>
            <w:pPr>
              <w:spacing w:after="40" w:before="40"/>
              <w:jc w:val="left"/>
            </w:pPr>
            <w:r/>
            <w:r>
              <w:rPr>
                <w:b/>
                <w:sz w:val="18"/>
              </w:rPr>
              <w:t>Consideration</w:t>
            </w:r>
          </w:p>
        </w:tc>
        <w:tc>
          <w:tcPr>
            <w:tcW w:type="dxa" w:w="7200"/>
            <w:shd w:val="clear" w:color="auto" w:fill="EAF0FA"/>
          </w:tcPr>
          <w:p>
            <w:pPr>
              <w:spacing w:after="40" w:before="40"/>
              <w:jc w:val="center"/>
            </w:pPr>
            <w:r/>
            <w:r>
              <w:rPr>
                <w:b w:val="0"/>
                <w:sz w:val="18"/>
              </w:rPr>
              <w:t>Cash; locked-box mechanism with customary leakage protections</w:t>
            </w:r>
          </w:p>
        </w:tc>
      </w:tr>
      <w:tr>
        <w:tc>
          <w:tcPr>
            <w:tcW w:type="dxa" w:w="2160"/>
          </w:tcPr>
          <w:p>
            <w:pPr>
              <w:spacing w:after="40" w:before="40"/>
              <w:jc w:val="left"/>
            </w:pPr>
            <w:r/>
            <w:r>
              <w:rPr>
                <w:b/>
                <w:sz w:val="18"/>
              </w:rPr>
              <w:t>Hold thesis</w:t>
            </w:r>
          </w:p>
        </w:tc>
        <w:tc>
          <w:tcPr>
            <w:tcW w:type="dxa" w:w="7200"/>
          </w:tcPr>
          <w:p>
            <w:pPr>
              <w:spacing w:after="40" w:before="40"/>
              <w:jc w:val="center"/>
            </w:pPr>
            <w:r/>
            <w:r>
              <w:rPr>
                <w:b w:val="0"/>
                <w:sz w:val="18"/>
              </w:rPr>
              <w:t>~5-year hold; target exit 2030 via IPO or strategic sale</w:t>
            </w:r>
          </w:p>
        </w:tc>
      </w:tr>
    </w:tbl>
    <w:p>
      <w:pPr>
        <w:spacing w:before="200" w:after="60"/>
      </w:pPr>
      <w:r>
        <w:rPr>
          <w:b/>
          <w:color w:val="2E5496"/>
          <w:sz w:val="23"/>
        </w:rPr>
        <w:t>2.2 Financing</w:t>
      </w:r>
    </w:p>
    <w:p>
      <w:pPr>
        <w:spacing w:after="120"/>
        <w:jc w:val="both"/>
      </w:pPr>
      <w:r>
        <w:rPr>
          <w:b w:val="0"/>
          <w:i w:val="0"/>
          <w:sz w:val="21"/>
        </w:rPr>
        <w:t>The acquisition is funded with EUR 68.0 million of sponsor equity, EUR 2.0 million of transaction fees, and a EUR 155.0 million senior secured Term Loan B facility (EURIBOR + 425 bps, 7-year tenor, 1% annual amortization years 1–6, bullet in year 7), provided by a Barclays/Goldman Sachs syndicate (Doc 21). Estimated Year 1 interest expense is approximately EUR 10.7 million (blended rate ~6.9%). An EURIBOR cap at a 4.50% strike is purchased; it is out-of-the-money under the forward curve. The Borrower intends to on-lend a portion of the Facility to the Target via an intercompany loan — the placement of this debt is the single most important tax structuring decision and is addressed in Section 4.</w:t>
      </w:r>
    </w:p>
    <w:p>
      <w:pPr>
        <w:spacing w:before="200" w:after="60"/>
      </w:pPr>
      <w:r>
        <w:rPr>
          <w:b/>
          <w:color w:val="2E5496"/>
          <w:sz w:val="23"/>
        </w:rPr>
        <w:t>2.3 Post-acquisition structure (recommended)</w:t>
      </w:r>
    </w:p>
    <w:p>
      <w:pPr>
        <w:spacing w:after="120"/>
        <w:jc w:val="both"/>
      </w:pPr>
      <w:r>
        <w:rPr>
          <w:b w:val="0"/>
          <w:i w:val="0"/>
          <w:sz w:val="21"/>
        </w:rPr>
        <w:t>The recommended structure, reading top-to-bottom:</w:t>
      </w:r>
    </w:p>
    <w:tbl>
      <w:tblPr>
        <w:tblStyle w:val="TableGrid"/>
        <w:tblW w:type="auto" w:w="0"/>
        <w:jc w:val="center"/>
        <w:tblLook w:firstColumn="1" w:firstRow="1" w:lastColumn="0" w:lastRow="0" w:noHBand="0" w:noVBand="1" w:val="04A0"/>
      </w:tblPr>
      <w:tblGrid>
        <w:gridCol w:w="3249"/>
        <w:gridCol w:w="3249"/>
        <w:gridCol w:w="3249"/>
      </w:tblGrid>
      <w:tr>
        <w:tc>
          <w:tcPr>
            <w:tcW w:type="dxa" w:w="1008"/>
            <w:shd w:val="clear" w:color="auto" w:fill="1F3864"/>
          </w:tcPr>
          <w:p>
            <w:pPr>
              <w:spacing w:after="40" w:before="40"/>
              <w:jc w:val="center"/>
            </w:pPr>
            <w:r/>
            <w:r>
              <w:rPr>
                <w:b/>
                <w:color w:val="FFFFFF"/>
                <w:sz w:val="18"/>
              </w:rPr>
              <w:t>Level</w:t>
            </w:r>
          </w:p>
        </w:tc>
        <w:tc>
          <w:tcPr>
            <w:tcW w:type="dxa" w:w="2880"/>
            <w:shd w:val="clear" w:color="auto" w:fill="1F3864"/>
          </w:tcPr>
          <w:p>
            <w:pPr>
              <w:spacing w:after="40" w:before="40"/>
              <w:jc w:val="center"/>
            </w:pPr>
            <w:r/>
            <w:r>
              <w:rPr>
                <w:b/>
                <w:color w:val="FFFFFF"/>
                <w:sz w:val="18"/>
              </w:rPr>
              <w:t>Entity</w:t>
            </w:r>
          </w:p>
        </w:tc>
        <w:tc>
          <w:tcPr>
            <w:tcW w:type="dxa" w:w="5472"/>
            <w:shd w:val="clear" w:color="auto" w:fill="1F3864"/>
          </w:tcPr>
          <w:p>
            <w:pPr>
              <w:spacing w:after="40" w:before="40"/>
              <w:jc w:val="center"/>
            </w:pPr>
            <w:r/>
            <w:r>
              <w:rPr>
                <w:b/>
                <w:color w:val="FFFFFF"/>
                <w:sz w:val="18"/>
              </w:rPr>
              <w:t>Tax profile / role</w:t>
            </w:r>
          </w:p>
        </w:tc>
      </w:tr>
      <w:tr>
        <w:tc>
          <w:tcPr>
            <w:tcW w:type="dxa" w:w="1008"/>
          </w:tcPr>
          <w:p>
            <w:pPr>
              <w:spacing w:after="40" w:before="40"/>
              <w:jc w:val="left"/>
            </w:pPr>
            <w:r/>
            <w:r>
              <w:rPr>
                <w:b/>
                <w:sz w:val="18"/>
              </w:rPr>
              <w:t>Level 1</w:t>
            </w:r>
          </w:p>
        </w:tc>
        <w:tc>
          <w:tcPr>
            <w:tcW w:type="dxa" w:w="2880"/>
          </w:tcPr>
          <w:p>
            <w:pPr>
              <w:spacing w:after="40" w:before="40"/>
              <w:jc w:val="center"/>
            </w:pPr>
            <w:r/>
            <w:r>
              <w:rPr>
                <w:b w:val="0"/>
                <w:sz w:val="18"/>
              </w:rPr>
              <w:t>Meridian Capital Partners IV, L.P. (Delaware LP)</w:t>
            </w:r>
          </w:p>
        </w:tc>
        <w:tc>
          <w:tcPr>
            <w:tcW w:type="dxa" w:w="5472"/>
          </w:tcPr>
          <w:p>
            <w:pPr>
              <w:spacing w:after="40" w:before="40"/>
              <w:jc w:val="center"/>
            </w:pPr>
            <w:r/>
            <w:r>
              <w:rPr>
                <w:b w:val="0"/>
                <w:sz w:val="18"/>
              </w:rPr>
              <w:t>Pass-through; LP mix: 42% US tax-exempt, 18% US taxable, 40% non-US (Cayman 25%, Luxembourg 15%). LP composition relevant to ECI/UBTI and to justifying the Luxembourg layer.</w:t>
            </w:r>
          </w:p>
        </w:tc>
      </w:tr>
      <w:tr>
        <w:tc>
          <w:tcPr>
            <w:tcW w:type="dxa" w:w="1008"/>
            <w:shd w:val="clear" w:color="auto" w:fill="EAF0FA"/>
          </w:tcPr>
          <w:p>
            <w:pPr>
              <w:spacing w:after="40" w:before="40"/>
              <w:jc w:val="left"/>
            </w:pPr>
            <w:r/>
            <w:r>
              <w:rPr>
                <w:b/>
                <w:sz w:val="18"/>
              </w:rPr>
              <w:t>Level 2</w:t>
            </w:r>
          </w:p>
        </w:tc>
        <w:tc>
          <w:tcPr>
            <w:tcW w:type="dxa" w:w="2880"/>
            <w:shd w:val="clear" w:color="auto" w:fill="EAF0FA"/>
          </w:tcPr>
          <w:p>
            <w:pPr>
              <w:spacing w:after="40" w:before="40"/>
              <w:jc w:val="center"/>
            </w:pPr>
            <w:r/>
            <w:r>
              <w:rPr>
                <w:b w:val="0"/>
                <w:sz w:val="18"/>
              </w:rPr>
              <w:t>MCP HoldCo S.à r.l. (Luxembourg)</w:t>
            </w:r>
          </w:p>
        </w:tc>
        <w:tc>
          <w:tcPr>
            <w:tcW w:type="dxa" w:w="5472"/>
            <w:shd w:val="clear" w:color="auto" w:fill="EAF0FA"/>
          </w:tcPr>
          <w:p>
            <w:pPr>
              <w:spacing w:after="40" w:before="40"/>
              <w:jc w:val="center"/>
            </w:pPr>
            <w:r/>
            <w:r>
              <w:rPr>
                <w:b w:val="0"/>
                <w:sz w:val="18"/>
              </w:rPr>
              <w:t>0% effective holding-level tax under Art. 166 LIR participation exemption; 0% WHT on distributions to the Fund. Substance: ≥2 LU-resident directors, quarterly LU board meetings, registered office.</w:t>
            </w:r>
          </w:p>
        </w:tc>
      </w:tr>
      <w:tr>
        <w:tc>
          <w:tcPr>
            <w:tcW w:type="dxa" w:w="1008"/>
          </w:tcPr>
          <w:p>
            <w:pPr>
              <w:spacing w:after="40" w:before="40"/>
              <w:jc w:val="left"/>
            </w:pPr>
            <w:r/>
            <w:r>
              <w:rPr>
                <w:b/>
                <w:sz w:val="18"/>
              </w:rPr>
              <w:t>Level 3</w:t>
            </w:r>
          </w:p>
        </w:tc>
        <w:tc>
          <w:tcPr>
            <w:tcW w:type="dxa" w:w="2880"/>
          </w:tcPr>
          <w:p>
            <w:pPr>
              <w:spacing w:after="40" w:before="40"/>
              <w:jc w:val="center"/>
            </w:pPr>
            <w:r/>
            <w:r>
              <w:rPr>
                <w:b w:val="0"/>
                <w:sz w:val="18"/>
              </w:rPr>
              <w:t>MCP BidCo BV (Netherlands)</w:t>
            </w:r>
          </w:p>
        </w:tc>
        <w:tc>
          <w:tcPr>
            <w:tcW w:type="dxa" w:w="5472"/>
          </w:tcPr>
          <w:p>
            <w:pPr>
              <w:spacing w:after="40" w:before="40"/>
              <w:jc w:val="center"/>
            </w:pPr>
            <w:r/>
            <w:r>
              <w:rPr>
                <w:b w:val="0"/>
                <w:sz w:val="18"/>
              </w:rPr>
              <w:t>25.8% CIT; 0% dividend WHT up to HoldCo (EU PSD / NL-LU treaty). Borrower under TLB. Forms fiscal unity with Nordenvik BV.</w:t>
            </w:r>
          </w:p>
        </w:tc>
      </w:tr>
      <w:tr>
        <w:tc>
          <w:tcPr>
            <w:tcW w:type="dxa" w:w="1008"/>
            <w:shd w:val="clear" w:color="auto" w:fill="EAF0FA"/>
          </w:tcPr>
          <w:p>
            <w:pPr>
              <w:spacing w:after="40" w:before="40"/>
              <w:jc w:val="left"/>
            </w:pPr>
            <w:r/>
            <w:r>
              <w:rPr>
                <w:b/>
                <w:sz w:val="18"/>
              </w:rPr>
              <w:t>Level 4</w:t>
            </w:r>
          </w:p>
        </w:tc>
        <w:tc>
          <w:tcPr>
            <w:tcW w:type="dxa" w:w="2880"/>
            <w:shd w:val="clear" w:color="auto" w:fill="EAF0FA"/>
          </w:tcPr>
          <w:p>
            <w:pPr>
              <w:spacing w:after="40" w:before="40"/>
              <w:jc w:val="center"/>
            </w:pPr>
            <w:r/>
            <w:r>
              <w:rPr>
                <w:b w:val="0"/>
                <w:sz w:val="18"/>
              </w:rPr>
              <w:t>Nordenvik Group AB (Sweden)</w:t>
            </w:r>
          </w:p>
        </w:tc>
        <w:tc>
          <w:tcPr>
            <w:tcW w:type="dxa" w:w="5472"/>
            <w:shd w:val="clear" w:color="auto" w:fill="EAF0FA"/>
          </w:tcPr>
          <w:p>
            <w:pPr>
              <w:spacing w:after="40" w:before="40"/>
              <w:jc w:val="center"/>
            </w:pPr>
            <w:r/>
            <w:r>
              <w:rPr>
                <w:b w:val="0"/>
                <w:sz w:val="18"/>
              </w:rPr>
              <w:t>20.6% CIT; 0% dividend WHT up to BidCo (SE-NL treaty Art. 10(3) / EU PSD). Holds operating subsidiaries.</w:t>
            </w:r>
          </w:p>
        </w:tc>
      </w:tr>
      <w:tr>
        <w:tc>
          <w:tcPr>
            <w:tcW w:type="dxa" w:w="1008"/>
          </w:tcPr>
          <w:p>
            <w:pPr>
              <w:spacing w:after="40" w:before="40"/>
              <w:jc w:val="left"/>
            </w:pPr>
            <w:r/>
            <w:r>
              <w:rPr>
                <w:b/>
                <w:sz w:val="18"/>
              </w:rPr>
              <w:t>Level 5</w:t>
            </w:r>
          </w:p>
        </w:tc>
        <w:tc>
          <w:tcPr>
            <w:tcW w:type="dxa" w:w="2880"/>
          </w:tcPr>
          <w:p>
            <w:pPr>
              <w:spacing w:after="40" w:before="40"/>
              <w:jc w:val="center"/>
            </w:pPr>
            <w:r/>
            <w:r>
              <w:rPr>
                <w:b w:val="0"/>
                <w:sz w:val="18"/>
              </w:rPr>
              <w:t>Operating subsidiaries</w:t>
            </w:r>
          </w:p>
        </w:tc>
        <w:tc>
          <w:tcPr>
            <w:tcW w:type="dxa" w:w="5472"/>
          </w:tcPr>
          <w:p>
            <w:pPr>
              <w:spacing w:after="40" w:before="40"/>
              <w:jc w:val="center"/>
            </w:pPr>
            <w:r/>
            <w:r>
              <w:rPr>
                <w:b w:val="0"/>
                <w:sz w:val="18"/>
              </w:rPr>
              <w:t>Germany (Nordenvik Deutschland GmbH, Munich, 32.98% combined); Netherlands (Nordenvik BV, IP holding, 25.8% / Innovation Box 9% conditional); Singapore (Nordenvik Asia Pte. Ltd., 17% standard rate — Pioneer expired).</w:t>
            </w:r>
          </w:p>
        </w:tc>
      </w:tr>
    </w:tbl>
    <w:tbl>
      <w:tblPr>
        <w:tblStyle w:val="TableGrid"/>
        <w:tblW w:type="auto" w:w="0"/>
        <w:tblLook w:firstColumn="1" w:firstRow="1" w:lastColumn="0" w:lastRow="0" w:noHBand="0" w:noVBand="1" w:val="04A0"/>
      </w:tblPr>
      <w:tblGrid>
        <w:gridCol w:w="9746"/>
      </w:tblGrid>
      <w:tr>
        <w:tc>
          <w:tcPr>
            <w:tcW w:type="dxa" w:w="9746"/>
            <w:shd w:val="clear" w:color="auto" w:fill="FFF2CC"/>
          </w:tcPr>
          <w:p>
            <w:pPr>
              <w:spacing w:after="40"/>
            </w:pPr>
            <w:r/>
            <w:r>
              <w:rPr>
                <w:b/>
                <w:color w:val="833C00"/>
                <w:sz w:val="20"/>
              </w:rPr>
              <w:t>Structural note — entity register reconciliation</w:t>
            </w:r>
          </w:p>
          <w:p>
            <w:pPr>
              <w:spacing w:after="40"/>
            </w:pPr>
            <w:r>
              <w:rPr>
                <w:sz w:val="19"/>
              </w:rPr>
              <w:t>The source documents contain inconsistent descriptions of the operating subsidiaries (Doc 2 lists a UK entity; Doc 3 lists Norway/Finland/IP AB; Doc 5 references US and UK entities and names the sponsor 'MonteCedro Partners Fund III'). The legal entity register must be reconciled with Group Legal before closing (Action A-006). This memorandum relies on the four-jurisdiction operating footprint (SE/DE/NL/SG) consistently identified in the local tax opinions (Docs 7–10) and the EY DD report (Doc 12).</w:t>
            </w:r>
          </w:p>
        </w:tc>
      </w:tr>
    </w:tbl>
    <w:p>
      <w:pPr>
        <w:spacing w:after="40"/>
      </w:pPr>
    </w:p>
    <w:p>
      <w:pPr>
        <w:spacing w:before="280" w:after="80"/>
        <w:pBdr>
          <w:bottom w:val="single" w:sz="6" w:space="2" w:color="1F3864"/>
        </w:pBdr>
      </w:pPr>
      <w:r>
        <w:rPr>
          <w:b/>
          <w:color w:val="1F3864"/>
          <w:sz w:val="26"/>
        </w:rPr>
        <w:t>3. Jurisdiction-by-Jurisdiction Analysis</w:t>
      </w:r>
    </w:p>
    <w:p>
      <w:pPr>
        <w:spacing w:before="200" w:after="60"/>
      </w:pPr>
      <w:r>
        <w:rPr>
          <w:b/>
          <w:color w:val="2E5496"/>
          <w:sz w:val="23"/>
        </w:rPr>
        <w:t>3.1 United States — Fund level</w:t>
      </w:r>
    </w:p>
    <w:p>
      <w:pPr>
        <w:spacing w:after="120"/>
        <w:jc w:val="both"/>
      </w:pPr>
      <w:r>
        <w:rPr>
          <w:b w:val="0"/>
          <w:i w:val="0"/>
          <w:sz w:val="21"/>
        </w:rPr>
        <w:t>Meridian Capital Partners IV, L.P. is a Delaware limited partnership treated as pass-through for U.S. federal income tax purposes; no entity-level tax arises at the Fund. The Luxembourg holding layer insulates the Fund from direct ownership of EU operating entities and supports the mixed LP base (40% non-U.S.). The structure must be reviewed for effectively connected income (ECI) and unrelated business taxable income (UBTI) at the LP level, particularly the 25% Cayman and 15% Luxembourg LP interests; the Luxembourg intermediate holding and the treaty/directive chain are designed to minimize ECI/UBTI exposure. This U.S. LP-level analysis is outside the scope of the local opinions and should be confirmed by U.S. tax counsel.</w:t>
      </w:r>
    </w:p>
    <w:p>
      <w:pPr>
        <w:spacing w:before="200" w:after="60"/>
      </w:pPr>
      <w:r>
        <w:rPr>
          <w:b/>
          <w:color w:val="2E5496"/>
          <w:sz w:val="23"/>
        </w:rPr>
        <w:t>3.2 Luxembourg — MCP HoldCo S.à r.l.</w:t>
      </w:r>
    </w:p>
    <w:p>
      <w:pPr>
        <w:pStyle w:val="ListBullet"/>
        <w:spacing w:after="60"/>
      </w:pPr>
      <w:r>
        <w:rPr>
          <w:b/>
          <w:sz w:val="21"/>
        </w:rPr>
        <w:t xml:space="preserve">Participation exemption — </w:t>
      </w:r>
      <w:r>
        <w:rPr>
          <w:sz w:val="21"/>
        </w:rPr>
        <w:t>Dividends received from MCP BidCo BV qualify for the Luxembourg participation exemption (Art. 166 LIR): ≥10% holding, held ≥12 months, subject-to-tax (BidCo at 25.8% Dutch CIT). Full exemption on dividends and on capital gains on disposal.</w:t>
      </w:r>
    </w:p>
    <w:p>
      <w:pPr>
        <w:pStyle w:val="ListBullet"/>
        <w:spacing w:after="60"/>
      </w:pPr>
      <w:r>
        <w:rPr>
          <w:b/>
          <w:sz w:val="21"/>
        </w:rPr>
        <w:t xml:space="preserve">Outbound distributions — </w:t>
      </w:r>
      <w:r>
        <w:rPr>
          <w:sz w:val="21"/>
        </w:rPr>
        <w:t>No Luxembourg withholding tax on distributions from the SARL to the non-resident Fund (unilateral domestic exemption; US-Luxembourg treaty Art. 10 as backstop).</w:t>
      </w:r>
    </w:p>
    <w:p>
      <w:pPr>
        <w:pStyle w:val="ListBullet"/>
        <w:spacing w:after="60"/>
      </w:pPr>
      <w:r>
        <w:rPr>
          <w:b/>
          <w:sz w:val="21"/>
        </w:rPr>
        <w:t xml:space="preserve">Substance / PPT — </w:t>
      </w:r>
      <w:r>
        <w:rPr>
          <w:sz w:val="21"/>
        </w:rPr>
        <w:t>Luxembourg is an MLI signatory; the Principal Purpose Test applies. Substance must be genuine: ≥2 Luxembourg-resident directors, quarterly board meetings in Luxembourg, registered office with administrative support, adequate equity.</w:t>
      </w:r>
    </w:p>
    <w:p>
      <w:pPr>
        <w:pStyle w:val="ListBullet"/>
        <w:spacing w:after="60"/>
      </w:pPr>
      <w:r>
        <w:rPr>
          <w:b/>
          <w:sz w:val="21"/>
        </w:rPr>
        <w:t xml:space="preserve">Pillar Two — </w:t>
      </w:r>
      <w:r>
        <w:rPr>
          <w:sz w:val="21"/>
        </w:rPr>
        <w:t>MCP HoldCo's near-zero effective tax rate (0.2%) creates Pillar Two exposure if the group crosses the EUR 750M revenue threshold. A QDMTT is enacted in Luxembourg, so any top-up would be collected locally. The Luxembourg layer should be re-evaluated for cost-benefit once Pillar Two is in scope (Action A-705).</w:t>
      </w:r>
    </w:p>
    <w:p>
      <w:pPr>
        <w:spacing w:before="200" w:after="60"/>
      </w:pPr>
      <w:r>
        <w:rPr>
          <w:b/>
          <w:color w:val="2E5496"/>
          <w:sz w:val="23"/>
        </w:rPr>
        <w:t>3.3 Netherlands — MCP BidCo BV and Nordenvik BV</w:t>
      </w:r>
    </w:p>
    <w:p>
      <w:pPr>
        <w:spacing w:after="120"/>
        <w:jc w:val="both"/>
      </w:pPr>
      <w:r>
        <w:rPr>
          <w:b w:val="0"/>
          <w:i w:val="0"/>
          <w:sz w:val="21"/>
        </w:rPr>
        <w:t>Dutch counsel (Van Steenbergen Tax BV, Doc 9) confirms the following:</w:t>
      </w:r>
    </w:p>
    <w:p>
      <w:pPr>
        <w:pStyle w:val="ListBullet"/>
        <w:spacing w:after="60"/>
      </w:pPr>
      <w:r>
        <w:rPr>
          <w:b/>
          <w:sz w:val="21"/>
        </w:rPr>
        <w:t xml:space="preserve">Participation exemption — </w:t>
      </w:r>
      <w:r>
        <w:rPr>
          <w:sz w:val="21"/>
        </w:rPr>
        <w:t>MCP BidCo BV's 100% shareholding in Nordenvik Group AB qualifies for the deelnemingsvrijstelling (Art. 13 Wet VPB). The subject-to-tax test is met (Sweden 20.6%); the asset test is met (active industrial group). Dividends and capital gains are exempt from Dutch CIT.</w:t>
      </w:r>
    </w:p>
    <w:p>
      <w:pPr>
        <w:pStyle w:val="ListBullet"/>
        <w:spacing w:after="60"/>
      </w:pPr>
      <w:r>
        <w:rPr>
          <w:b/>
          <w:sz w:val="21"/>
        </w:rPr>
        <w:t xml:space="preserve">Acquisition interest deductibility — </w:t>
      </w:r>
      <w:r>
        <w:rPr>
          <w:sz w:val="21"/>
        </w:rPr>
        <w:t>Interest on the EUR 155M Term Loan B is deductible at BidCo. Art. 10a Wet VPB (tainted-debt anti-avoidance) does NOT apply because the acquisition is of an unrelated target — there is no connected-party loan funding a connected-party acquisition. The ATAD earnings-stripping rule (Art. 15b, 30% of EBITDA or EUR 1M safe harbor) is satisfied within the fiscal unity, whose combined EBITDA (BidCo interest offset against Nordenvik BV royalty income) supports full deductibility. This confirms lender CP #9.</w:t>
      </w:r>
    </w:p>
    <w:p>
      <w:pPr>
        <w:pStyle w:val="ListBullet"/>
        <w:spacing w:after="60"/>
      </w:pPr>
      <w:r>
        <w:rPr>
          <w:b/>
          <w:sz w:val="21"/>
        </w:rPr>
        <w:t xml:space="preserve">Fiscal unity — </w:t>
      </w:r>
      <w:r>
        <w:rPr>
          <w:sz w:val="21"/>
        </w:rPr>
        <w:t>A fiscal unity (fiscale eenheid) between MCP BidCo BV and Nordenvik BV under Art. 15 Wet VPB allows BidCo's acquisition interest to be offset against Nordenvik BV's royalty income within a single Dutch CIT return. The 95% indirect ownership threshold is satisfied through the Swedish intermediate (per-element approach per CJEU X Holding; to be confirmed by Dutch counsel — Action A-206). Estimated annual saving: ~EUR 2.76M. Filing deadline: within 3 months of the desired effective date (target 1 April 2025 → file by 1 July 2025).</w:t>
      </w:r>
    </w:p>
    <w:p>
      <w:pPr>
        <w:pStyle w:val="ListBullet"/>
        <w:spacing w:after="60"/>
      </w:pPr>
      <w:r>
        <w:rPr>
          <w:b/>
          <w:sz w:val="21"/>
        </w:rPr>
        <w:t xml:space="preserve">Outbound WHT — </w:t>
      </w:r>
      <w:r>
        <w:rPr>
          <w:sz w:val="21"/>
        </w:rPr>
        <w:t>0% dividend WHT on distributions from BidCo to MCP HoldCo under the EU Parent-Subsidiary Directive and the NL-LU treaty. The Netherlands' conditional WHT on interest/royalties to low-tax jurisdictions does not apply (Luxembourg is not low-tax).</w:t>
      </w:r>
    </w:p>
    <w:tbl>
      <w:tblPr>
        <w:tblStyle w:val="TableGrid"/>
        <w:tblW w:type="auto" w:w="0"/>
        <w:tblLook w:firstColumn="1" w:firstRow="1" w:lastColumn="0" w:lastRow="0" w:noHBand="0" w:noVBand="1" w:val="04A0"/>
      </w:tblPr>
      <w:tblGrid>
        <w:gridCol w:w="9746"/>
      </w:tblGrid>
      <w:tr>
        <w:tc>
          <w:tcPr>
            <w:tcW w:type="dxa" w:w="9746"/>
            <w:shd w:val="clear" w:color="auto" w:fill="F8CBAD"/>
          </w:tcPr>
          <w:p>
            <w:pPr>
              <w:spacing w:after="40"/>
            </w:pPr>
            <w:r/>
            <w:r>
              <w:rPr>
                <w:b/>
                <w:color w:val="833C00"/>
                <w:sz w:val="20"/>
              </w:rPr>
              <w:t>CRITICAL — Nordenvik BV substance deficiency (Doc 9 §2.4; EY Priority 3)</w:t>
            </w:r>
          </w:p>
          <w:p>
            <w:pPr>
              <w:spacing w:after="40"/>
            </w:pPr>
            <w:r>
              <w:rPr>
                <w:sz w:val="19"/>
              </w:rPr>
              <w:t>Nordenvik BV holds all group IP and generates EUR 18.4M annual royalty income but employs only 4 persons (none with R&amp;D or IP-exploitation expertise) and performs none of the DEMPE functions in-house (royalty margin ~88.6%). Dutch counsel concludes this does NOT satisfy Dutch substance requirements. Consequences if unremediated: (i) challenge to the participation exemption on dividends flowing through BV; (ii) denial of treaty benefits under the MLI PPT (combined royalty WHT exposure ~EUR 0.65M/yr); (iii) risk to the fiscal unity's effectiveness; (iv) risk to the Dutch Innovation Box (9%) eligibility. Remediation: hire 3–5 senior IP/commercial FTEs in Amsterdam, ≥1 with decision-making authority; quarterly NL board meetings with minutes; renew the expired APA (expired 31 August 2024) by 30 June 2025 (Actions A-202, A-203).</w:t>
            </w:r>
          </w:p>
        </w:tc>
      </w:tr>
    </w:tbl>
    <w:p>
      <w:pPr>
        <w:spacing w:after="40"/>
      </w:pPr>
    </w:p>
    <w:p>
      <w:pPr>
        <w:spacing w:before="200" w:after="60"/>
      </w:pPr>
      <w:r>
        <w:rPr>
          <w:b/>
          <w:color w:val="2E5496"/>
          <w:sz w:val="23"/>
        </w:rPr>
        <w:t>3.4 Sweden — Nordenvik Group AB</w:t>
      </w:r>
    </w:p>
    <w:p>
      <w:pPr>
        <w:pStyle w:val="ListBullet"/>
        <w:spacing w:after="60"/>
      </w:pPr>
      <w:r>
        <w:rPr>
          <w:b/>
          <w:sz w:val="21"/>
        </w:rPr>
        <w:t xml:space="preserve">Acquisition &amp; exit — </w:t>
      </w:r>
      <w:r>
        <w:rPr>
          <w:sz w:val="21"/>
        </w:rPr>
        <w:t>Acquisition of shares in a Swedish AB by a non-resident buyer triggers no Swedish income tax, capital gains tax, or stamp duty for the buyer (Doc 7 §2). On a future exit, capital gains realized by BidCo are not taxed in Sweden provided BidCo has no Swedish PE to which the shares are attributable (SE-NL treaty Art. 13(5)).</w:t>
      </w:r>
    </w:p>
    <w:p>
      <w:pPr>
        <w:pStyle w:val="ListBullet"/>
        <w:spacing w:after="60"/>
      </w:pPr>
      <w:r>
        <w:rPr>
          <w:b/>
          <w:sz w:val="21"/>
        </w:rPr>
        <w:t xml:space="preserve">Participation exemption — </w:t>
      </w:r>
      <w:r>
        <w:rPr>
          <w:sz w:val="21"/>
        </w:rPr>
        <w:t>Nordenvik's holdings in its subsidiaries qualify as näringsbetingade andelar; dividends and capital gains (12-month holding for gains) are exempt under 24 kap. 17 § / 25a kap. 5 § IL.</w:t>
      </w:r>
    </w:p>
    <w:p>
      <w:pPr>
        <w:pStyle w:val="ListBullet"/>
        <w:spacing w:after="60"/>
      </w:pPr>
      <w:r>
        <w:rPr>
          <w:b/>
          <w:sz w:val="21"/>
        </w:rPr>
        <w:t xml:space="preserve">Tax loss carryforwards — </w:t>
      </w:r>
      <w:r>
        <w:rPr>
          <w:sz w:val="21"/>
        </w:rPr>
        <w:t>SEK 187M (EUR 16.2M) of tax loss carryforwards survive the share deal — Sweden has no §8c-equivalent forfeiture. The beloppsspärren (200% of acquisition cost ≈ SEK 5.15bn) is far above the SEK 187M NOL, so no forfeiture. The koncernbidragsspärr restricts offset of these losses against group contributions from new group members for ~5–6 years but does NOT prevent utilization against the Company's own taxable income. DTA: SEK 38.5M (EUR 3.3M).</w:t>
      </w:r>
    </w:p>
    <w:p>
      <w:pPr>
        <w:pStyle w:val="ListBullet"/>
        <w:spacing w:after="60"/>
      </w:pPr>
      <w:r>
        <w:rPr>
          <w:b/>
          <w:sz w:val="21"/>
        </w:rPr>
        <w:t xml:space="preserve">Dividend WHT — </w:t>
      </w:r>
      <w:r>
        <w:rPr>
          <w:sz w:val="21"/>
        </w:rPr>
        <w:t>Dividends from Nordenvik Group AB to MCP BidCo BV are exempt from Swedish WHT (0%) under SE-NL treaty Art. 10(3) (≥10% holding) and the EU PSD. Anti-avoidance risk assessed as low by Swedish counsel.</w:t>
      </w:r>
    </w:p>
    <w:tbl>
      <w:tblPr>
        <w:tblStyle w:val="TableGrid"/>
        <w:tblW w:type="auto" w:w="0"/>
        <w:tblLook w:firstColumn="1" w:firstRow="1" w:lastColumn="0" w:lastRow="0" w:noHBand="0" w:noVBand="1" w:val="04A0"/>
      </w:tblPr>
      <w:tblGrid>
        <w:gridCol w:w="9746"/>
      </w:tblGrid>
      <w:tr>
        <w:tc>
          <w:tcPr>
            <w:tcW w:type="dxa" w:w="9746"/>
            <w:shd w:val="clear" w:color="auto" w:fill="F8CBAD"/>
          </w:tcPr>
          <w:p>
            <w:pPr>
              <w:spacing w:after="40"/>
            </w:pPr>
            <w:r/>
            <w:r>
              <w:rPr>
                <w:b/>
                <w:color w:val="833C00"/>
                <w:sz w:val="20"/>
              </w:rPr>
              <w:t>CRITICAL — Swedish interest deduction limitation (Doc 7 §4)</w:t>
            </w:r>
          </w:p>
          <w:p>
            <w:pPr>
              <w:spacing w:after="40"/>
            </w:pPr>
            <w:r>
              <w:rPr>
                <w:sz w:val="19"/>
              </w:rPr>
              <w:t>The proposed pushdown of acquisition debt to Nordenvik Group AB via intercompany loan (annual interest ~SEK 128M / EUR 11.1M) risks permanent disallowance under the EBITDA rule (24 kap. 24 § IL). The 30% cap is applied at the ENTITY level on standalone tax EBITDA. The financial model's apparent headroom (consolidated EBITDA SEK 478M → cap SEK 143M) is misleading: Nordenvik Group AB's standalone EBITDA (excluding non-Swedish subsidiary earnings and BV royalty income) is estimated at SEK 380–420M, yielding a cap of SEK 114–126M — BELOW the SEK 128M interest. Estimated annual disallowance: SEK 2–14M (mid-case), rising to SEK 32M in a stress scenario; over a 5-year hold, cumulative permanent tax cost SEK 22.7–35M. RECOMMENDATION (Doc 7 §4.7): retain the debt at MCP BidCo BV (Netherlands) and offset via the Dutch fiscal unity; if any pushdown is commercially required, cap Swedish intercompany interest at ~SEK 100–110M.</w:t>
            </w:r>
          </w:p>
        </w:tc>
      </w:tr>
    </w:tbl>
    <w:p>
      <w:pPr>
        <w:spacing w:after="40"/>
      </w:pPr>
    </w:p>
    <w:p>
      <w:pPr>
        <w:spacing w:before="200" w:after="60"/>
      </w:pPr>
      <w:r>
        <w:rPr>
          <w:b/>
          <w:color w:val="2E5496"/>
          <w:sz w:val="23"/>
        </w:rPr>
        <w:t>3.5 Germany — Nordenvik Deutschland GmbH</w:t>
      </w:r>
    </w:p>
    <w:p>
      <w:pPr>
        <w:pStyle w:val="ListBullet"/>
        <w:spacing w:after="60"/>
      </w:pPr>
      <w:r>
        <w:rPr>
          <w:b/>
          <w:sz w:val="21"/>
        </w:rPr>
        <w:t xml:space="preserve">Share deal &amp; GrESt — </w:t>
      </w:r>
      <w:r>
        <w:rPr>
          <w:sz w:val="21"/>
        </w:rPr>
        <w:t>The share deal carries over historic tax book values; no step-up in the German assets. Sellers rejected an asset deal (estimated additional seller tax EUR 22–25M). No German real-estate transfer tax (GrESt) is expected as the German entity leases (not owns) its Munich premises — to be confirmed by Grundbuch search (Action A-502).</w:t>
      </w:r>
    </w:p>
    <w:p>
      <w:pPr>
        <w:pStyle w:val="ListBullet"/>
        <w:spacing w:after="60"/>
      </w:pPr>
      <w:r>
        <w:rPr>
          <w:b/>
          <w:sz w:val="21"/>
        </w:rPr>
        <w:t xml:space="preserve">§8c loss forfeiture — </w:t>
      </w:r>
      <w:r>
        <w:rPr>
          <w:sz w:val="21"/>
        </w:rPr>
        <w:t>The &gt;50% indirect change of ownership in Nordenvik Deutschland GmbH triggers full forfeiture of EUR 24.0M combined loss carryforwards (EUR 14.2M KSt + EUR 9.8M GewSt) under §8c(1) KStG. Tax value lost: ~EUR 3.8M. The Stille Reserven (hidden reserves) exception under §8c(1) Satz 6 KStG has NOT been analyzed and is the single most important pre-signing action (Action A-101). The §8d KStG election is NOT viable because the planned Step 5 merger triggers forfeiture under §8d(2) Satz 2 Nr. 4 (Action A-106).</w:t>
      </w:r>
    </w:p>
    <w:p>
      <w:pPr>
        <w:pStyle w:val="ListBullet"/>
        <w:spacing w:after="60"/>
      </w:pPr>
      <w:r>
        <w:rPr>
          <w:b/>
          <w:sz w:val="21"/>
        </w:rPr>
        <w:t xml:space="preserve">Zinsschranke &amp; GewSt add-back — </w:t>
      </w:r>
      <w:r>
        <w:rPr>
          <w:sz w:val="21"/>
        </w:rPr>
        <w:t>Net interest of ~EUR 4.1M exceeds the EUR 3M de minimis; the standalone and equity-ratio exceptions are unavailable (§8a KStG). 30% of tax EBITDA (~EUR 11.2–11.5M) = ~EUR 3.36–3.45M deductible; ~EUR 0.65–0.74M disallowed per annum (tax cost ~EUR 0.21–0.24M). The GewSt add-back (§8 Nr. 1 GewStG, 25% of financing costs net of EUR 200k Freibetrag) adds ~EUR 0.14M/yr. Cumulative 5-year cost ~EUR 1.9M.</w:t>
      </w:r>
    </w:p>
    <w:p>
      <w:pPr>
        <w:pStyle w:val="ListBullet"/>
        <w:spacing w:after="60"/>
      </w:pPr>
      <w:r>
        <w:rPr>
          <w:b/>
          <w:sz w:val="21"/>
        </w:rPr>
        <w:t xml:space="preserve">Withholding tax — </w:t>
      </w:r>
      <w:r>
        <w:rPr>
          <w:sz w:val="21"/>
        </w:rPr>
        <w:t>Dividends to Nordenvik Group AB: 0% under the EU PSD (§43b EStG); 5% treaty fallback (DE-SE DBA Art. 10). Royalties to Nordenvik BV: 0% under the EU Interest &amp; Royalties Directive / DE-NL DBA Art. 12. Interest to Nordenvik BV: 0% (no German WHT on ordinary interest to EU corporates). All subject to §50d(3) anti-treaty-shopping — Nordenvik Group AB substance must be documented.</w:t>
      </w:r>
    </w:p>
    <w:p>
      <w:pPr>
        <w:pStyle w:val="ListBullet"/>
        <w:spacing w:after="60"/>
      </w:pPr>
      <w:r>
        <w:rPr>
          <w:b/>
          <w:sz w:val="21"/>
        </w:rPr>
        <w:t xml:space="preserve">Tax audit contingent — </w:t>
      </w:r>
      <w:r>
        <w:rPr>
          <w:sz w:val="21"/>
        </w:rPr>
        <w:t>An ongoing FY2019–2021 audit has produced a preliminary EUR 2.1M trade-tax assessment plus ~EUR 0.3M interest (EUR 2.4M total), under appeal. This is a known issue excluded from the RWI policy; a specific SPA indemnity or escrow should be negotiated (Action A-501).</w:t>
      </w:r>
    </w:p>
    <w:p>
      <w:pPr>
        <w:spacing w:before="200" w:after="60"/>
      </w:pPr>
      <w:r>
        <w:rPr>
          <w:b/>
          <w:color w:val="2E5496"/>
          <w:sz w:val="23"/>
        </w:rPr>
        <w:t>3.6 Singapore — Nordenvik Asia Pte. Ltd.</w:t>
      </w:r>
    </w:p>
    <w:p>
      <w:pPr>
        <w:pStyle w:val="ListBullet"/>
        <w:spacing w:after="60"/>
      </w:pPr>
      <w:r>
        <w:rPr>
          <w:b/>
          <w:sz w:val="21"/>
        </w:rPr>
        <w:t xml:space="preserve">Pioneer Status expired — </w:t>
      </w:r>
      <w:r>
        <w:rPr>
          <w:sz w:val="21"/>
        </w:rPr>
        <w:t>Singapore counsel (Rajah &amp; Tann, Doc 10) confirms the Pioneer Certificate expired 31 December 2023. The standard 17% CIT rate applies in full from 1 January 2024. No replacement incentive has been filed. The financial model's 5% assumption is incorrect and must be corrected (Action A-001).</w:t>
      </w:r>
    </w:p>
    <w:p>
      <w:pPr>
        <w:pStyle w:val="ListBullet"/>
        <w:spacing w:after="60"/>
      </w:pPr>
      <w:r>
        <w:rPr>
          <w:b/>
          <w:sz w:val="21"/>
        </w:rPr>
        <w:t xml:space="preserve">Royalty WHT — </w:t>
      </w:r>
      <w:r>
        <w:rPr>
          <w:sz w:val="21"/>
        </w:rPr>
        <w:t>Royalties paid to Nordenvik BV are exempt from Singapore WHT (0%) under SG-NL DTA Art. 12, subject to Nordenvik BV's residency, beneficial ownership, and no SG PE. Annual Certificates of Residence for Nordenvik BV must be maintained (Action A-207). If IP is later migrated to Ireland (no SG-Ireland DTA), the domestic 10% WHT would apply — a material consideration for the Phase 2 IP migration.</w:t>
      </w:r>
    </w:p>
    <w:p>
      <w:pPr>
        <w:pStyle w:val="ListBullet"/>
        <w:spacing w:after="60"/>
      </w:pPr>
      <w:r>
        <w:rPr>
          <w:b/>
          <w:sz w:val="21"/>
        </w:rPr>
        <w:t xml:space="preserve">Tax residency — </w:t>
      </w:r>
      <w:r>
        <w:rPr>
          <w:sz w:val="21"/>
        </w:rPr>
        <w:t>Singapore tax residency is unaffected by the change of ultimate beneficial ownership, provided the board continues to meet and make strategic decisions in Singapore (Doc 10 §2).</w:t>
      </w:r>
    </w:p>
    <w:p>
      <w:pPr>
        <w:pStyle w:val="ListBullet"/>
        <w:spacing w:after="60"/>
      </w:pPr>
      <w:r>
        <w:rPr>
          <w:b/>
          <w:sz w:val="21"/>
        </w:rPr>
        <w:t xml:space="preserve">Incentive renewal — </w:t>
      </w:r>
      <w:r>
        <w:rPr>
          <w:sz w:val="21"/>
        </w:rPr>
        <w:t>File the FY2024 ECI at 17% by 31 March 2025 (Action A-301). Assess a Development and Expansion Incentive (DEI) application to the EDB (5%/10% concessionary rate; 6–12 month process) and build Singapore investment commitments into the integration plan (Action A-302). Note: under Singapore's domestic minimum top-up tax (DMTT, effective 1 January 2025), the DEI benefit erodes to 15% once the group is in Pillar Two scope.</w:t>
      </w:r>
    </w:p>
    <w:p/>
    <w:p>
      <w:pPr>
        <w:spacing w:before="280" w:after="80"/>
        <w:keepNext/>
        <w:pBdr>
          <w:bottom w:val="single" w:sz="6" w:space="2" w:color="1F3864"/>
        </w:pBdr>
      </w:pPr>
      <w:r>
        <w:rPr>
          <w:b/>
          <w:color w:val="1F3864"/>
          <w:sz w:val="26"/>
        </w:rPr>
        <w:t>4. Debt Placement and Interest Deductibility</w:t>
      </w:r>
    </w:p>
    <w:p>
      <w:pPr>
        <w:spacing w:after="120"/>
        <w:jc w:val="both"/>
      </w:pPr>
      <w:r>
        <w:rPr>
          <w:b w:val="0"/>
          <w:i w:val="0"/>
          <w:sz w:val="21"/>
        </w:rPr>
        <w:t>Where the EUR 155M acquisition debt is borne determines where the interest is deductible and whether it is subject to limitation. Three options are evaluated in the Tax Cost Model ('Debt Sourcing' tab):</w:t>
      </w:r>
    </w:p>
    <w:tbl>
      <w:tblPr>
        <w:tblStyle w:val="TableGrid"/>
        <w:tblW w:type="auto" w:w="0"/>
        <w:jc w:val="center"/>
        <w:tblLook w:firstColumn="1" w:firstRow="1" w:lastColumn="0" w:lastRow="0" w:noHBand="0" w:noVBand="1" w:val="04A0"/>
      </w:tblPr>
      <w:tblGrid>
        <w:gridCol w:w="4873"/>
        <w:gridCol w:w="4873"/>
      </w:tblGrid>
      <w:tr>
        <w:tc>
          <w:tcPr>
            <w:tcW w:type="dxa" w:w="3168"/>
            <w:shd w:val="clear" w:color="auto" w:fill="1F3864"/>
          </w:tcPr>
          <w:p>
            <w:pPr>
              <w:spacing w:after="40" w:before="40"/>
              <w:jc w:val="center"/>
            </w:pPr>
            <w:r/>
            <w:r>
              <w:rPr>
                <w:b/>
                <w:color w:val="FFFFFF"/>
                <w:sz w:val="18"/>
              </w:rPr>
              <w:t>Option</w:t>
            </w:r>
          </w:p>
        </w:tc>
        <w:tc>
          <w:tcPr>
            <w:tcW w:type="dxa" w:w="6192"/>
            <w:shd w:val="clear" w:color="auto" w:fill="1F3864"/>
          </w:tcPr>
          <w:p>
            <w:pPr>
              <w:spacing w:after="40" w:before="40"/>
              <w:jc w:val="center"/>
            </w:pPr>
            <w:r/>
            <w:r>
              <w:rPr>
                <w:b/>
                <w:color w:val="FFFFFF"/>
                <w:sz w:val="18"/>
              </w:rPr>
              <w:t>Analysis</w:t>
            </w:r>
          </w:p>
        </w:tc>
      </w:tr>
      <w:tr>
        <w:tc>
          <w:tcPr>
            <w:tcW w:type="dxa" w:w="3168"/>
          </w:tcPr>
          <w:p>
            <w:pPr>
              <w:spacing w:after="40" w:before="40"/>
              <w:jc w:val="left"/>
            </w:pPr>
            <w:r/>
            <w:r>
              <w:rPr>
                <w:b/>
                <w:sz w:val="18"/>
              </w:rPr>
              <w:t>A — Retain at BidCo (NL) [RECOMMENDED]</w:t>
            </w:r>
          </w:p>
        </w:tc>
        <w:tc>
          <w:tcPr>
            <w:tcW w:type="dxa" w:w="6192"/>
          </w:tcPr>
          <w:p>
            <w:pPr>
              <w:spacing w:after="40" w:before="40"/>
              <w:jc w:val="center"/>
            </w:pPr>
            <w:r/>
            <w:r>
              <w:rPr>
                <w:b w:val="0"/>
                <w:sz w:val="18"/>
              </w:rPr>
              <w:t>Interest deductible in NL within fiscal unity; offset vs Nordenvik BV royalty income. Annual fiscal-unity saving ~EUR 2.76M. No Swedish disallowance. Lender-friendly (default TLB structure).</w:t>
            </w:r>
          </w:p>
        </w:tc>
      </w:tr>
      <w:tr>
        <w:tc>
          <w:tcPr>
            <w:tcW w:type="dxa" w:w="3168"/>
            <w:shd w:val="clear" w:color="auto" w:fill="EAF0FA"/>
          </w:tcPr>
          <w:p>
            <w:pPr>
              <w:spacing w:after="40" w:before="40"/>
              <w:jc w:val="left"/>
            </w:pPr>
            <w:r/>
            <w:r>
              <w:rPr>
                <w:b/>
                <w:sz w:val="18"/>
              </w:rPr>
              <w:t>B — Full pushdown to Sweden</w:t>
            </w:r>
          </w:p>
        </w:tc>
        <w:tc>
          <w:tcPr>
            <w:tcW w:type="dxa" w:w="6192"/>
            <w:shd w:val="clear" w:color="auto" w:fill="EAF0FA"/>
          </w:tcPr>
          <w:p>
            <w:pPr>
              <w:spacing w:after="40" w:before="40"/>
              <w:jc w:val="center"/>
            </w:pPr>
            <w:r/>
            <w:r>
              <w:rPr>
                <w:b w:val="0"/>
                <w:sz w:val="18"/>
              </w:rPr>
              <w:t>Swedish interest ~SEK 128M exceeds 30% standalone EBITDA cap → SEK 2–14M/yr permanent disallowance (SEK 22–34M/yr over 5-yr hold). No NL offset. WORST option.</w:t>
            </w:r>
          </w:p>
        </w:tc>
      </w:tr>
      <w:tr>
        <w:tc>
          <w:tcPr>
            <w:tcW w:type="dxa" w:w="3168"/>
          </w:tcPr>
          <w:p>
            <w:pPr>
              <w:spacing w:after="40" w:before="40"/>
              <w:jc w:val="left"/>
            </w:pPr>
            <w:r/>
            <w:r>
              <w:rPr>
                <w:b/>
                <w:sz w:val="18"/>
              </w:rPr>
              <w:t>C — Partial pushdown (calibrated)</w:t>
            </w:r>
          </w:p>
        </w:tc>
        <w:tc>
          <w:tcPr>
            <w:tcW w:type="dxa" w:w="6192"/>
          </w:tcPr>
          <w:p>
            <w:pPr>
              <w:spacing w:after="40" w:before="40"/>
              <w:jc w:val="center"/>
            </w:pPr>
            <w:r/>
            <w:r>
              <w:rPr>
                <w:b w:val="0"/>
                <w:sz w:val="18"/>
              </w:rPr>
              <w:t>Cap SE intercompany interest at ~SEK 100–110M to preserve standalone-EBITDA headroom (Doc 7 §4.7.2); balance retained at BidCo. Acceptable if commercial reasons require some SE-level debt.</w:t>
            </w:r>
          </w:p>
        </w:tc>
      </w:tr>
    </w:tbl>
    <w:p>
      <w:pPr>
        <w:spacing w:after="120"/>
        <w:jc w:val="both"/>
      </w:pPr>
      <w:r>
        <w:rPr>
          <w:b w:val="0"/>
          <w:i w:val="0"/>
          <w:sz w:val="21"/>
        </w:rPr>
        <w:t>Recommendation: Option A. Retain the acquisition debt at MCP BidCo BV; rely on the Dutch fiscal unity to absorb the interest against Nordenvik BV royalty income. This avoids the Swedish entity-level EBITDA trap entirely, maximizes the Dutch fiscal-unity benefit, and satisfies lender CP #9 (Dutch interest deductibility). The intercompany on-lending terms (rate, quantum) must remain arm's length and supported by contemporaneous TP documentation (KPMG, Doc 11).</w:t>
      </w:r>
    </w:p>
    <w:p>
      <w:pPr>
        <w:spacing w:before="280" w:after="80"/>
        <w:pBdr>
          <w:bottom w:val="single" w:sz="6" w:space="2" w:color="1F3864"/>
        </w:pBdr>
      </w:pPr>
      <w:r>
        <w:rPr>
          <w:b/>
          <w:color w:val="1F3864"/>
          <w:sz w:val="26"/>
        </w:rPr>
        <w:t>5. Withholding Tax and Treaty Analysis</w:t>
      </w:r>
    </w:p>
    <w:p>
      <w:pPr>
        <w:spacing w:after="120"/>
        <w:jc w:val="both"/>
      </w:pPr>
      <w:r>
        <w:rPr>
          <w:b w:val="0"/>
          <w:i w:val="0"/>
          <w:sz w:val="21"/>
        </w:rPr>
        <w:t>All intercompany flows are at 0% withholding tax in the base case under treaties and EU directives, contingent on beneficial ownership, adequate substance, and the MLI Principal Purpose Test:</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cantSplit/>
        </w:trPr>
        <w:tc>
          <w:tcPr>
            <w:tcW w:type="dxa" w:w="576"/>
            <w:shd w:val="clear" w:color="auto" w:fill="1F3864"/>
          </w:tcPr>
          <w:p>
            <w:pPr>
              <w:spacing w:after="40" w:before="40"/>
              <w:jc w:val="center"/>
            </w:pPr>
            <w:r/>
            <w:r>
              <w:rPr>
                <w:b/>
                <w:color w:val="FFFFFF"/>
                <w:sz w:val="17"/>
              </w:rPr>
              <w:t>Flow</w:t>
            </w:r>
          </w:p>
        </w:tc>
        <w:tc>
          <w:tcPr>
            <w:tcW w:type="dxa" w:w="1296"/>
            <w:shd w:val="clear" w:color="auto" w:fill="1F3864"/>
          </w:tcPr>
          <w:p>
            <w:pPr>
              <w:spacing w:after="40" w:before="40"/>
              <w:jc w:val="center"/>
            </w:pPr>
            <w:r/>
            <w:r>
              <w:rPr>
                <w:b/>
                <w:color w:val="FFFFFF"/>
                <w:sz w:val="17"/>
              </w:rPr>
              <w:t>Payer → Payee</w:t>
            </w:r>
          </w:p>
        </w:tc>
        <w:tc>
          <w:tcPr>
            <w:tcW w:type="dxa" w:w="1440"/>
            <w:shd w:val="clear" w:color="auto" w:fill="1F3864"/>
          </w:tcPr>
          <w:p>
            <w:pPr>
              <w:spacing w:after="40" w:before="40"/>
              <w:jc w:val="center"/>
            </w:pPr>
            <w:r/>
            <w:r>
              <w:rPr>
                <w:b/>
                <w:color w:val="FFFFFF"/>
                <w:sz w:val="17"/>
              </w:rPr>
              <w:t>Type</w:t>
            </w:r>
          </w:p>
        </w:tc>
        <w:tc>
          <w:tcPr>
            <w:tcW w:type="dxa" w:w="1296"/>
            <w:shd w:val="clear" w:color="auto" w:fill="1F3864"/>
          </w:tcPr>
          <w:p>
            <w:pPr>
              <w:spacing w:after="40" w:before="40"/>
              <w:jc w:val="center"/>
            </w:pPr>
            <w:r/>
            <w:r>
              <w:rPr>
                <w:b/>
                <w:color w:val="FFFFFF"/>
                <w:sz w:val="17"/>
              </w:rPr>
              <w:t>Gross (EUR M/yr)</w:t>
            </w:r>
          </w:p>
        </w:tc>
        <w:tc>
          <w:tcPr>
            <w:tcW w:type="dxa" w:w="1008"/>
            <w:shd w:val="clear" w:color="auto" w:fill="1F3864"/>
          </w:tcPr>
          <w:p>
            <w:pPr>
              <w:spacing w:after="40" w:before="40"/>
              <w:jc w:val="center"/>
            </w:pPr>
            <w:r/>
            <w:r>
              <w:rPr>
                <w:b/>
                <w:color w:val="FFFFFF"/>
                <w:sz w:val="17"/>
              </w:rPr>
              <w:t>Domestic WHT</w:t>
            </w:r>
          </w:p>
        </w:tc>
        <w:tc>
          <w:tcPr>
            <w:tcW w:type="dxa" w:w="1008"/>
            <w:shd w:val="clear" w:color="auto" w:fill="1F3864"/>
          </w:tcPr>
          <w:p>
            <w:pPr>
              <w:spacing w:after="40" w:before="40"/>
              <w:jc w:val="center"/>
            </w:pPr>
            <w:r/>
            <w:r>
              <w:rPr>
                <w:b/>
                <w:color w:val="FFFFFF"/>
                <w:sz w:val="17"/>
              </w:rPr>
              <w:t>Treaty rate</w:t>
            </w:r>
          </w:p>
        </w:tc>
        <w:tc>
          <w:tcPr>
            <w:tcW w:type="dxa" w:w="2736"/>
            <w:shd w:val="clear" w:color="auto" w:fill="1F3864"/>
          </w:tcPr>
          <w:p>
            <w:pPr>
              <w:spacing w:after="40" w:before="40"/>
              <w:jc w:val="center"/>
            </w:pPr>
            <w:r/>
            <w:r>
              <w:rPr>
                <w:b/>
                <w:color w:val="FFFFFF"/>
                <w:sz w:val="17"/>
              </w:rPr>
              <w:t>Authority</w:t>
            </w:r>
          </w:p>
        </w:tc>
      </w:tr>
      <w:tr>
        <w:trPr>
          <w:cantSplit/>
        </w:trPr>
        <w:tc>
          <w:tcPr>
            <w:tcW w:type="dxa" w:w="576"/>
          </w:tcPr>
          <w:p>
            <w:pPr>
              <w:spacing w:after="40" w:before="40"/>
              <w:jc w:val="left"/>
            </w:pPr>
            <w:r/>
            <w:r>
              <w:rPr>
                <w:b w:val="0"/>
                <w:sz w:val="17"/>
              </w:rPr>
              <w:t>A</w:t>
            </w:r>
          </w:p>
        </w:tc>
        <w:tc>
          <w:tcPr>
            <w:tcW w:type="dxa" w:w="1296"/>
          </w:tcPr>
          <w:p>
            <w:pPr>
              <w:spacing w:after="40" w:before="40"/>
              <w:jc w:val="center"/>
            </w:pPr>
            <w:r/>
            <w:r>
              <w:rPr>
                <w:b w:val="0"/>
                <w:sz w:val="17"/>
              </w:rPr>
              <w:t>SE → NL</w:t>
            </w:r>
          </w:p>
        </w:tc>
        <w:tc>
          <w:tcPr>
            <w:tcW w:type="dxa" w:w="1440"/>
          </w:tcPr>
          <w:p>
            <w:pPr>
              <w:spacing w:after="40" w:before="40"/>
              <w:jc w:val="center"/>
            </w:pPr>
            <w:r/>
            <w:r>
              <w:rPr>
                <w:b w:val="0"/>
                <w:sz w:val="17"/>
              </w:rPr>
              <w:t>Dividend</w:t>
            </w:r>
          </w:p>
        </w:tc>
        <w:tc>
          <w:tcPr>
            <w:tcW w:type="dxa" w:w="1296"/>
          </w:tcPr>
          <w:p>
            <w:pPr>
              <w:spacing w:after="40" w:before="40"/>
              <w:jc w:val="center"/>
            </w:pPr>
            <w:r/>
            <w:r>
              <w:rPr>
                <w:b w:val="0"/>
                <w:sz w:val="17"/>
              </w:rPr>
              <w:t>Variable</w:t>
            </w:r>
          </w:p>
        </w:tc>
        <w:tc>
          <w:tcPr>
            <w:tcW w:type="dxa" w:w="1008"/>
          </w:tcPr>
          <w:p>
            <w:pPr>
              <w:spacing w:after="40" w:before="40"/>
              <w:jc w:val="center"/>
            </w:pPr>
            <w:r/>
            <w:r>
              <w:rPr>
                <w:b w:val="0"/>
                <w:sz w:val="17"/>
              </w:rPr>
              <w:t>30%</w:t>
            </w:r>
          </w:p>
        </w:tc>
        <w:tc>
          <w:tcPr>
            <w:tcW w:type="dxa" w:w="1008"/>
          </w:tcPr>
          <w:p>
            <w:pPr>
              <w:spacing w:after="40" w:before="40"/>
              <w:jc w:val="center"/>
            </w:pPr>
            <w:r/>
            <w:r>
              <w:rPr>
                <w:b w:val="0"/>
                <w:sz w:val="17"/>
              </w:rPr>
              <w:t>0%</w:t>
            </w:r>
          </w:p>
        </w:tc>
        <w:tc>
          <w:tcPr>
            <w:tcW w:type="dxa" w:w="2736"/>
          </w:tcPr>
          <w:p>
            <w:pPr>
              <w:spacing w:after="40" w:before="40"/>
              <w:jc w:val="center"/>
            </w:pPr>
            <w:r/>
            <w:r>
              <w:rPr>
                <w:b w:val="0"/>
                <w:sz w:val="17"/>
              </w:rPr>
              <w:t>SE-NL treaty Art. 10(3); EU PSD</w:t>
            </w:r>
          </w:p>
        </w:tc>
      </w:tr>
      <w:tr>
        <w:trPr>
          <w:cantSplit/>
        </w:trPr>
        <w:tc>
          <w:tcPr>
            <w:tcW w:type="dxa" w:w="576"/>
            <w:shd w:val="clear" w:color="auto" w:fill="EAF0FA"/>
          </w:tcPr>
          <w:p>
            <w:pPr>
              <w:spacing w:after="40" w:before="40"/>
              <w:jc w:val="left"/>
            </w:pPr>
            <w:r/>
            <w:r>
              <w:rPr>
                <w:b w:val="0"/>
                <w:sz w:val="17"/>
              </w:rPr>
              <w:t>B</w:t>
            </w:r>
          </w:p>
        </w:tc>
        <w:tc>
          <w:tcPr>
            <w:tcW w:type="dxa" w:w="1296"/>
            <w:shd w:val="clear" w:color="auto" w:fill="EAF0FA"/>
          </w:tcPr>
          <w:p>
            <w:pPr>
              <w:spacing w:after="40" w:before="40"/>
              <w:jc w:val="center"/>
            </w:pPr>
            <w:r/>
            <w:r>
              <w:rPr>
                <w:b w:val="0"/>
                <w:sz w:val="17"/>
              </w:rPr>
              <w:t>NL → LU</w:t>
            </w:r>
          </w:p>
        </w:tc>
        <w:tc>
          <w:tcPr>
            <w:tcW w:type="dxa" w:w="1440"/>
            <w:shd w:val="clear" w:color="auto" w:fill="EAF0FA"/>
          </w:tcPr>
          <w:p>
            <w:pPr>
              <w:spacing w:after="40" w:before="40"/>
              <w:jc w:val="center"/>
            </w:pPr>
            <w:r/>
            <w:r>
              <w:rPr>
                <w:b w:val="0"/>
                <w:sz w:val="17"/>
              </w:rPr>
              <w:t>Dividend</w:t>
            </w:r>
          </w:p>
        </w:tc>
        <w:tc>
          <w:tcPr>
            <w:tcW w:type="dxa" w:w="1296"/>
            <w:shd w:val="clear" w:color="auto" w:fill="EAF0FA"/>
          </w:tcPr>
          <w:p>
            <w:pPr>
              <w:spacing w:after="40" w:before="40"/>
              <w:jc w:val="center"/>
            </w:pPr>
            <w:r/>
            <w:r>
              <w:rPr>
                <w:b w:val="0"/>
                <w:sz w:val="17"/>
              </w:rPr>
              <w:t>Variable</w:t>
            </w:r>
          </w:p>
        </w:tc>
        <w:tc>
          <w:tcPr>
            <w:tcW w:type="dxa" w:w="1008"/>
            <w:shd w:val="clear" w:color="auto" w:fill="EAF0FA"/>
          </w:tcPr>
          <w:p>
            <w:pPr>
              <w:spacing w:after="40" w:before="40"/>
              <w:jc w:val="center"/>
            </w:pPr>
            <w:r/>
            <w:r>
              <w:rPr>
                <w:b w:val="0"/>
                <w:sz w:val="17"/>
              </w:rPr>
              <w:t>15%</w:t>
            </w:r>
          </w:p>
        </w:tc>
        <w:tc>
          <w:tcPr>
            <w:tcW w:type="dxa" w:w="1008"/>
            <w:shd w:val="clear" w:color="auto" w:fill="EAF0FA"/>
          </w:tcPr>
          <w:p>
            <w:pPr>
              <w:spacing w:after="40" w:before="40"/>
              <w:jc w:val="center"/>
            </w:pPr>
            <w:r/>
            <w:r>
              <w:rPr>
                <w:b w:val="0"/>
                <w:sz w:val="17"/>
              </w:rPr>
              <w:t>0%</w:t>
            </w:r>
          </w:p>
        </w:tc>
        <w:tc>
          <w:tcPr>
            <w:tcW w:type="dxa" w:w="2736"/>
            <w:shd w:val="clear" w:color="auto" w:fill="EAF0FA"/>
          </w:tcPr>
          <w:p>
            <w:pPr>
              <w:spacing w:after="40" w:before="40"/>
              <w:jc w:val="center"/>
            </w:pPr>
            <w:r/>
            <w:r>
              <w:rPr>
                <w:b w:val="0"/>
                <w:sz w:val="17"/>
              </w:rPr>
              <w:t>EU PSD; NL-LU treaty Art. 10</w:t>
            </w:r>
          </w:p>
        </w:tc>
      </w:tr>
      <w:tr>
        <w:trPr>
          <w:cantSplit/>
        </w:trPr>
        <w:tc>
          <w:tcPr>
            <w:tcW w:type="dxa" w:w="576"/>
          </w:tcPr>
          <w:p>
            <w:pPr>
              <w:spacing w:after="40" w:before="40"/>
              <w:jc w:val="left"/>
            </w:pPr>
            <w:r/>
            <w:r>
              <w:rPr>
                <w:b w:val="0"/>
                <w:sz w:val="17"/>
              </w:rPr>
              <w:t>C</w:t>
            </w:r>
          </w:p>
        </w:tc>
        <w:tc>
          <w:tcPr>
            <w:tcW w:type="dxa" w:w="1296"/>
          </w:tcPr>
          <w:p>
            <w:pPr>
              <w:spacing w:after="40" w:before="40"/>
              <w:jc w:val="center"/>
            </w:pPr>
            <w:r/>
            <w:r>
              <w:rPr>
                <w:b w:val="0"/>
                <w:sz w:val="17"/>
              </w:rPr>
              <w:t>SG → NL</w:t>
            </w:r>
          </w:p>
        </w:tc>
        <w:tc>
          <w:tcPr>
            <w:tcW w:type="dxa" w:w="1440"/>
          </w:tcPr>
          <w:p>
            <w:pPr>
              <w:spacing w:after="40" w:before="40"/>
              <w:jc w:val="center"/>
            </w:pPr>
            <w:r/>
            <w:r>
              <w:rPr>
                <w:b w:val="0"/>
                <w:sz w:val="17"/>
              </w:rPr>
              <w:t>Royalty</w:t>
            </w:r>
          </w:p>
        </w:tc>
        <w:tc>
          <w:tcPr>
            <w:tcW w:type="dxa" w:w="1296"/>
          </w:tcPr>
          <w:p>
            <w:pPr>
              <w:spacing w:after="40" w:before="40"/>
              <w:jc w:val="center"/>
            </w:pPr>
            <w:r/>
            <w:r>
              <w:rPr>
                <w:b w:val="0"/>
                <w:sz w:val="17"/>
              </w:rPr>
              <w:t>1.44</w:t>
            </w:r>
          </w:p>
        </w:tc>
        <w:tc>
          <w:tcPr>
            <w:tcW w:type="dxa" w:w="1008"/>
          </w:tcPr>
          <w:p>
            <w:pPr>
              <w:spacing w:after="40" w:before="40"/>
              <w:jc w:val="center"/>
            </w:pPr>
            <w:r/>
            <w:r>
              <w:rPr>
                <w:b w:val="0"/>
                <w:sz w:val="17"/>
              </w:rPr>
              <w:t>10%</w:t>
            </w:r>
          </w:p>
        </w:tc>
        <w:tc>
          <w:tcPr>
            <w:tcW w:type="dxa" w:w="1008"/>
          </w:tcPr>
          <w:p>
            <w:pPr>
              <w:spacing w:after="40" w:before="40"/>
              <w:jc w:val="center"/>
            </w:pPr>
            <w:r/>
            <w:r>
              <w:rPr>
                <w:b w:val="0"/>
                <w:sz w:val="17"/>
              </w:rPr>
              <w:t>0%</w:t>
            </w:r>
          </w:p>
        </w:tc>
        <w:tc>
          <w:tcPr>
            <w:tcW w:type="dxa" w:w="2736"/>
          </w:tcPr>
          <w:p>
            <w:pPr>
              <w:spacing w:after="40" w:before="40"/>
              <w:jc w:val="center"/>
            </w:pPr>
            <w:r/>
            <w:r>
              <w:rPr>
                <w:b w:val="0"/>
                <w:sz w:val="17"/>
              </w:rPr>
              <w:t>SG-NL DTA Art. 12</w:t>
            </w:r>
          </w:p>
        </w:tc>
      </w:tr>
      <w:tr>
        <w:trPr>
          <w:cantSplit/>
        </w:trPr>
        <w:tc>
          <w:tcPr>
            <w:tcW w:type="dxa" w:w="576"/>
            <w:shd w:val="clear" w:color="auto" w:fill="EAF0FA"/>
          </w:tcPr>
          <w:p>
            <w:pPr>
              <w:spacing w:after="40" w:before="40"/>
              <w:jc w:val="left"/>
            </w:pPr>
            <w:r/>
            <w:r>
              <w:rPr>
                <w:b w:val="0"/>
                <w:sz w:val="17"/>
              </w:rPr>
              <w:t>D</w:t>
            </w:r>
          </w:p>
        </w:tc>
        <w:tc>
          <w:tcPr>
            <w:tcW w:type="dxa" w:w="1296"/>
            <w:shd w:val="clear" w:color="auto" w:fill="EAF0FA"/>
          </w:tcPr>
          <w:p>
            <w:pPr>
              <w:spacing w:after="40" w:before="40"/>
              <w:jc w:val="center"/>
            </w:pPr>
            <w:r/>
            <w:r>
              <w:rPr>
                <w:b w:val="0"/>
                <w:sz w:val="17"/>
              </w:rPr>
              <w:t>DE → NL</w:t>
            </w:r>
          </w:p>
        </w:tc>
        <w:tc>
          <w:tcPr>
            <w:tcW w:type="dxa" w:w="1440"/>
            <w:shd w:val="clear" w:color="auto" w:fill="EAF0FA"/>
          </w:tcPr>
          <w:p>
            <w:pPr>
              <w:spacing w:after="40" w:before="40"/>
              <w:jc w:val="center"/>
            </w:pPr>
            <w:r/>
            <w:r>
              <w:rPr>
                <w:b w:val="0"/>
                <w:sz w:val="17"/>
              </w:rPr>
              <w:t>Royalty</w:t>
            </w:r>
          </w:p>
        </w:tc>
        <w:tc>
          <w:tcPr>
            <w:tcW w:type="dxa" w:w="1296"/>
            <w:shd w:val="clear" w:color="auto" w:fill="EAF0FA"/>
          </w:tcPr>
          <w:p>
            <w:pPr>
              <w:spacing w:after="40" w:before="40"/>
              <w:jc w:val="center"/>
            </w:pPr>
            <w:r/>
            <w:r>
              <w:rPr>
                <w:b w:val="0"/>
                <w:sz w:val="17"/>
              </w:rPr>
              <w:t>3.43</w:t>
            </w:r>
          </w:p>
        </w:tc>
        <w:tc>
          <w:tcPr>
            <w:tcW w:type="dxa" w:w="1008"/>
            <w:shd w:val="clear" w:color="auto" w:fill="EAF0FA"/>
          </w:tcPr>
          <w:p>
            <w:pPr>
              <w:spacing w:after="40" w:before="40"/>
              <w:jc w:val="center"/>
            </w:pPr>
            <w:r/>
            <w:r>
              <w:rPr>
                <w:b w:val="0"/>
                <w:sz w:val="17"/>
              </w:rPr>
              <w:t>15%</w:t>
            </w:r>
          </w:p>
        </w:tc>
        <w:tc>
          <w:tcPr>
            <w:tcW w:type="dxa" w:w="1008"/>
            <w:shd w:val="clear" w:color="auto" w:fill="EAF0FA"/>
          </w:tcPr>
          <w:p>
            <w:pPr>
              <w:spacing w:after="40" w:before="40"/>
              <w:jc w:val="center"/>
            </w:pPr>
            <w:r/>
            <w:r>
              <w:rPr>
                <w:b w:val="0"/>
                <w:sz w:val="17"/>
              </w:rPr>
              <w:t>0%</w:t>
            </w:r>
          </w:p>
        </w:tc>
        <w:tc>
          <w:tcPr>
            <w:tcW w:type="dxa" w:w="2736"/>
            <w:shd w:val="clear" w:color="auto" w:fill="EAF0FA"/>
          </w:tcPr>
          <w:p>
            <w:pPr>
              <w:spacing w:after="40" w:before="40"/>
              <w:jc w:val="center"/>
            </w:pPr>
            <w:r/>
            <w:r>
              <w:rPr>
                <w:b w:val="0"/>
                <w:sz w:val="17"/>
              </w:rPr>
              <w:t>EU I&amp;R Directive; DE-NL DTA Art. 12</w:t>
            </w:r>
          </w:p>
        </w:tc>
      </w:tr>
      <w:tr>
        <w:trPr>
          <w:cantSplit/>
        </w:trPr>
        <w:tc>
          <w:tcPr>
            <w:tcW w:type="dxa" w:w="576"/>
          </w:tcPr>
          <w:p>
            <w:pPr>
              <w:spacing w:after="40" w:before="40"/>
              <w:jc w:val="left"/>
            </w:pPr>
            <w:r/>
            <w:r>
              <w:rPr>
                <w:b w:val="0"/>
                <w:sz w:val="17"/>
              </w:rPr>
              <w:t>E</w:t>
            </w:r>
          </w:p>
        </w:tc>
        <w:tc>
          <w:tcPr>
            <w:tcW w:type="dxa" w:w="1296"/>
          </w:tcPr>
          <w:p>
            <w:pPr>
              <w:spacing w:after="40" w:before="40"/>
              <w:jc w:val="center"/>
            </w:pPr>
            <w:r/>
            <w:r>
              <w:rPr>
                <w:b w:val="0"/>
                <w:sz w:val="17"/>
              </w:rPr>
              <w:t>SE → NL</w:t>
            </w:r>
          </w:p>
        </w:tc>
        <w:tc>
          <w:tcPr>
            <w:tcW w:type="dxa" w:w="1440"/>
          </w:tcPr>
          <w:p>
            <w:pPr>
              <w:spacing w:after="40" w:before="40"/>
              <w:jc w:val="center"/>
            </w:pPr>
            <w:r/>
            <w:r>
              <w:rPr>
                <w:b w:val="0"/>
                <w:sz w:val="17"/>
              </w:rPr>
              <w:t>Interest (IC loan)</w:t>
            </w:r>
          </w:p>
        </w:tc>
        <w:tc>
          <w:tcPr>
            <w:tcW w:type="dxa" w:w="1296"/>
          </w:tcPr>
          <w:p>
            <w:pPr>
              <w:spacing w:after="40" w:before="40"/>
              <w:jc w:val="center"/>
            </w:pPr>
            <w:r/>
            <w:r>
              <w:rPr>
                <w:b w:val="0"/>
                <w:sz w:val="17"/>
              </w:rPr>
              <w:t>11.08</w:t>
            </w:r>
          </w:p>
        </w:tc>
        <w:tc>
          <w:tcPr>
            <w:tcW w:type="dxa" w:w="1008"/>
          </w:tcPr>
          <w:p>
            <w:pPr>
              <w:spacing w:after="40" w:before="40"/>
              <w:jc w:val="center"/>
            </w:pPr>
            <w:r/>
            <w:r>
              <w:rPr>
                <w:b w:val="0"/>
                <w:sz w:val="17"/>
              </w:rPr>
              <w:t>0%</w:t>
            </w:r>
          </w:p>
        </w:tc>
        <w:tc>
          <w:tcPr>
            <w:tcW w:type="dxa" w:w="1008"/>
          </w:tcPr>
          <w:p>
            <w:pPr>
              <w:spacing w:after="40" w:before="40"/>
              <w:jc w:val="center"/>
            </w:pPr>
            <w:r/>
            <w:r>
              <w:rPr>
                <w:b w:val="0"/>
                <w:sz w:val="17"/>
              </w:rPr>
              <w:t>0%</w:t>
            </w:r>
          </w:p>
        </w:tc>
        <w:tc>
          <w:tcPr>
            <w:tcW w:type="dxa" w:w="2736"/>
          </w:tcPr>
          <w:p>
            <w:pPr>
              <w:spacing w:after="40" w:before="40"/>
              <w:jc w:val="center"/>
            </w:pPr>
            <w:r/>
            <w:r>
              <w:rPr>
                <w:b w:val="0"/>
                <w:sz w:val="17"/>
              </w:rPr>
              <w:t>No SE WHT on interest</w:t>
            </w:r>
          </w:p>
        </w:tc>
      </w:tr>
      <w:tr>
        <w:trPr>
          <w:cantSplit/>
        </w:trPr>
        <w:tc>
          <w:tcPr>
            <w:tcW w:type="dxa" w:w="576"/>
            <w:shd w:val="clear" w:color="auto" w:fill="EAF0FA"/>
          </w:tcPr>
          <w:p>
            <w:pPr>
              <w:spacing w:after="40" w:before="40"/>
              <w:jc w:val="left"/>
            </w:pPr>
            <w:r/>
            <w:r>
              <w:rPr>
                <w:b w:val="0"/>
                <w:sz w:val="17"/>
              </w:rPr>
              <w:t>F</w:t>
            </w:r>
          </w:p>
        </w:tc>
        <w:tc>
          <w:tcPr>
            <w:tcW w:type="dxa" w:w="1296"/>
            <w:shd w:val="clear" w:color="auto" w:fill="EAF0FA"/>
          </w:tcPr>
          <w:p>
            <w:pPr>
              <w:spacing w:after="40" w:before="40"/>
              <w:jc w:val="center"/>
            </w:pPr>
            <w:r/>
            <w:r>
              <w:rPr>
                <w:b w:val="0"/>
                <w:sz w:val="17"/>
              </w:rPr>
              <w:t>DE → NL</w:t>
            </w:r>
          </w:p>
        </w:tc>
        <w:tc>
          <w:tcPr>
            <w:tcW w:type="dxa" w:w="1440"/>
            <w:shd w:val="clear" w:color="auto" w:fill="EAF0FA"/>
          </w:tcPr>
          <w:p>
            <w:pPr>
              <w:spacing w:after="40" w:before="40"/>
              <w:jc w:val="center"/>
            </w:pPr>
            <w:r/>
            <w:r>
              <w:rPr>
                <w:b w:val="0"/>
                <w:sz w:val="17"/>
              </w:rPr>
              <w:t>Interest (WC loan)</w:t>
            </w:r>
          </w:p>
        </w:tc>
        <w:tc>
          <w:tcPr>
            <w:tcW w:type="dxa" w:w="1296"/>
            <w:shd w:val="clear" w:color="auto" w:fill="EAF0FA"/>
          </w:tcPr>
          <w:p>
            <w:pPr>
              <w:spacing w:after="40" w:before="40"/>
              <w:jc w:val="center"/>
            </w:pPr>
            <w:r/>
            <w:r>
              <w:rPr>
                <w:b w:val="0"/>
                <w:sz w:val="17"/>
              </w:rPr>
              <w:t>0.58</w:t>
            </w:r>
          </w:p>
        </w:tc>
        <w:tc>
          <w:tcPr>
            <w:tcW w:type="dxa" w:w="1008"/>
            <w:shd w:val="clear" w:color="auto" w:fill="EAF0FA"/>
          </w:tcPr>
          <w:p>
            <w:pPr>
              <w:spacing w:after="40" w:before="40"/>
              <w:jc w:val="center"/>
            </w:pPr>
            <w:r/>
            <w:r>
              <w:rPr>
                <w:b w:val="0"/>
                <w:sz w:val="17"/>
              </w:rPr>
              <w:t>0%</w:t>
            </w:r>
          </w:p>
        </w:tc>
        <w:tc>
          <w:tcPr>
            <w:tcW w:type="dxa" w:w="1008"/>
            <w:shd w:val="clear" w:color="auto" w:fill="EAF0FA"/>
          </w:tcPr>
          <w:p>
            <w:pPr>
              <w:spacing w:after="40" w:before="40"/>
              <w:jc w:val="center"/>
            </w:pPr>
            <w:r/>
            <w:r>
              <w:rPr>
                <w:b w:val="0"/>
                <w:sz w:val="17"/>
              </w:rPr>
              <w:t>0%</w:t>
            </w:r>
          </w:p>
        </w:tc>
        <w:tc>
          <w:tcPr>
            <w:tcW w:type="dxa" w:w="2736"/>
            <w:shd w:val="clear" w:color="auto" w:fill="EAF0FA"/>
          </w:tcPr>
          <w:p>
            <w:pPr>
              <w:spacing w:after="40" w:before="40"/>
              <w:jc w:val="center"/>
            </w:pPr>
            <w:r/>
            <w:r>
              <w:rPr>
                <w:b w:val="0"/>
                <w:sz w:val="17"/>
              </w:rPr>
              <w:t>No German WHT on EU interest</w:t>
            </w:r>
          </w:p>
        </w:tc>
      </w:tr>
    </w:tbl>
    <w:p>
      <w:pPr>
        <w:spacing w:after="120"/>
        <w:jc w:val="both"/>
      </w:pPr>
      <w:r>
        <w:rPr>
          <w:b w:val="0"/>
          <w:i w:val="0"/>
          <w:sz w:val="21"/>
        </w:rPr>
        <w:t>Substance-challenge sensitivity (not in base case): if Nordenvik BV's substance is successfully challenged, the combined royalty WHT exposure (flows C + D) is approximately EUR 0.65M per year (10% × EUR 1.44M + 15% × EUR 3.43M). If the PPT were applied to BidCo or LuxCo, dividend WHT at 30% / 15% respectively would apply on upstream distributions. These exposures are the principal reason substance remediation (Section 3.3) is a critical pre/post-closing workstream.</w:t>
      </w:r>
    </w:p>
    <w:p>
      <w:pPr>
        <w:spacing w:before="280" w:after="80"/>
        <w:pBdr>
          <w:bottom w:val="single" w:sz="6" w:space="2" w:color="1F3864"/>
        </w:pBdr>
      </w:pPr>
      <w:r>
        <w:rPr>
          <w:b/>
          <w:color w:val="1F3864"/>
          <w:sz w:val="26"/>
        </w:rPr>
        <w:t>6. Tax Attributes and Losses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160"/>
            <w:shd w:val="clear" w:color="auto" w:fill="1F3864"/>
          </w:tcPr>
          <w:p>
            <w:pPr>
              <w:spacing w:after="40" w:before="40"/>
              <w:jc w:val="center"/>
            </w:pPr>
            <w:r/>
            <w:r>
              <w:rPr>
                <w:b/>
                <w:color w:val="FFFFFF"/>
                <w:sz w:val="17"/>
              </w:rPr>
              <w:t>Attribute</w:t>
            </w:r>
          </w:p>
        </w:tc>
        <w:tc>
          <w:tcPr>
            <w:tcW w:type="dxa" w:w="1440"/>
            <w:shd w:val="clear" w:color="auto" w:fill="1F3864"/>
          </w:tcPr>
          <w:p>
            <w:pPr>
              <w:spacing w:after="40" w:before="40"/>
              <w:jc w:val="center"/>
            </w:pPr>
            <w:r/>
            <w:r>
              <w:rPr>
                <w:b/>
                <w:color w:val="FFFFFF"/>
                <w:sz w:val="17"/>
              </w:rPr>
              <w:t>Amount</w:t>
            </w:r>
          </w:p>
        </w:tc>
        <w:tc>
          <w:tcPr>
            <w:tcW w:type="dxa" w:w="1440"/>
            <w:shd w:val="clear" w:color="auto" w:fill="1F3864"/>
          </w:tcPr>
          <w:p>
            <w:pPr>
              <w:spacing w:after="40" w:before="40"/>
              <w:jc w:val="center"/>
            </w:pPr>
            <w:r/>
            <w:r>
              <w:rPr>
                <w:b/>
                <w:color w:val="FFFFFF"/>
                <w:sz w:val="17"/>
              </w:rPr>
              <w:t>Tax value</w:t>
            </w:r>
          </w:p>
        </w:tc>
        <w:tc>
          <w:tcPr>
            <w:tcW w:type="dxa" w:w="3456"/>
            <w:shd w:val="clear" w:color="auto" w:fill="1F3864"/>
          </w:tcPr>
          <w:p>
            <w:pPr>
              <w:spacing w:after="40" w:before="40"/>
              <w:jc w:val="center"/>
            </w:pPr>
            <w:r/>
            <w:r>
              <w:rPr>
                <w:b/>
                <w:color w:val="FFFFFF"/>
                <w:sz w:val="17"/>
              </w:rPr>
              <w:t>Status / comment</w:t>
            </w:r>
          </w:p>
        </w:tc>
        <w:tc>
          <w:tcPr>
            <w:tcW w:type="dxa" w:w="720"/>
            <w:shd w:val="clear" w:color="auto" w:fill="1F3864"/>
          </w:tcPr>
          <w:p>
            <w:pPr>
              <w:spacing w:after="40" w:before="40"/>
              <w:jc w:val="center"/>
            </w:pPr>
            <w:r/>
            <w:r>
              <w:rPr>
                <w:b/>
                <w:color w:val="FFFFFF"/>
                <w:sz w:val="17"/>
              </w:rPr>
              <w:t>RAG</w:t>
            </w:r>
          </w:p>
        </w:tc>
      </w:tr>
      <w:tr>
        <w:tc>
          <w:tcPr>
            <w:tcW w:type="dxa" w:w="2160"/>
          </w:tcPr>
          <w:p>
            <w:pPr>
              <w:spacing w:after="40" w:before="40"/>
              <w:jc w:val="left"/>
            </w:pPr>
            <w:r/>
            <w:r>
              <w:rPr>
                <w:b/>
                <w:sz w:val="17"/>
              </w:rPr>
              <w:t>Swedish NOL carryforward</w:t>
            </w:r>
          </w:p>
        </w:tc>
        <w:tc>
          <w:tcPr>
            <w:tcW w:type="dxa" w:w="1440"/>
          </w:tcPr>
          <w:p>
            <w:pPr>
              <w:spacing w:after="40" w:before="40"/>
              <w:jc w:val="center"/>
            </w:pPr>
            <w:r/>
            <w:r>
              <w:rPr>
                <w:b w:val="0"/>
                <w:sz w:val="17"/>
              </w:rPr>
              <w:t>SEK 187M (EUR 16.2M)</w:t>
            </w:r>
          </w:p>
        </w:tc>
        <w:tc>
          <w:tcPr>
            <w:tcW w:type="dxa" w:w="1440"/>
          </w:tcPr>
          <w:p>
            <w:pPr>
              <w:spacing w:after="40" w:before="40"/>
              <w:jc w:val="center"/>
            </w:pPr>
            <w:r/>
            <w:r>
              <w:rPr>
                <w:b w:val="0"/>
                <w:sz w:val="17"/>
              </w:rPr>
              <w:t>SEK 38.5M (EUR 3.3M)</w:t>
            </w:r>
          </w:p>
        </w:tc>
        <w:tc>
          <w:tcPr>
            <w:tcW w:type="dxa" w:w="3456"/>
          </w:tcPr>
          <w:p>
            <w:pPr>
              <w:spacing w:after="40" w:before="40"/>
              <w:jc w:val="center"/>
            </w:pPr>
            <w:r/>
            <w:r>
              <w:rPr>
                <w:b w:val="0"/>
                <w:sz w:val="17"/>
              </w:rPr>
              <w:t>Survives share deal (40 kap. IL); belaggsspärren not triggered; koncernbidragsspärr limits group-contribution offset for ~5–6 yrs but not self-utilization.</w:t>
            </w:r>
          </w:p>
        </w:tc>
        <w:tc>
          <w:tcPr>
            <w:tcW w:type="dxa" w:w="720"/>
            <w:shd w:val="clear" w:color="auto" w:fill="C6E0B4"/>
          </w:tcPr>
          <w:p>
            <w:pPr>
              <w:spacing w:after="40" w:before="40"/>
              <w:jc w:val="center"/>
            </w:pPr>
            <w:r/>
            <w:r>
              <w:rPr>
                <w:b w:val="0"/>
                <w:sz w:val="17"/>
              </w:rPr>
              <w:t>GREEN</w:t>
            </w:r>
          </w:p>
        </w:tc>
      </w:tr>
      <w:tr>
        <w:tc>
          <w:tcPr>
            <w:tcW w:type="dxa" w:w="2160"/>
            <w:shd w:val="clear" w:color="auto" w:fill="EAF0FA"/>
          </w:tcPr>
          <w:p>
            <w:pPr>
              <w:spacing w:after="40" w:before="40"/>
              <w:jc w:val="left"/>
            </w:pPr>
            <w:r/>
            <w:r>
              <w:rPr>
                <w:b/>
                <w:sz w:val="17"/>
              </w:rPr>
              <w:t>German KSt loss CF</w:t>
            </w:r>
          </w:p>
        </w:tc>
        <w:tc>
          <w:tcPr>
            <w:tcW w:type="dxa" w:w="1440"/>
            <w:shd w:val="clear" w:color="auto" w:fill="EAF0FA"/>
          </w:tcPr>
          <w:p>
            <w:pPr>
              <w:spacing w:after="40" w:before="40"/>
              <w:jc w:val="center"/>
            </w:pPr>
            <w:r/>
            <w:r>
              <w:rPr>
                <w:b w:val="0"/>
                <w:sz w:val="17"/>
              </w:rPr>
              <w:t>EUR 14.2M</w:t>
            </w:r>
          </w:p>
        </w:tc>
        <w:tc>
          <w:tcPr>
            <w:tcW w:type="dxa" w:w="1440"/>
            <w:shd w:val="clear" w:color="auto" w:fill="EAF0FA"/>
          </w:tcPr>
          <w:p>
            <w:pPr>
              <w:spacing w:after="40" w:before="40"/>
              <w:jc w:val="center"/>
            </w:pPr>
            <w:r/>
            <w:r>
              <w:rPr>
                <w:b w:val="0"/>
                <w:sz w:val="17"/>
              </w:rPr>
              <w:t>EUR 2.25M</w:t>
            </w:r>
          </w:p>
        </w:tc>
        <w:tc>
          <w:tcPr>
            <w:tcW w:type="dxa" w:w="3456"/>
            <w:shd w:val="clear" w:color="auto" w:fill="EAF0FA"/>
          </w:tcPr>
          <w:p>
            <w:pPr>
              <w:spacing w:after="40" w:before="40"/>
              <w:jc w:val="center"/>
            </w:pPr>
            <w:r/>
            <w:r>
              <w:rPr>
                <w:b w:val="0"/>
                <w:sz w:val="17"/>
              </w:rPr>
              <w:t>Forfeit under §8c(1) KStG on closing, absent Stille Reserven exception.</w:t>
            </w:r>
          </w:p>
        </w:tc>
        <w:tc>
          <w:tcPr>
            <w:tcW w:type="dxa" w:w="720"/>
            <w:shd w:val="clear" w:color="auto" w:fill="EAF0FA"/>
            <w:shd w:val="clear" w:color="auto" w:fill="F8CBAD"/>
          </w:tcPr>
          <w:p>
            <w:pPr>
              <w:spacing w:after="40" w:before="40"/>
              <w:jc w:val="center"/>
            </w:pPr>
            <w:r/>
            <w:r>
              <w:rPr>
                <w:b w:val="0"/>
                <w:sz w:val="17"/>
              </w:rPr>
              <w:t>RED</w:t>
            </w:r>
          </w:p>
        </w:tc>
      </w:tr>
      <w:tr>
        <w:tc>
          <w:tcPr>
            <w:tcW w:type="dxa" w:w="2160"/>
          </w:tcPr>
          <w:p>
            <w:pPr>
              <w:spacing w:after="40" w:before="40"/>
              <w:jc w:val="left"/>
            </w:pPr>
            <w:r/>
            <w:r>
              <w:rPr>
                <w:b/>
                <w:sz w:val="17"/>
              </w:rPr>
              <w:t>German GewSt loss CF</w:t>
            </w:r>
          </w:p>
        </w:tc>
        <w:tc>
          <w:tcPr>
            <w:tcW w:type="dxa" w:w="1440"/>
          </w:tcPr>
          <w:p>
            <w:pPr>
              <w:spacing w:after="40" w:before="40"/>
              <w:jc w:val="center"/>
            </w:pPr>
            <w:r/>
            <w:r>
              <w:rPr>
                <w:b w:val="0"/>
                <w:sz w:val="17"/>
              </w:rPr>
              <w:t>EUR 9.8M</w:t>
            </w:r>
          </w:p>
        </w:tc>
        <w:tc>
          <w:tcPr>
            <w:tcW w:type="dxa" w:w="1440"/>
          </w:tcPr>
          <w:p>
            <w:pPr>
              <w:spacing w:after="40" w:before="40"/>
              <w:jc w:val="center"/>
            </w:pPr>
            <w:r/>
            <w:r>
              <w:rPr>
                <w:b w:val="0"/>
                <w:sz w:val="17"/>
              </w:rPr>
              <w:t>EUR 1.68M</w:t>
            </w:r>
          </w:p>
        </w:tc>
        <w:tc>
          <w:tcPr>
            <w:tcW w:type="dxa" w:w="3456"/>
          </w:tcPr>
          <w:p>
            <w:pPr>
              <w:spacing w:after="40" w:before="40"/>
              <w:jc w:val="center"/>
            </w:pPr>
            <w:r/>
            <w:r>
              <w:rPr>
                <w:b w:val="0"/>
                <w:sz w:val="17"/>
              </w:rPr>
              <w:t>Forfeit under §8c(1) KStG on closing, absent Stille Reserven exception.</w:t>
            </w:r>
          </w:p>
        </w:tc>
        <w:tc>
          <w:tcPr>
            <w:tcW w:type="dxa" w:w="720"/>
            <w:shd w:val="clear" w:color="auto" w:fill="F8CBAD"/>
          </w:tcPr>
          <w:p>
            <w:pPr>
              <w:spacing w:after="40" w:before="40"/>
              <w:jc w:val="center"/>
            </w:pPr>
            <w:r/>
            <w:r>
              <w:rPr>
                <w:b w:val="0"/>
                <w:sz w:val="17"/>
              </w:rPr>
              <w:t>RED</w:t>
            </w:r>
          </w:p>
        </w:tc>
      </w:tr>
      <w:tr>
        <w:tc>
          <w:tcPr>
            <w:tcW w:type="dxa" w:w="2160"/>
            <w:shd w:val="clear" w:color="auto" w:fill="EAF0FA"/>
          </w:tcPr>
          <w:p>
            <w:pPr>
              <w:spacing w:after="40" w:before="40"/>
              <w:jc w:val="left"/>
            </w:pPr>
            <w:r/>
            <w:r>
              <w:rPr>
                <w:b/>
                <w:sz w:val="17"/>
              </w:rPr>
              <w:t>German §8c total</w:t>
            </w:r>
          </w:p>
        </w:tc>
        <w:tc>
          <w:tcPr>
            <w:tcW w:type="dxa" w:w="1440"/>
            <w:shd w:val="clear" w:color="auto" w:fill="EAF0FA"/>
          </w:tcPr>
          <w:p>
            <w:pPr>
              <w:spacing w:after="40" w:before="40"/>
              <w:jc w:val="center"/>
            </w:pPr>
            <w:r/>
            <w:r>
              <w:rPr>
                <w:b w:val="0"/>
                <w:sz w:val="17"/>
              </w:rPr>
              <w:t>EUR 24.0M</w:t>
            </w:r>
          </w:p>
        </w:tc>
        <w:tc>
          <w:tcPr>
            <w:tcW w:type="dxa" w:w="1440"/>
            <w:shd w:val="clear" w:color="auto" w:fill="EAF0FA"/>
          </w:tcPr>
          <w:p>
            <w:pPr>
              <w:spacing w:after="40" w:before="40"/>
              <w:jc w:val="center"/>
            </w:pPr>
            <w:r/>
            <w:r>
              <w:rPr>
                <w:b w:val="0"/>
                <w:sz w:val="17"/>
              </w:rPr>
              <w:t>EUR 3.8M</w:t>
            </w:r>
          </w:p>
        </w:tc>
        <w:tc>
          <w:tcPr>
            <w:tcW w:type="dxa" w:w="3456"/>
            <w:shd w:val="clear" w:color="auto" w:fill="EAF0FA"/>
          </w:tcPr>
          <w:p>
            <w:pPr>
              <w:spacing w:after="40" w:before="40"/>
              <w:jc w:val="center"/>
            </w:pPr>
            <w:r/>
            <w:r>
              <w:rPr>
                <w:b w:val="0"/>
                <w:sz w:val="17"/>
              </w:rPr>
              <w:t>Stille Reserven analysis NOT performed — critical pre-signing gap.</w:t>
            </w:r>
          </w:p>
        </w:tc>
        <w:tc>
          <w:tcPr>
            <w:tcW w:type="dxa" w:w="720"/>
            <w:shd w:val="clear" w:color="auto" w:fill="EAF0FA"/>
            <w:shd w:val="clear" w:color="auto" w:fill="F8CBAD"/>
          </w:tcPr>
          <w:p>
            <w:pPr>
              <w:spacing w:after="40" w:before="40"/>
              <w:jc w:val="center"/>
            </w:pPr>
            <w:r/>
            <w:r>
              <w:rPr>
                <w:b w:val="0"/>
                <w:sz w:val="17"/>
              </w:rPr>
              <w:t>RED</w:t>
            </w:r>
          </w:p>
        </w:tc>
      </w:tr>
      <w:tr>
        <w:tc>
          <w:tcPr>
            <w:tcW w:type="dxa" w:w="2160"/>
          </w:tcPr>
          <w:p>
            <w:pPr>
              <w:spacing w:after="40" w:before="40"/>
              <w:jc w:val="left"/>
            </w:pPr>
            <w:r/>
            <w:r>
              <w:rPr>
                <w:b/>
                <w:sz w:val="17"/>
              </w:rPr>
              <w:t>German audit contingent</w:t>
            </w:r>
          </w:p>
        </w:tc>
        <w:tc>
          <w:tcPr>
            <w:tcW w:type="dxa" w:w="1440"/>
          </w:tcPr>
          <w:p>
            <w:pPr>
              <w:spacing w:after="40" w:before="40"/>
              <w:jc w:val="center"/>
            </w:pPr>
            <w:r/>
            <w:r>
              <w:rPr>
                <w:b w:val="0"/>
                <w:sz w:val="17"/>
              </w:rPr>
              <w:t>EUR 2.4M</w:t>
            </w:r>
          </w:p>
        </w:tc>
        <w:tc>
          <w:tcPr>
            <w:tcW w:type="dxa" w:w="1440"/>
          </w:tcPr>
          <w:p>
            <w:pPr>
              <w:spacing w:after="40" w:before="40"/>
              <w:jc w:val="center"/>
            </w:pPr>
            <w:r/>
            <w:r>
              <w:rPr>
                <w:b w:val="0"/>
                <w:sz w:val="17"/>
              </w:rPr>
              <w:t>—</w:t>
            </w:r>
          </w:p>
        </w:tc>
        <w:tc>
          <w:tcPr>
            <w:tcW w:type="dxa" w:w="3456"/>
          </w:tcPr>
          <w:p>
            <w:pPr>
              <w:spacing w:after="40" w:before="40"/>
              <w:jc w:val="center"/>
            </w:pPr>
            <w:r/>
            <w:r>
              <w:rPr>
                <w:b w:val="0"/>
                <w:sz w:val="17"/>
              </w:rPr>
              <w:t>FY19-21 preliminary assessment + interest; under appeal; RWI-excluded.</w:t>
            </w:r>
          </w:p>
        </w:tc>
        <w:tc>
          <w:tcPr>
            <w:tcW w:type="dxa" w:w="720"/>
            <w:shd w:val="clear" w:color="auto" w:fill="FFE699"/>
          </w:tcPr>
          <w:p>
            <w:pPr>
              <w:spacing w:after="40" w:before="40"/>
              <w:jc w:val="center"/>
            </w:pPr>
            <w:r/>
            <w:r>
              <w:rPr>
                <w:b w:val="0"/>
                <w:sz w:val="17"/>
              </w:rPr>
              <w:t>AMBER</w:t>
            </w:r>
          </w:p>
        </w:tc>
      </w:tr>
      <w:tr>
        <w:tc>
          <w:tcPr>
            <w:tcW w:type="dxa" w:w="2160"/>
            <w:shd w:val="clear" w:color="auto" w:fill="EAF0FA"/>
          </w:tcPr>
          <w:p>
            <w:pPr>
              <w:spacing w:after="40" w:before="40"/>
              <w:jc w:val="left"/>
            </w:pPr>
            <w:r/>
            <w:r>
              <w:rPr>
                <w:b/>
                <w:sz w:val="17"/>
              </w:rPr>
              <w:t>Dutch fiscal-unity benefit</w:t>
            </w:r>
          </w:p>
        </w:tc>
        <w:tc>
          <w:tcPr>
            <w:tcW w:type="dxa" w:w="1440"/>
            <w:shd w:val="clear" w:color="auto" w:fill="EAF0FA"/>
          </w:tcPr>
          <w:p>
            <w:pPr>
              <w:spacing w:after="40" w:before="40"/>
              <w:jc w:val="center"/>
            </w:pPr>
            <w:r/>
            <w:r>
              <w:rPr>
                <w:b w:val="0"/>
                <w:sz w:val="17"/>
              </w:rPr>
              <w:t>—</w:t>
            </w:r>
          </w:p>
        </w:tc>
        <w:tc>
          <w:tcPr>
            <w:tcW w:type="dxa" w:w="1440"/>
            <w:shd w:val="clear" w:color="auto" w:fill="EAF0FA"/>
          </w:tcPr>
          <w:p>
            <w:pPr>
              <w:spacing w:after="40" w:before="40"/>
              <w:jc w:val="center"/>
            </w:pPr>
            <w:r/>
            <w:r>
              <w:rPr>
                <w:b w:val="0"/>
                <w:sz w:val="17"/>
              </w:rPr>
              <w:t>~EUR 2.76M/yr</w:t>
            </w:r>
          </w:p>
        </w:tc>
        <w:tc>
          <w:tcPr>
            <w:tcW w:type="dxa" w:w="3456"/>
            <w:shd w:val="clear" w:color="auto" w:fill="EAF0FA"/>
          </w:tcPr>
          <w:p>
            <w:pPr>
              <w:spacing w:after="40" w:before="40"/>
              <w:jc w:val="center"/>
            </w:pPr>
            <w:r/>
            <w:r>
              <w:rPr>
                <w:b w:val="0"/>
                <w:sz w:val="17"/>
              </w:rPr>
              <w:t>Offset BidCo interest vs BV royalty; contingent on substance + APA + per-element ruling.</w:t>
            </w:r>
          </w:p>
        </w:tc>
        <w:tc>
          <w:tcPr>
            <w:tcW w:type="dxa" w:w="720"/>
            <w:shd w:val="clear" w:color="auto" w:fill="EAF0FA"/>
            <w:shd w:val="clear" w:color="auto" w:fill="FFE699"/>
          </w:tcPr>
          <w:p>
            <w:pPr>
              <w:spacing w:after="40" w:before="40"/>
              <w:jc w:val="center"/>
            </w:pPr>
            <w:r/>
            <w:r>
              <w:rPr>
                <w:b w:val="0"/>
                <w:sz w:val="17"/>
              </w:rPr>
              <w:t>AMBER</w:t>
            </w:r>
          </w:p>
        </w:tc>
      </w:tr>
    </w:tbl>
    <w:p>
      <w:pPr>
        <w:spacing w:before="280" w:after="80"/>
        <w:pBdr>
          <w:bottom w:val="single" w:sz="6" w:space="2" w:color="1F3864"/>
        </w:pBdr>
      </w:pPr>
      <w:r>
        <w:rPr>
          <w:b/>
          <w:color w:val="1F3864"/>
          <w:sz w:val="26"/>
        </w:rPr>
        <w:t>7. Transfer Pricing</w:t>
      </w:r>
    </w:p>
    <w:p>
      <w:pPr>
        <w:spacing w:after="120"/>
        <w:jc w:val="both"/>
      </w:pPr>
      <w:r>
        <w:rPr>
          <w:b w:val="0"/>
          <w:i w:val="0"/>
          <w:sz w:val="21"/>
        </w:rPr>
        <w:t>The group's intercompany arrangements (royalties, intercompany loans, management services, cost-plus distribution) must satisfy the arm's-length standard under OECD TPG (2022) and local rules (Dutch Art. 8b Wet VPB; German §1 AStG; Singapore IRAS TP Guidelines; Swedish 14 kap. 19 § IL). Key findings:</w:t>
      </w:r>
    </w:p>
    <w:p>
      <w:pPr>
        <w:pStyle w:val="ListBullet"/>
        <w:spacing w:after="60"/>
      </w:pPr>
      <w:r>
        <w:rPr>
          <w:b/>
          <w:sz w:val="21"/>
        </w:rPr>
        <w:t xml:space="preserve">Royalties — </w:t>
      </w:r>
      <w:r>
        <w:rPr>
          <w:sz w:val="21"/>
        </w:rPr>
        <w:t>Royalty rates are supported by a 2018 Deloitte CUP/TNMM study, but it is over five years old (an informal 2021 review is not a formal refresh). The KPMG updated study (Doc 11) should be adopted as the single source of truth and benchmarks refreshed (Actions A-401, A-403). Source documents contain inconsistent royalty rates (4.5%/5.0% in Doc 2; 5.5%/4.0%/5.0%/4.5% in Doc 5; 6.0–8.5% range in Doc 5 App C; 3.5–5.8% APA range in Doc 24) — these must be reconciled.</w:t>
      </w:r>
    </w:p>
    <w:p>
      <w:pPr>
        <w:pStyle w:val="ListBullet"/>
        <w:spacing w:after="60"/>
      </w:pPr>
      <w:r>
        <w:rPr>
          <w:b/>
          <w:sz w:val="21"/>
        </w:rPr>
        <w:t xml:space="preserve">DEMPE — </w:t>
      </w:r>
      <w:r>
        <w:rPr>
          <w:sz w:val="21"/>
        </w:rPr>
        <w:t>Nordenvik BV must perform/control DEMPE functions to be entitled to the IP returns. Currently it does not (Doc 9 §2.4). Realigning DEMPE functions to the operating entities that perform them, or building genuine BV substance, is essential to defend the IP-box position and avoid reallocation by DE/SG/US authorities.</w:t>
      </w:r>
    </w:p>
    <w:p>
      <w:pPr>
        <w:pStyle w:val="ListBullet"/>
        <w:spacing w:after="60"/>
      </w:pPr>
      <w:r>
        <w:rPr>
          <w:b/>
          <w:sz w:val="21"/>
        </w:rPr>
        <w:t xml:space="preserve">Intercompany loans — </w:t>
      </w:r>
      <w:r>
        <w:rPr>
          <w:sz w:val="21"/>
        </w:rPr>
        <w:t>The acquisition intercompany loan rate (EURIBOR + 350–425 bps) falls within the KPMG arm's-length range. A stand-alone credit analysis (without implicit group support, per BFH I R 4/17) should be documented for the German entity (Action A-405).</w:t>
      </w:r>
    </w:p>
    <w:p>
      <w:pPr>
        <w:pStyle w:val="ListBullet"/>
        <w:spacing w:after="60"/>
      </w:pPr>
      <w:r>
        <w:rPr>
          <w:b/>
          <w:sz w:val="21"/>
        </w:rPr>
        <w:t xml:space="preserve">Management services — </w:t>
      </w:r>
      <w:r>
        <w:rPr>
          <w:sz w:val="21"/>
        </w:rPr>
        <w:t>Management fees at cost-plus 5% are at the upper end of the OECD low-value-adding services safe harbor (2–5%); a benefit test should be documented to exclude shareholder-activity costs.</w:t>
      </w:r>
    </w:p>
    <w:p>
      <w:pPr>
        <w:pStyle w:val="ListBullet"/>
        <w:spacing w:after="60"/>
      </w:pPr>
      <w:r>
        <w:rPr>
          <w:b/>
          <w:sz w:val="21"/>
        </w:rPr>
        <w:t xml:space="preserve">Documentation — </w:t>
      </w:r>
      <w:r>
        <w:rPr>
          <w:sz w:val="21"/>
        </w:rPr>
        <w:t>Post-acquisition master file and local files (DE, NL, SG, SE) must be commissioned for the new ownership structure (Action A-402). CbCR obligations apply at the Meridian group level (&gt;EUR 750M revenue).</w:t>
      </w:r>
    </w:p>
    <w:p>
      <w:pPr>
        <w:spacing w:before="280" w:after="80"/>
        <w:pBdr>
          <w:bottom w:val="single" w:sz="6" w:space="2" w:color="1F3864"/>
        </w:pBdr>
      </w:pPr>
      <w:r>
        <w:rPr>
          <w:b/>
          <w:color w:val="1F3864"/>
          <w:sz w:val="26"/>
        </w:rPr>
        <w:t>8. Post-Close Restructuring (Phase 1)</w:t>
      </w:r>
    </w:p>
    <w:p>
      <w:pPr>
        <w:spacing w:before="200" w:after="60"/>
      </w:pPr>
      <w:r>
        <w:rPr>
          <w:b/>
          <w:color w:val="2E5496"/>
          <w:sz w:val="23"/>
        </w:rPr>
        <w:t>8.1 Step 5 — GmbH merger (Nordenvik Holding GmbH into Nordenvik Deutschland GmbH)</w:t>
      </w:r>
    </w:p>
    <w:p>
      <w:pPr>
        <w:spacing w:after="120"/>
        <w:jc w:val="both"/>
      </w:pPr>
      <w:r>
        <w:rPr>
          <w:b w:val="0"/>
          <w:i w:val="0"/>
          <w:sz w:val="21"/>
        </w:rPr>
        <w:t>The merger is intended to be a tax-neutral book-value carryover under §§11–13 UmwStG, eliminating the redundant German intermediate entity. Two critical points:</w:t>
      </w:r>
    </w:p>
    <w:p>
      <w:pPr>
        <w:pStyle w:val="ListBullet"/>
        <w:spacing w:after="60"/>
      </w:pPr>
      <w:r>
        <w:rPr>
          <w:b/>
          <w:sz w:val="21"/>
        </w:rPr>
        <w:t xml:space="preserve">Timing — </w:t>
      </w:r>
      <w:r>
        <w:rPr>
          <w:sz w:val="21"/>
        </w:rPr>
        <w:t>The merger must be registered with the Munich commercial register by 31 August 2025 for a 1 January 2025 retroactive tax-effective date (8-month rule, §17(2) UmwStG).</w:t>
      </w:r>
    </w:p>
    <w:p>
      <w:pPr>
        <w:pStyle w:val="ListBullet"/>
        <w:spacing w:after="60"/>
      </w:pPr>
      <w:r>
        <w:rPr>
          <w:b/>
          <w:sz w:val="21"/>
        </w:rPr>
        <w:t xml:space="preserve">§22 UmwStG lock-up — </w:t>
      </w:r>
      <w:r>
        <w:rPr>
          <w:sz w:val="21"/>
        </w:rPr>
        <w:t>Section 22 UmwStG imposes a 5-year lock-up on transferred assets/shares. A disposal or deemed disposal before 1 January 2030 retroactively unwinds the tax neutrality, triggering a taxable gain at FMV. The assets transferred include Nordenvik Holding GmbH's 60% stake in Nordenvik Group AB (carried at historic cost, far below ~EUR 134M FMV). Estimated retroactive exposure on an early exit: EUR 26–33M. This constraint is NOT in the current integration plan (Doc 24) and must be added, calendared, and built into exit modeling (Actions A-104, A-105). It directly conflicts with a flexible exit before 2030.</w:t>
      </w:r>
    </w:p>
    <w:p>
      <w:pPr>
        <w:spacing w:before="200" w:after="60"/>
      </w:pPr>
      <w:r>
        <w:rPr>
          <w:b/>
          <w:color w:val="2E5496"/>
          <w:sz w:val="23"/>
        </w:rPr>
        <w:t>8.2 Irish IP HoldCo migration (Phase 2 — not Day 1)</w:t>
      </w:r>
    </w:p>
    <w:p>
      <w:pPr>
        <w:spacing w:after="120"/>
        <w:jc w:val="both"/>
      </w:pPr>
      <w:r>
        <w:rPr>
          <w:b w:val="0"/>
          <w:i w:val="0"/>
          <w:sz w:val="21"/>
        </w:rPr>
        <w:t>The integration plan (Doc 24) contemplates migrating group IP from Nordenvik BV to a new Irish entity to access the Knowledge Development Box (6.25%). This is NOT part of the Day 1 structure and carries material unresolved issues:</w:t>
      </w:r>
    </w:p>
    <w:p>
      <w:pPr>
        <w:pStyle w:val="ListBullet"/>
        <w:spacing w:after="60"/>
      </w:pPr>
      <w:r>
        <w:rPr>
          <w:b/>
          <w:sz w:val="21"/>
        </w:rPr>
        <w:t xml:space="preserve">Dutch exit charge — </w:t>
      </w:r>
      <w:r>
        <w:rPr>
          <w:sz w:val="21"/>
        </w:rPr>
        <w:t>Dutch exit charge on IP出境: deemed disposal at FMV (EUR 55M) over tax book value (EUR 42M) → ≥EUR 13M gain → ~EUR 3.35M Dutch CIT (more if FMV has appreciated). Not analyzed in Doc 24 (Action A-702).</w:t>
      </w:r>
    </w:p>
    <w:p>
      <w:pPr>
        <w:pStyle w:val="ListBullet"/>
        <w:spacing w:after="60"/>
      </w:pPr>
      <w:r>
        <w:rPr>
          <w:b/>
          <w:sz w:val="21"/>
        </w:rPr>
        <w:t xml:space="preserve">Swedish CFC risk — </w:t>
      </w:r>
      <w:r>
        <w:rPr>
          <w:sz w:val="21"/>
        </w:rPr>
        <w:t>Ireland's KDB rate of 6.25% is BELOW the Swedish CFC threshold of 11.22% (55% × 20.6%). The Irish IP HoldCo could be classified as a CFC, causing Nordenvik Group AB to include the Irish income in Swedish taxable income — potentially negating the entire benefit. Not analyzed in Doc 24 (Action A-703).</w:t>
      </w:r>
    </w:p>
    <w:p>
      <w:pPr>
        <w:pStyle w:val="ListBullet"/>
        <w:spacing w:after="60"/>
      </w:pPr>
      <w:r>
        <w:rPr>
          <w:b/>
          <w:sz w:val="21"/>
        </w:rPr>
        <w:t xml:space="preserve">Nexus &amp; WHT — </w:t>
      </w:r>
      <w:r>
        <w:rPr>
          <w:sz w:val="21"/>
        </w:rPr>
        <w:t>The KDB nexus fraction may be well below 100% because the IP was developed in Germany and Sweden, not Ireland. Singapore has no DTA with Ireland, so royalties from Singapore would bear 10% WHT.</w:t>
      </w:r>
    </w:p>
    <w:p>
      <w:pPr>
        <w:spacing w:after="120"/>
        <w:jc w:val="both"/>
      </w:pPr>
      <w:r>
        <w:rPr>
          <w:b w:val="0"/>
          <w:i w:val="0"/>
          <w:sz w:val="21"/>
        </w:rPr>
        <w:t>Recommendation: do NOT proceed with the Irish migration until the Dutch exit charge, Swedish CFC analysis, and KDB nexus analysis are complete. The Dutch Innovation Box (9%) at Nordenvik BV — conditional on substance remediation — is a lower-risk interim alternative (Action A-205).</w:t>
      </w:r>
    </w:p>
    <w:p>
      <w:pPr>
        <w:spacing w:before="280" w:after="80"/>
        <w:pBdr>
          <w:bottom w:val="single" w:sz="6" w:space="2" w:color="1F3864"/>
        </w:pBdr>
      </w:pPr>
      <w:r>
        <w:rPr>
          <w:b/>
          <w:color w:val="1F3864"/>
          <w:sz w:val="26"/>
        </w:rPr>
        <w:t>9. DAC6 and Cross-Border Reporting</w:t>
      </w:r>
    </w:p>
    <w:p>
      <w:pPr>
        <w:spacing w:after="120"/>
        <w:jc w:val="both"/>
      </w:pPr>
      <w:r>
        <w:rPr>
          <w:b w:val="0"/>
          <w:i w:val="0"/>
          <w:sz w:val="21"/>
        </w:rPr>
        <w:t>The DAC6 analysis (Doc 23) is incomplete: Hallmarks A and B have been assessed and dismissed (no confidentiality, contingent fee, or standardized-structure features; target is profitable, not loss-driven). Hallmark C analysis (deductible cross-border payments to associated enterprises) has been commenced but not concluded, and Hallmarks D and E have not been assessed. No filing determination has been made. The Luxembourg and Netherlands implementing legislation imposes a 30-day filing deadline from the earlier of the arrangement being made available, ready for implementation, or first step implemented. The intermediary/taxpayer allocation (Hargrove &amp; Lund as U.S. counsel; LU/NL local counsel; MCP HoldCo and BidCo as relevant taxpayers) has not been completed. This must be concluded before closing with LU and NL counsel (Action A-601).</w:t>
      </w:r>
    </w:p>
    <w:p>
      <w:pPr>
        <w:spacing w:before="280" w:after="80"/>
        <w:pBdr>
          <w:bottom w:val="single" w:sz="6" w:space="2" w:color="1F3864"/>
        </w:pBdr>
      </w:pPr>
      <w:r>
        <w:rPr>
          <w:b/>
          <w:color w:val="1F3864"/>
          <w:sz w:val="26"/>
        </w:rPr>
        <w:t>10. Pillar Two (GloBE)</w:t>
      </w:r>
    </w:p>
    <w:p>
      <w:pPr>
        <w:spacing w:after="120"/>
        <w:jc w:val="both"/>
      </w:pPr>
      <w:r>
        <w:rPr>
          <w:b w:val="0"/>
          <w:i w:val="0"/>
          <w:sz w:val="21"/>
        </w:rPr>
        <w:t>The Nordenvik group is currently OUT of scope of the OECD Pillar Two GloBE rules (FY2023 consolidated revenue EUR 312M &lt; EUR 750M threshold). Based on projected revenue growth, the threshold may be crossed around FY2029–FY2032. When in scope, jurisdictions with effective tax rates below 15% would attract top-up tax: Nordenvik BV (NL IP-box, ~11.5%), MCP HoldCo (Luxembourg, ~0.2%), and Singapore (DEI, 5–7.8%). Illustrative pro forma top-up (FY2027): ~EUR 1.21M, collected locally via QDMTTs (enacted in NL, LU, SE, DE; expected in SG). The Luxembourg holding layer and the Singapore DEI benefit erode materially under Pillar Two and should be re-evaluated when the threshold approaches (Actions A-704, A-705). Transitional CbCR safe harbors through FY2026 underscore the need for high-quality CbCR data.</w:t>
      </w:r>
    </w:p>
    <w:p>
      <w:pPr>
        <w:spacing w:before="280" w:after="80"/>
        <w:pBdr>
          <w:bottom w:val="single" w:sz="6" w:space="2" w:color="1F3864"/>
        </w:pBdr>
      </w:pPr>
      <w:r>
        <w:rPr>
          <w:b/>
          <w:color w:val="1F3864"/>
          <w:sz w:val="26"/>
        </w:rPr>
        <w:t>11. Effective Tax Rate</w:t>
      </w:r>
    </w:p>
    <w:p>
      <w:pPr>
        <w:spacing w:after="120"/>
        <w:jc w:val="both"/>
      </w:pPr>
      <w:r>
        <w:rPr>
          <w:b w:val="0"/>
          <w:i w:val="0"/>
          <w:sz w:val="21"/>
        </w:rPr>
        <w:t>The financial model (Doc 5) reports a blended group ETR rising from 18.1% (FY2025) to 22.9% (FY2030), and an 'optimized' ETR of 17.4%→21.6% if recommendations are implemented (cumulative 6-year saving EUR 2.78M). These figures are NOT reliable as presented because they embed the two model errors (Singapore 5%; Swedish zero-disallowance). The Tax Cost Model ('Tax Cost Waterfall' tab) presents both the as-modeled and corrected waterfalls. The corrected figures are higher and must be used for re-underwriting. The 'optimized' scenario additionally assumes Zinsschranke optimization from FY2026, DEMPE substance securing the IP-box, no Pillar Two within the period, and Singapore DEI maintenance — each of which is contingent on the action items in the tracker.</w:t>
      </w:r>
    </w:p>
    <w:p>
      <w:pPr>
        <w:spacing w:before="280" w:after="80"/>
        <w:pBdr>
          <w:bottom w:val="single" w:sz="6" w:space="2" w:color="1F3864"/>
        </w:pBdr>
      </w:pPr>
      <w:r>
        <w:rPr>
          <w:b/>
          <w:color w:val="1F3864"/>
          <w:sz w:val="26"/>
        </w:rPr>
        <w:t>12. Evidence Gaps and Open Items</w:t>
      </w:r>
    </w:p>
    <w:p>
      <w:pPr>
        <w:spacing w:after="120"/>
        <w:jc w:val="both"/>
      </w:pPr>
      <w:r>
        <w:rPr>
          <w:b w:val="0"/>
          <w:i w:val="0"/>
          <w:sz w:val="21"/>
        </w:rPr>
        <w:t>The following inconsistencies and gaps in the source documents must be resolved before reliance (full register in the Tax Cost Model, 'Evidence Gaps' tab, and the Action-Item Tracker):</w:t>
      </w:r>
    </w:p>
    <w:tbl>
      <w:tblPr>
        <w:tblStyle w:val="TableGrid"/>
        <w:tblW w:type="auto" w:w="0"/>
        <w:jc w:val="center"/>
        <w:tblLook w:firstColumn="1" w:firstRow="1" w:lastColumn="0" w:lastRow="0" w:noHBand="0" w:noVBand="1" w:val="04A0"/>
      </w:tblPr>
      <w:tblGrid>
        <w:gridCol w:w="4873"/>
        <w:gridCol w:w="4873"/>
      </w:tblGrid>
      <w:tr>
        <w:tc>
          <w:tcPr>
            <w:tcW w:type="dxa" w:w="2448"/>
            <w:shd w:val="clear" w:color="auto" w:fill="1F3864"/>
          </w:tcPr>
          <w:p>
            <w:pPr>
              <w:spacing w:after="40" w:before="40"/>
              <w:jc w:val="center"/>
            </w:pPr>
            <w:r/>
            <w:r>
              <w:rPr>
                <w:b/>
                <w:color w:val="FFFFFF"/>
                <w:sz w:val="18"/>
              </w:rPr>
              <w:t>Issue</w:t>
            </w:r>
          </w:p>
        </w:tc>
        <w:tc>
          <w:tcPr>
            <w:tcW w:type="dxa" w:w="6912"/>
            <w:shd w:val="clear" w:color="auto" w:fill="1F3864"/>
          </w:tcPr>
          <w:p>
            <w:pPr>
              <w:spacing w:after="40" w:before="40"/>
              <w:jc w:val="center"/>
            </w:pPr>
            <w:r/>
            <w:r>
              <w:rPr>
                <w:b/>
                <w:color w:val="FFFFFF"/>
                <w:sz w:val="18"/>
              </w:rPr>
              <w:t>Inconsistency / gap</w:t>
            </w:r>
          </w:p>
        </w:tc>
      </w:tr>
      <w:tr>
        <w:tc>
          <w:tcPr>
            <w:tcW w:type="dxa" w:w="2448"/>
          </w:tcPr>
          <w:p>
            <w:pPr>
              <w:spacing w:after="40" w:before="40"/>
              <w:jc w:val="left"/>
            </w:pPr>
            <w:r/>
            <w:r>
              <w:rPr>
                <w:b/>
                <w:sz w:val="18"/>
              </w:rPr>
              <w:t>Singapore rate</w:t>
            </w:r>
          </w:p>
        </w:tc>
        <w:tc>
          <w:tcPr>
            <w:tcW w:type="dxa" w:w="6912"/>
          </w:tcPr>
          <w:p>
            <w:pPr>
              <w:spacing w:after="40" w:before="40"/>
              <w:jc w:val="center"/>
            </w:pPr>
            <w:r/>
            <w:r>
              <w:rPr>
                <w:b w:val="0"/>
                <w:sz w:val="18"/>
              </w:rPr>
              <w:t>Model 5% vs opinion/chart 17% (Pioneer expired). Material; re-underwrite.</w:t>
            </w:r>
          </w:p>
        </w:tc>
      </w:tr>
      <w:tr>
        <w:tc>
          <w:tcPr>
            <w:tcW w:type="dxa" w:w="2448"/>
            <w:shd w:val="clear" w:color="auto" w:fill="EAF0FA"/>
          </w:tcPr>
          <w:p>
            <w:pPr>
              <w:spacing w:after="40" w:before="40"/>
              <w:jc w:val="left"/>
            </w:pPr>
            <w:r/>
            <w:r>
              <w:rPr>
                <w:b/>
                <w:sz w:val="18"/>
              </w:rPr>
              <w:t>Swedish interest disallowance</w:t>
            </w:r>
          </w:p>
        </w:tc>
        <w:tc>
          <w:tcPr>
            <w:tcW w:type="dxa" w:w="6912"/>
            <w:shd w:val="clear" w:color="auto" w:fill="EAF0FA"/>
          </w:tcPr>
          <w:p>
            <w:pPr>
              <w:spacing w:after="40" w:before="40"/>
              <w:jc w:val="center"/>
            </w:pPr>
            <w:r/>
            <w:r>
              <w:rPr>
                <w:b w:val="0"/>
                <w:sz w:val="18"/>
              </w:rPr>
              <w:t>Model SEK 0 (consolidated EBITDA) vs opinion SEK 2–14M (standalone). Material.</w:t>
            </w:r>
          </w:p>
        </w:tc>
      </w:tr>
      <w:tr>
        <w:tc>
          <w:tcPr>
            <w:tcW w:type="dxa" w:w="2448"/>
          </w:tcPr>
          <w:p>
            <w:pPr>
              <w:spacing w:after="40" w:before="40"/>
              <w:jc w:val="left"/>
            </w:pPr>
            <w:r/>
            <w:r>
              <w:rPr>
                <w:b/>
                <w:sz w:val="18"/>
              </w:rPr>
              <w:t>Stille Reserven analysis</w:t>
            </w:r>
          </w:p>
        </w:tc>
        <w:tc>
          <w:tcPr>
            <w:tcW w:type="dxa" w:w="6912"/>
          </w:tcPr>
          <w:p>
            <w:pPr>
              <w:spacing w:after="40" w:before="40"/>
              <w:jc w:val="center"/>
            </w:pPr>
            <w:r/>
            <w:r>
              <w:rPr>
                <w:b w:val="0"/>
                <w:sz w:val="18"/>
              </w:rPr>
              <w:t>Not performed; determines EUR 3.8M German loss preservation.</w:t>
            </w:r>
          </w:p>
        </w:tc>
      </w:tr>
      <w:tr>
        <w:tc>
          <w:tcPr>
            <w:tcW w:type="dxa" w:w="2448"/>
            <w:shd w:val="clear" w:color="auto" w:fill="EAF0FA"/>
          </w:tcPr>
          <w:p>
            <w:pPr>
              <w:spacing w:after="40" w:before="40"/>
              <w:jc w:val="left"/>
            </w:pPr>
            <w:r/>
            <w:r>
              <w:rPr>
                <w:b/>
                <w:sz w:val="18"/>
              </w:rPr>
              <w:t>Entity register</w:t>
            </w:r>
          </w:p>
        </w:tc>
        <w:tc>
          <w:tcPr>
            <w:tcW w:type="dxa" w:w="6912"/>
            <w:shd w:val="clear" w:color="auto" w:fill="EAF0FA"/>
          </w:tcPr>
          <w:p>
            <w:pPr>
              <w:spacing w:after="40" w:before="40"/>
              <w:jc w:val="center"/>
            </w:pPr>
            <w:r/>
            <w:r>
              <w:rPr>
                <w:b w:val="0"/>
                <w:sz w:val="18"/>
              </w:rPr>
              <w:t>Doc 2/3/5 disagree on operating subs; sponsor named 'MonteCedro' in Doc 5 App A.</w:t>
            </w:r>
          </w:p>
        </w:tc>
      </w:tr>
      <w:tr>
        <w:tc>
          <w:tcPr>
            <w:tcW w:type="dxa" w:w="2448"/>
          </w:tcPr>
          <w:p>
            <w:pPr>
              <w:spacing w:after="40" w:before="40"/>
              <w:jc w:val="left"/>
            </w:pPr>
            <w:r/>
            <w:r>
              <w:rPr>
                <w:b/>
                <w:sz w:val="18"/>
              </w:rPr>
              <w:t>Nordenvik BV headcount</w:t>
            </w:r>
          </w:p>
        </w:tc>
        <w:tc>
          <w:tcPr>
            <w:tcW w:type="dxa" w:w="6912"/>
          </w:tcPr>
          <w:p>
            <w:pPr>
              <w:spacing w:after="40" w:before="40"/>
              <w:jc w:val="center"/>
            </w:pPr>
            <w:r/>
            <w:r>
              <w:rPr>
                <w:b w:val="0"/>
                <w:sz w:val="18"/>
              </w:rPr>
              <w:t>4 (Doc 9/EY) vs 3.5 FTE (Doc 2) vs 8 FTE (Doc 5 DEMPE table).</w:t>
            </w:r>
          </w:p>
        </w:tc>
      </w:tr>
      <w:tr>
        <w:tc>
          <w:tcPr>
            <w:tcW w:type="dxa" w:w="2448"/>
            <w:shd w:val="clear" w:color="auto" w:fill="EAF0FA"/>
          </w:tcPr>
          <w:p>
            <w:pPr>
              <w:spacing w:after="40" w:before="40"/>
              <w:jc w:val="left"/>
            </w:pPr>
            <w:r/>
            <w:r>
              <w:rPr>
                <w:b/>
                <w:sz w:val="18"/>
              </w:rPr>
              <w:t>Royalty rates</w:t>
            </w:r>
          </w:p>
        </w:tc>
        <w:tc>
          <w:tcPr>
            <w:tcW w:type="dxa" w:w="6912"/>
            <w:shd w:val="clear" w:color="auto" w:fill="EAF0FA"/>
          </w:tcPr>
          <w:p>
            <w:pPr>
              <w:spacing w:after="40" w:before="40"/>
              <w:jc w:val="center"/>
            </w:pPr>
            <w:r/>
            <w:r>
              <w:rPr>
                <w:b w:val="0"/>
                <w:sz w:val="18"/>
              </w:rPr>
              <w:t>4.5/5.0% (Doc 2) vs 5.5/4.0/5.0/4.5% (Doc 5) vs 6.0–8.5% (Doc 5 App C) vs 3.5–5.8% (Doc 24).</w:t>
            </w:r>
          </w:p>
        </w:tc>
      </w:tr>
      <w:tr>
        <w:tc>
          <w:tcPr>
            <w:tcW w:type="dxa" w:w="2448"/>
          </w:tcPr>
          <w:p>
            <w:pPr>
              <w:spacing w:after="40" w:before="40"/>
              <w:jc w:val="left"/>
            </w:pPr>
            <w:r/>
            <w:r>
              <w:rPr>
                <w:b/>
                <w:sz w:val="18"/>
              </w:rPr>
              <w:t>Intercompany loan to Germany</w:t>
            </w:r>
          </w:p>
        </w:tc>
        <w:tc>
          <w:tcPr>
            <w:tcW w:type="dxa" w:w="6912"/>
          </w:tcPr>
          <w:p>
            <w:pPr>
              <w:spacing w:after="40" w:before="40"/>
              <w:jc w:val="center"/>
            </w:pPr>
            <w:r/>
            <w:r>
              <w:rPr>
                <w:b w:val="0"/>
                <w:sz w:val="18"/>
              </w:rPr>
              <w:t>EUR 52M (Doc 8) vs EUR 42M (Doc 5 App B).</w:t>
            </w:r>
          </w:p>
        </w:tc>
      </w:tr>
      <w:tr>
        <w:tc>
          <w:tcPr>
            <w:tcW w:type="dxa" w:w="2448"/>
            <w:shd w:val="clear" w:color="auto" w:fill="EAF0FA"/>
          </w:tcPr>
          <w:p>
            <w:pPr>
              <w:spacing w:after="40" w:before="40"/>
              <w:jc w:val="left"/>
            </w:pPr>
            <w:r/>
            <w:r>
              <w:rPr>
                <w:b/>
                <w:sz w:val="18"/>
              </w:rPr>
              <w:t>LTM EBITDA</w:t>
            </w:r>
          </w:p>
        </w:tc>
        <w:tc>
          <w:tcPr>
            <w:tcW w:type="dxa" w:w="6912"/>
            <w:shd w:val="clear" w:color="auto" w:fill="EAF0FA"/>
          </w:tcPr>
          <w:p>
            <w:pPr>
              <w:spacing w:after="40" w:before="40"/>
              <w:jc w:val="center"/>
            </w:pPr>
            <w:r/>
            <w:r>
              <w:rPr>
                <w:b w:val="0"/>
                <w:sz w:val="18"/>
              </w:rPr>
              <w:t>SEK 464M (Doc 4/7/12) vs SEK 478M (Doc 5).</w:t>
            </w:r>
          </w:p>
        </w:tc>
      </w:tr>
      <w:tr>
        <w:tc>
          <w:tcPr>
            <w:tcW w:type="dxa" w:w="2448"/>
          </w:tcPr>
          <w:p>
            <w:pPr>
              <w:spacing w:after="40" w:before="40"/>
              <w:jc w:val="left"/>
            </w:pPr>
            <w:r/>
            <w:r>
              <w:rPr>
                <w:b/>
                <w:sz w:val="18"/>
              </w:rPr>
              <w:t>DAC6 analysis</w:t>
            </w:r>
          </w:p>
        </w:tc>
        <w:tc>
          <w:tcPr>
            <w:tcW w:type="dxa" w:w="6912"/>
          </w:tcPr>
          <w:p>
            <w:pPr>
              <w:spacing w:after="40" w:before="40"/>
              <w:jc w:val="center"/>
            </w:pPr>
            <w:r/>
            <w:r>
              <w:rPr>
                <w:b w:val="0"/>
                <w:sz w:val="18"/>
              </w:rPr>
              <w:t>Incomplete (Hallmarks D/E not assessed; no filing conclusion).</w:t>
            </w:r>
          </w:p>
        </w:tc>
      </w:tr>
      <w:tr>
        <w:tc>
          <w:tcPr>
            <w:tcW w:type="dxa" w:w="2448"/>
            <w:shd w:val="clear" w:color="auto" w:fill="EAF0FA"/>
          </w:tcPr>
          <w:p>
            <w:pPr>
              <w:spacing w:after="40" w:before="40"/>
              <w:jc w:val="left"/>
            </w:pPr>
            <w:r/>
            <w:r>
              <w:rPr>
                <w:b/>
                <w:sz w:val="18"/>
              </w:rPr>
              <w:t>Irish IP migration</w:t>
            </w:r>
          </w:p>
        </w:tc>
        <w:tc>
          <w:tcPr>
            <w:tcW w:type="dxa" w:w="6912"/>
            <w:shd w:val="clear" w:color="auto" w:fill="EAF0FA"/>
          </w:tcPr>
          <w:p>
            <w:pPr>
              <w:spacing w:after="40" w:before="40"/>
              <w:jc w:val="center"/>
            </w:pPr>
            <w:r/>
            <w:r>
              <w:rPr>
                <w:b w:val="0"/>
                <w:sz w:val="18"/>
              </w:rPr>
              <w:t>No Dutch exit-charge or Swedish CFC analysis (Doc 24).</w:t>
            </w:r>
          </w:p>
        </w:tc>
      </w:tr>
      <w:tr>
        <w:tc>
          <w:tcPr>
            <w:tcW w:type="dxa" w:w="2448"/>
          </w:tcPr>
          <w:p>
            <w:pPr>
              <w:spacing w:after="40" w:before="40"/>
              <w:jc w:val="left"/>
            </w:pPr>
            <w:r/>
            <w:r>
              <w:rPr>
                <w:b/>
                <w:sz w:val="18"/>
              </w:rPr>
              <w:t>§22 UmwStG lock-up</w:t>
            </w:r>
          </w:p>
        </w:tc>
        <w:tc>
          <w:tcPr>
            <w:tcW w:type="dxa" w:w="6912"/>
          </w:tcPr>
          <w:p>
            <w:pPr>
              <w:spacing w:after="40" w:before="40"/>
              <w:jc w:val="center"/>
            </w:pPr>
            <w:r/>
            <w:r>
              <w:rPr>
                <w:b w:val="0"/>
                <w:sz w:val="18"/>
              </w:rPr>
              <w:t>Omitted from integration plan; EUR 26–33M early-exit exposure.</w:t>
            </w:r>
          </w:p>
        </w:tc>
      </w:tr>
    </w:tbl>
    <w:p>
      <w:pPr>
        <w:spacing w:before="280" w:after="80"/>
        <w:pBdr>
          <w:bottom w:val="single" w:sz="6" w:space="2" w:color="1F3864"/>
        </w:pBdr>
      </w:pPr>
      <w:r>
        <w:rPr>
          <w:b/>
          <w:color w:val="1F3864"/>
          <w:sz w:val="26"/>
        </w:rPr>
        <w:t>13. Implementation Controls</w:t>
      </w:r>
    </w:p>
    <w:p>
      <w:pPr>
        <w:spacing w:after="120"/>
        <w:jc w:val="both"/>
      </w:pPr>
      <w:r>
        <w:rPr>
          <w:b w:val="0"/>
          <w:i w:val="0"/>
          <w:sz w:val="21"/>
        </w:rPr>
        <w:t>The following controls govern implementation of the recommended structure and are tracked in the Action-Item Tracker:</w:t>
      </w:r>
    </w:p>
    <w:p>
      <w:pPr>
        <w:pStyle w:val="ListBullet"/>
        <w:spacing w:after="60"/>
      </w:pPr>
      <w:r>
        <w:rPr>
          <w:b/>
          <w:sz w:val="21"/>
        </w:rPr>
        <w:t xml:space="preserve">Pre-signing model control — </w:t>
      </w:r>
      <w:r>
        <w:rPr>
          <w:sz w:val="21"/>
        </w:rPr>
        <w:t>Correct the financial model (Singapore 17%; Swedish standalone-EBITDA disallowance) and re-underwrite IRR/MOIC before SPA signing (Actions A-001, A-002).</w:t>
      </w:r>
    </w:p>
    <w:p>
      <w:pPr>
        <w:pStyle w:val="ListBullet"/>
        <w:spacing w:after="60"/>
      </w:pPr>
      <w:r>
        <w:rPr>
          <w:b/>
          <w:sz w:val="21"/>
        </w:rPr>
        <w:t xml:space="preserve">German §8c control — </w:t>
      </w:r>
      <w:r>
        <w:rPr>
          <w:sz w:val="21"/>
        </w:rPr>
        <w:t>Commission the Stille Reserven valuation and reflect the outcome in price/escrow/PPA before SPA execution (Actions A-101, A-102).</w:t>
      </w:r>
    </w:p>
    <w:p>
      <w:pPr>
        <w:pStyle w:val="ListBullet"/>
        <w:spacing w:after="60"/>
      </w:pPr>
      <w:r>
        <w:rPr>
          <w:b/>
          <w:sz w:val="21"/>
        </w:rPr>
        <w:t xml:space="preserve">Debt placement control — </w:t>
      </w:r>
      <w:r>
        <w:rPr>
          <w:sz w:val="21"/>
        </w:rPr>
        <w:t>Adopt Option A debt placement; document the Dutch interest deductibility opinion for lender CP #9 (Action A-003).</w:t>
      </w:r>
    </w:p>
    <w:p>
      <w:pPr>
        <w:pStyle w:val="ListBullet"/>
        <w:spacing w:after="60"/>
      </w:pPr>
      <w:r>
        <w:rPr>
          <w:b/>
          <w:sz w:val="21"/>
        </w:rPr>
        <w:t xml:space="preserve">Dutch controls — </w:t>
      </w:r>
      <w:r>
        <w:rPr>
          <w:sz w:val="21"/>
        </w:rPr>
        <w:t>File the Dutch fiscal unity by 1 July 2025; remediate Nordenvik BV substance; renew the APA by 30 June 2025 (Actions A-201, A-202, A-203).</w:t>
      </w:r>
    </w:p>
    <w:p>
      <w:pPr>
        <w:pStyle w:val="ListBullet"/>
        <w:spacing w:after="60"/>
      </w:pPr>
      <w:r>
        <w:rPr>
          <w:b/>
          <w:sz w:val="21"/>
        </w:rPr>
        <w:t xml:space="preserve">SPA/RWI controls — </w:t>
      </w:r>
      <w:r>
        <w:rPr>
          <w:sz w:val="21"/>
        </w:rPr>
        <w:t>Negotiate a specific indemnity/escrow for the EUR 2.4M German audit contingent (RWI-excluded); confirm no German real property (Actions A-501, A-502).</w:t>
      </w:r>
    </w:p>
    <w:p>
      <w:pPr>
        <w:pStyle w:val="ListBullet"/>
        <w:spacing w:after="60"/>
      </w:pPr>
      <w:r>
        <w:rPr>
          <w:b/>
          <w:sz w:val="21"/>
        </w:rPr>
        <w:t xml:space="preserve">DAC6 control — </w:t>
      </w:r>
      <w:r>
        <w:rPr>
          <w:sz w:val="21"/>
        </w:rPr>
        <w:t>Complete the DAC6 analysis and filing determination with LU/NL counsel before closing (Action A-601).</w:t>
      </w:r>
    </w:p>
    <w:p>
      <w:pPr>
        <w:pStyle w:val="ListBullet"/>
        <w:spacing w:after="60"/>
      </w:pPr>
      <w:r>
        <w:rPr>
          <w:b/>
          <w:sz w:val="21"/>
        </w:rPr>
        <w:t xml:space="preserve">Merger controls — </w:t>
      </w:r>
      <w:r>
        <w:rPr>
          <w:sz w:val="21"/>
        </w:rPr>
        <w:t>Add the §22 UmwStG 5-year lock-up to the integration plan and exit modeling; do not file §8d (Actions A-104, A-105, A-106).</w:t>
      </w:r>
    </w:p>
    <w:p>
      <w:pPr>
        <w:pStyle w:val="ListBullet"/>
        <w:spacing w:after="60"/>
      </w:pPr>
      <w:r>
        <w:rPr>
          <w:b/>
          <w:sz w:val="21"/>
        </w:rPr>
        <w:t xml:space="preserve">TP controls — </w:t>
      </w:r>
      <w:r>
        <w:rPr>
          <w:sz w:val="21"/>
        </w:rPr>
        <w:t>Adopt the KPMG TP study as single source; commission post-acquisition master/local files; implement BV travel tracking (Actions A-401 to A-405).</w:t>
      </w:r>
    </w:p>
    <w:p>
      <w:pPr>
        <w:pStyle w:val="ListBullet"/>
        <w:spacing w:after="60"/>
      </w:pPr>
      <w:r>
        <w:rPr>
          <w:b/>
          <w:sz w:val="21"/>
        </w:rPr>
        <w:t xml:space="preserve">Singapore controls — </w:t>
      </w:r>
      <w:r>
        <w:rPr>
          <w:sz w:val="21"/>
        </w:rPr>
        <w:t>File Singapore FY2024 ECI at 17%; pursue DEI application (Actions A-301, A-302).</w:t>
      </w:r>
    </w:p>
    <w:p>
      <w:pPr>
        <w:pStyle w:val="ListBullet"/>
        <w:spacing w:after="60"/>
      </w:pPr>
      <w:r>
        <w:rPr>
          <w:b/>
          <w:sz w:val="21"/>
        </w:rPr>
        <w:t xml:space="preserve">Pillar Two control — </w:t>
      </w:r>
      <w:r>
        <w:rPr>
          <w:sz w:val="21"/>
        </w:rPr>
        <w:t>Maintain CbCR data quality; monitor the EUR 750M Pillar Two threshold (Actions A-704, A-705).</w:t>
      </w:r>
    </w:p>
    <w:p>
      <w:pPr>
        <w:spacing w:before="280" w:after="80"/>
        <w:pBdr>
          <w:bottom w:val="single" w:sz="6" w:space="2" w:color="1F3864"/>
        </w:pBdr>
      </w:pPr>
      <w:r>
        <w:rPr>
          <w:b/>
          <w:color w:val="1F3864"/>
          <w:sz w:val="26"/>
        </w:rPr>
        <w:t>14. Assumptions and Limitations</w:t>
      </w:r>
    </w:p>
    <w:p>
      <w:pPr>
        <w:spacing w:after="120"/>
        <w:jc w:val="both"/>
      </w:pPr>
      <w:r>
        <w:rPr>
          <w:b w:val="0"/>
          <w:i w:val="0"/>
          <w:sz w:val="21"/>
        </w:rPr>
        <w:t>This memorandum is a tax structuring analysis, not a legal opinion of record. It relies on the accuracy and completeness of the source documents listed in the transmittal block and on the assumptions stated in the local tax opinions (Docs 7–10), including: (i) all transactions are implemented on arm's-length terms; (ii) entities remain tax resident as described; (iii) no material change in law before closing; (iv) beneficial ownership and substance conditions are met and maintained. We have not independently verified factual data, financial projections, or travel/PE records. Tax authority positions cannot be predicted with certainty. Country-specific advice from qualified local counsel in each jurisdiction must be obtained before implementing any recommended action. No advance rulings or binding rulings have been obtained except where noted. This memorandum speaks as of its date and we assume no obligation to update it.</w:t>
      </w:r>
    </w:p>
    <w:p>
      <w:pPr>
        <w:spacing w:after="120"/>
      </w:pPr>
    </w:p>
    <w:p>
      <w:r>
        <w:rPr>
          <w:sz w:val="21"/>
        </w:rPr>
        <w:t>Respectfully submitted,</w:t>
      </w:r>
    </w:p>
    <w:p>
      <w:r>
        <w:rPr>
          <w:b/>
          <w:color w:val="1F3864"/>
          <w:sz w:val="21"/>
        </w:rPr>
        <w:t>HARGROVE &amp; LUND LLP</w:t>
      </w:r>
    </w:p>
    <w:p>
      <w:r>
        <w:rPr>
          <w:sz w:val="19"/>
        </w:rPr>
        <w:t>Nathaniel Osei-Mensah, Partner — International Tax</w:t>
      </w:r>
    </w:p>
    <w:p>
      <w:r>
        <w:rPr>
          <w:sz w:val="19"/>
        </w:rPr>
        <w:t>Priya Subramaniam, Associate  |  Dirk van der Hoeven, Netherlands Desk</w:t>
      </w:r>
    </w:p>
    <w:p/>
    <w:p>
      <w:pPr>
        <w:spacing w:before="280" w:after="80"/>
        <w:keepNext/>
        <w:pBdr>
          <w:bottom w:val="single" w:sz="6" w:space="2" w:color="1F3864"/>
        </w:pBdr>
      </w:pPr>
      <w:r>
        <w:rPr>
          <w:b/>
          <w:color w:val="1F3864"/>
          <w:sz w:val="26"/>
        </w:rPr>
        <w:t>Appendix A — Source document map</w:t>
      </w:r>
    </w:p>
    <w:tbl>
      <w:tblPr>
        <w:tblStyle w:val="TableGrid"/>
        <w:tblW w:type="auto" w:w="0"/>
        <w:jc w:val="center"/>
        <w:tblLook w:firstColumn="1" w:firstRow="1" w:lastColumn="0" w:lastRow="0" w:noHBand="0" w:noVBand="1" w:val="04A0"/>
      </w:tblPr>
      <w:tblGrid>
        <w:gridCol w:w="4873"/>
        <w:gridCol w:w="4873"/>
      </w:tblGrid>
      <w:tr>
        <w:tc>
          <w:tcPr>
            <w:tcW w:type="dxa" w:w="1008"/>
            <w:shd w:val="clear" w:color="auto" w:fill="1F3864"/>
          </w:tcPr>
          <w:p>
            <w:pPr>
              <w:spacing w:after="40" w:before="40"/>
              <w:jc w:val="center"/>
            </w:pPr>
            <w:r/>
            <w:r>
              <w:rPr>
                <w:b/>
                <w:color w:val="FFFFFF"/>
                <w:sz w:val="18"/>
              </w:rPr>
              <w:t>Ref</w:t>
            </w:r>
          </w:p>
        </w:tc>
        <w:tc>
          <w:tcPr>
            <w:tcW w:type="dxa" w:w="8352"/>
            <w:shd w:val="clear" w:color="auto" w:fill="1F3864"/>
          </w:tcPr>
          <w:p>
            <w:pPr>
              <w:spacing w:after="40" w:before="40"/>
              <w:jc w:val="center"/>
            </w:pPr>
            <w:r/>
            <w:r>
              <w:rPr>
                <w:b/>
                <w:color w:val="FFFFFF"/>
                <w:sz w:val="18"/>
              </w:rPr>
              <w:t>Document</w:t>
            </w:r>
          </w:p>
        </w:tc>
      </w:tr>
      <w:tr>
        <w:tc>
          <w:tcPr>
            <w:tcW w:type="dxa" w:w="1008"/>
          </w:tcPr>
          <w:p>
            <w:pPr>
              <w:spacing w:after="40" w:before="40"/>
              <w:jc w:val="left"/>
            </w:pPr>
            <w:r/>
            <w:r>
              <w:rPr>
                <w:b/>
                <w:sz w:val="18"/>
              </w:rPr>
              <w:t>Doc 1</w:t>
            </w:r>
          </w:p>
        </w:tc>
        <w:tc>
          <w:tcPr>
            <w:tcW w:type="dxa" w:w="8352"/>
          </w:tcPr>
          <w:p>
            <w:pPr>
              <w:spacing w:after="40" w:before="40"/>
              <w:jc w:val="center"/>
            </w:pPr>
            <w:r/>
            <w:r>
              <w:rPr>
                <w:b w:val="0"/>
                <w:sz w:val="18"/>
              </w:rPr>
              <w:t>Draft Share Purchase Agreement (incl. Schedule 7 Tax Deed)</w:t>
            </w:r>
          </w:p>
        </w:tc>
      </w:tr>
      <w:tr>
        <w:tc>
          <w:tcPr>
            <w:tcW w:type="dxa" w:w="1008"/>
            <w:shd w:val="clear" w:color="auto" w:fill="EAF0FA"/>
          </w:tcPr>
          <w:p>
            <w:pPr>
              <w:spacing w:after="40" w:before="40"/>
              <w:jc w:val="left"/>
            </w:pPr>
            <w:r/>
            <w:r>
              <w:rPr>
                <w:b/>
                <w:sz w:val="18"/>
              </w:rPr>
              <w:t>Doc 2</w:t>
            </w:r>
          </w:p>
        </w:tc>
        <w:tc>
          <w:tcPr>
            <w:tcW w:type="dxa" w:w="8352"/>
            <w:shd w:val="clear" w:color="auto" w:fill="EAF0FA"/>
          </w:tcPr>
          <w:p>
            <w:pPr>
              <w:spacing w:after="40" w:before="40"/>
              <w:jc w:val="center"/>
            </w:pPr>
            <w:r/>
            <w:r>
              <w:rPr>
                <w:b w:val="0"/>
                <w:sz w:val="18"/>
              </w:rPr>
              <w:t>Group Corporate Structure Chart — Pre-Acquisition</w:t>
            </w:r>
          </w:p>
        </w:tc>
      </w:tr>
      <w:tr>
        <w:tc>
          <w:tcPr>
            <w:tcW w:type="dxa" w:w="1008"/>
          </w:tcPr>
          <w:p>
            <w:pPr>
              <w:spacing w:after="40" w:before="40"/>
              <w:jc w:val="left"/>
            </w:pPr>
            <w:r/>
            <w:r>
              <w:rPr>
                <w:b/>
                <w:sz w:val="18"/>
              </w:rPr>
              <w:t>Doc 3</w:t>
            </w:r>
          </w:p>
        </w:tc>
        <w:tc>
          <w:tcPr>
            <w:tcW w:type="dxa" w:w="8352"/>
          </w:tcPr>
          <w:p>
            <w:pPr>
              <w:spacing w:after="40" w:before="40"/>
              <w:jc w:val="center"/>
            </w:pPr>
            <w:r/>
            <w:r>
              <w:rPr>
                <w:b w:val="0"/>
                <w:sz w:val="18"/>
              </w:rPr>
              <w:t>Proposed Acquisition Structure Chart — Post-Acquisition</w:t>
            </w:r>
          </w:p>
        </w:tc>
      </w:tr>
      <w:tr>
        <w:tc>
          <w:tcPr>
            <w:tcW w:type="dxa" w:w="1008"/>
            <w:shd w:val="clear" w:color="auto" w:fill="EAF0FA"/>
          </w:tcPr>
          <w:p>
            <w:pPr>
              <w:spacing w:after="40" w:before="40"/>
              <w:jc w:val="left"/>
            </w:pPr>
            <w:r/>
            <w:r>
              <w:rPr>
                <w:b/>
                <w:sz w:val="18"/>
              </w:rPr>
              <w:t>Doc 4</w:t>
            </w:r>
          </w:p>
        </w:tc>
        <w:tc>
          <w:tcPr>
            <w:tcW w:type="dxa" w:w="8352"/>
            <w:shd w:val="clear" w:color="auto" w:fill="EAF0FA"/>
          </w:tcPr>
          <w:p>
            <w:pPr>
              <w:spacing w:after="40" w:before="40"/>
              <w:jc w:val="center"/>
            </w:pPr>
            <w:r/>
            <w:r>
              <w:rPr>
                <w:b w:val="0"/>
                <w:sz w:val="18"/>
              </w:rPr>
              <w:t>Financial Model — Transaction Overview Tab</w:t>
            </w:r>
          </w:p>
        </w:tc>
      </w:tr>
      <w:tr>
        <w:tc>
          <w:tcPr>
            <w:tcW w:type="dxa" w:w="1008"/>
          </w:tcPr>
          <w:p>
            <w:pPr>
              <w:spacing w:after="40" w:before="40"/>
              <w:jc w:val="left"/>
            </w:pPr>
            <w:r/>
            <w:r>
              <w:rPr>
                <w:b/>
                <w:sz w:val="18"/>
              </w:rPr>
              <w:t>Doc 5</w:t>
            </w:r>
          </w:p>
        </w:tc>
        <w:tc>
          <w:tcPr>
            <w:tcW w:type="dxa" w:w="8352"/>
          </w:tcPr>
          <w:p>
            <w:pPr>
              <w:spacing w:after="40" w:before="40"/>
              <w:jc w:val="center"/>
            </w:pPr>
            <w:r/>
            <w:r>
              <w:rPr>
                <w:b w:val="0"/>
                <w:sz w:val="18"/>
              </w:rPr>
              <w:t>Financial Model — Tax Analysis Tab</w:t>
            </w:r>
          </w:p>
        </w:tc>
      </w:tr>
      <w:tr>
        <w:tc>
          <w:tcPr>
            <w:tcW w:type="dxa" w:w="1008"/>
            <w:shd w:val="clear" w:color="auto" w:fill="EAF0FA"/>
          </w:tcPr>
          <w:p>
            <w:pPr>
              <w:spacing w:after="40" w:before="40"/>
              <w:jc w:val="left"/>
            </w:pPr>
            <w:r/>
            <w:r>
              <w:rPr>
                <w:b/>
                <w:sz w:val="18"/>
              </w:rPr>
              <w:t>Doc 6</w:t>
            </w:r>
          </w:p>
        </w:tc>
        <w:tc>
          <w:tcPr>
            <w:tcW w:type="dxa" w:w="8352"/>
            <w:shd w:val="clear" w:color="auto" w:fill="EAF0FA"/>
          </w:tcPr>
          <w:p>
            <w:pPr>
              <w:spacing w:after="40" w:before="40"/>
              <w:jc w:val="center"/>
            </w:pPr>
            <w:r/>
            <w:r>
              <w:rPr>
                <w:b w:val="0"/>
                <w:sz w:val="18"/>
              </w:rPr>
              <w:t>Financial Model — Transfer Pricing Tab</w:t>
            </w:r>
          </w:p>
        </w:tc>
      </w:tr>
      <w:tr>
        <w:tc>
          <w:tcPr>
            <w:tcW w:type="dxa" w:w="1008"/>
          </w:tcPr>
          <w:p>
            <w:pPr>
              <w:spacing w:after="40" w:before="40"/>
              <w:jc w:val="left"/>
            </w:pPr>
            <w:r/>
            <w:r>
              <w:rPr>
                <w:b/>
                <w:sz w:val="18"/>
              </w:rPr>
              <w:t>Doc 7</w:t>
            </w:r>
          </w:p>
        </w:tc>
        <w:tc>
          <w:tcPr>
            <w:tcW w:type="dxa" w:w="8352"/>
          </w:tcPr>
          <w:p>
            <w:pPr>
              <w:spacing w:after="40" w:before="40"/>
              <w:jc w:val="center"/>
            </w:pPr>
            <w:r/>
            <w:r>
              <w:rPr>
                <w:b w:val="0"/>
                <w:sz w:val="18"/>
              </w:rPr>
              <w:t>Swedish Local Tax Opinion — Lindström &amp; Partners (10 Dec 2024)</w:t>
            </w:r>
          </w:p>
        </w:tc>
      </w:tr>
      <w:tr>
        <w:tc>
          <w:tcPr>
            <w:tcW w:type="dxa" w:w="1008"/>
            <w:shd w:val="clear" w:color="auto" w:fill="EAF0FA"/>
          </w:tcPr>
          <w:p>
            <w:pPr>
              <w:spacing w:after="40" w:before="40"/>
              <w:jc w:val="left"/>
            </w:pPr>
            <w:r/>
            <w:r>
              <w:rPr>
                <w:b/>
                <w:sz w:val="18"/>
              </w:rPr>
              <w:t>Doc 8</w:t>
            </w:r>
          </w:p>
        </w:tc>
        <w:tc>
          <w:tcPr>
            <w:tcW w:type="dxa" w:w="8352"/>
            <w:shd w:val="clear" w:color="auto" w:fill="EAF0FA"/>
          </w:tcPr>
          <w:p>
            <w:pPr>
              <w:spacing w:after="40" w:before="40"/>
              <w:jc w:val="center"/>
            </w:pPr>
            <w:r/>
            <w:r>
              <w:rPr>
                <w:b w:val="0"/>
                <w:sz w:val="18"/>
              </w:rPr>
              <w:t>German Local Tax Opinion — Flossbach &amp; Steinberg (12 Dec 2024)</w:t>
            </w:r>
          </w:p>
        </w:tc>
      </w:tr>
      <w:tr>
        <w:tc>
          <w:tcPr>
            <w:tcW w:type="dxa" w:w="1008"/>
          </w:tcPr>
          <w:p>
            <w:pPr>
              <w:spacing w:after="40" w:before="40"/>
              <w:jc w:val="left"/>
            </w:pPr>
            <w:r/>
            <w:r>
              <w:rPr>
                <w:b/>
                <w:sz w:val="18"/>
              </w:rPr>
              <w:t>Doc 9</w:t>
            </w:r>
          </w:p>
        </w:tc>
        <w:tc>
          <w:tcPr>
            <w:tcW w:type="dxa" w:w="8352"/>
          </w:tcPr>
          <w:p>
            <w:pPr>
              <w:spacing w:after="40" w:before="40"/>
              <w:jc w:val="center"/>
            </w:pPr>
            <w:r/>
            <w:r>
              <w:rPr>
                <w:b w:val="0"/>
                <w:sz w:val="18"/>
              </w:rPr>
              <w:t>Dutch Local Tax Opinion — Van Steenbergen Tax BV (13 Dec 2024)</w:t>
            </w:r>
          </w:p>
        </w:tc>
      </w:tr>
      <w:tr>
        <w:tc>
          <w:tcPr>
            <w:tcW w:type="dxa" w:w="1008"/>
            <w:shd w:val="clear" w:color="auto" w:fill="EAF0FA"/>
          </w:tcPr>
          <w:p>
            <w:pPr>
              <w:spacing w:after="40" w:before="40"/>
              <w:jc w:val="left"/>
            </w:pPr>
            <w:r/>
            <w:r>
              <w:rPr>
                <w:b/>
                <w:sz w:val="18"/>
              </w:rPr>
              <w:t>Doc 10</w:t>
            </w:r>
          </w:p>
        </w:tc>
        <w:tc>
          <w:tcPr>
            <w:tcW w:type="dxa" w:w="8352"/>
            <w:shd w:val="clear" w:color="auto" w:fill="EAF0FA"/>
          </w:tcPr>
          <w:p>
            <w:pPr>
              <w:spacing w:after="40" w:before="40"/>
              <w:jc w:val="center"/>
            </w:pPr>
            <w:r/>
            <w:r>
              <w:rPr>
                <w:b w:val="0"/>
                <w:sz w:val="18"/>
              </w:rPr>
              <w:t>Singapore Local Tax Opinion — Rajah &amp; Tann Singapore LLP (11 Dec 2024)</w:t>
            </w:r>
          </w:p>
        </w:tc>
      </w:tr>
      <w:tr>
        <w:tc>
          <w:tcPr>
            <w:tcW w:type="dxa" w:w="1008"/>
          </w:tcPr>
          <w:p>
            <w:pPr>
              <w:spacing w:after="40" w:before="40"/>
              <w:jc w:val="left"/>
            </w:pPr>
            <w:r/>
            <w:r>
              <w:rPr>
                <w:b/>
                <w:sz w:val="18"/>
              </w:rPr>
              <w:t>Doc 11</w:t>
            </w:r>
          </w:p>
        </w:tc>
        <w:tc>
          <w:tcPr>
            <w:tcW w:type="dxa" w:w="8352"/>
          </w:tcPr>
          <w:p>
            <w:pPr>
              <w:spacing w:after="40" w:before="40"/>
              <w:jc w:val="center"/>
            </w:pPr>
            <w:r/>
            <w:r>
              <w:rPr>
                <w:b w:val="0"/>
                <w:sz w:val="18"/>
              </w:rPr>
              <w:t>Updated Transfer Pricing Study — KPMG (10 Jan 2025, draft)</w:t>
            </w:r>
          </w:p>
        </w:tc>
      </w:tr>
      <w:tr>
        <w:tc>
          <w:tcPr>
            <w:tcW w:type="dxa" w:w="1008"/>
            <w:shd w:val="clear" w:color="auto" w:fill="EAF0FA"/>
          </w:tcPr>
          <w:p>
            <w:pPr>
              <w:spacing w:after="40" w:before="40"/>
              <w:jc w:val="left"/>
            </w:pPr>
            <w:r/>
            <w:r>
              <w:rPr>
                <w:b/>
                <w:sz w:val="18"/>
              </w:rPr>
              <w:t>Doc 12</w:t>
            </w:r>
          </w:p>
        </w:tc>
        <w:tc>
          <w:tcPr>
            <w:tcW w:type="dxa" w:w="8352"/>
            <w:shd w:val="clear" w:color="auto" w:fill="EAF0FA"/>
          </w:tcPr>
          <w:p>
            <w:pPr>
              <w:spacing w:after="40" w:before="40"/>
              <w:jc w:val="center"/>
            </w:pPr>
            <w:r/>
            <w:r>
              <w:rPr>
                <w:b w:val="0"/>
                <w:sz w:val="18"/>
              </w:rPr>
              <w:t>Tax Due Diligence Report — Ernst &amp; Young (30 Nov 2024)</w:t>
            </w:r>
          </w:p>
        </w:tc>
      </w:tr>
      <w:tr>
        <w:tc>
          <w:tcPr>
            <w:tcW w:type="dxa" w:w="1008"/>
          </w:tcPr>
          <w:p>
            <w:pPr>
              <w:spacing w:after="40" w:before="40"/>
              <w:jc w:val="left"/>
            </w:pPr>
            <w:r/>
            <w:r>
              <w:rPr>
                <w:b/>
                <w:sz w:val="18"/>
              </w:rPr>
              <w:t>Doc 14</w:t>
            </w:r>
          </w:p>
        </w:tc>
        <w:tc>
          <w:tcPr>
            <w:tcW w:type="dxa" w:w="8352"/>
          </w:tcPr>
          <w:p>
            <w:pPr>
              <w:spacing w:after="40" w:before="40"/>
              <w:jc w:val="center"/>
            </w:pPr>
            <w:r/>
            <w:r>
              <w:rPr>
                <w:b w:val="0"/>
                <w:sz w:val="18"/>
              </w:rPr>
              <w:t>Nordenvik Group AB Consolidated Financial Statements FY2023</w:t>
            </w:r>
          </w:p>
        </w:tc>
      </w:tr>
      <w:tr>
        <w:tc>
          <w:tcPr>
            <w:tcW w:type="dxa" w:w="1008"/>
            <w:shd w:val="clear" w:color="auto" w:fill="EAF0FA"/>
          </w:tcPr>
          <w:p>
            <w:pPr>
              <w:spacing w:after="40" w:before="40"/>
              <w:jc w:val="left"/>
            </w:pPr>
            <w:r/>
            <w:r>
              <w:rPr>
                <w:b/>
                <w:sz w:val="18"/>
              </w:rPr>
              <w:t>Doc 18</w:t>
            </w:r>
          </w:p>
        </w:tc>
        <w:tc>
          <w:tcPr>
            <w:tcW w:type="dxa" w:w="8352"/>
            <w:shd w:val="clear" w:color="auto" w:fill="EAF0FA"/>
          </w:tcPr>
          <w:p>
            <w:pPr>
              <w:spacing w:after="40" w:before="40"/>
              <w:jc w:val="center"/>
            </w:pPr>
            <w:r/>
            <w:r>
              <w:rPr>
                <w:b w:val="0"/>
                <w:sz w:val="18"/>
              </w:rPr>
              <w:t>Intercompany Loan Agreement — Nordenvik Holding GmbH to Nordenvik Group AB</w:t>
            </w:r>
          </w:p>
        </w:tc>
      </w:tr>
      <w:tr>
        <w:tc>
          <w:tcPr>
            <w:tcW w:type="dxa" w:w="1008"/>
          </w:tcPr>
          <w:p>
            <w:pPr>
              <w:spacing w:after="40" w:before="40"/>
              <w:jc w:val="left"/>
            </w:pPr>
            <w:r/>
            <w:r>
              <w:rPr>
                <w:b/>
                <w:sz w:val="18"/>
              </w:rPr>
              <w:t>Doc 19</w:t>
            </w:r>
          </w:p>
        </w:tc>
        <w:tc>
          <w:tcPr>
            <w:tcW w:type="dxa" w:w="8352"/>
          </w:tcPr>
          <w:p>
            <w:pPr>
              <w:spacing w:after="40" w:before="40"/>
              <w:jc w:val="center"/>
            </w:pPr>
            <w:r/>
            <w:r>
              <w:rPr>
                <w:b w:val="0"/>
                <w:sz w:val="18"/>
              </w:rPr>
              <w:t>IP Assignment Agreements — Nordenvik AB to Nordenvik BV (2014, 2018)</w:t>
            </w:r>
          </w:p>
        </w:tc>
      </w:tr>
      <w:tr>
        <w:tc>
          <w:tcPr>
            <w:tcW w:type="dxa" w:w="1008"/>
            <w:shd w:val="clear" w:color="auto" w:fill="EAF0FA"/>
          </w:tcPr>
          <w:p>
            <w:pPr>
              <w:spacing w:after="40" w:before="40"/>
              <w:jc w:val="left"/>
            </w:pPr>
            <w:r/>
            <w:r>
              <w:rPr>
                <w:b/>
                <w:sz w:val="18"/>
              </w:rPr>
              <w:t>Doc 20</w:t>
            </w:r>
          </w:p>
        </w:tc>
        <w:tc>
          <w:tcPr>
            <w:tcW w:type="dxa" w:w="8352"/>
            <w:shd w:val="clear" w:color="auto" w:fill="EAF0FA"/>
          </w:tcPr>
          <w:p>
            <w:pPr>
              <w:spacing w:after="40" w:before="40"/>
              <w:jc w:val="center"/>
            </w:pPr>
            <w:r/>
            <w:r>
              <w:rPr>
                <w:b w:val="0"/>
                <w:sz w:val="18"/>
              </w:rPr>
              <w:t>Representations &amp; Warranties Insurance (RWI) Coverage Binder</w:t>
            </w:r>
          </w:p>
        </w:tc>
      </w:tr>
      <w:tr>
        <w:tc>
          <w:tcPr>
            <w:tcW w:type="dxa" w:w="1008"/>
          </w:tcPr>
          <w:p>
            <w:pPr>
              <w:spacing w:after="40" w:before="40"/>
              <w:jc w:val="left"/>
            </w:pPr>
            <w:r/>
            <w:r>
              <w:rPr>
                <w:b/>
                <w:sz w:val="18"/>
              </w:rPr>
              <w:t>Doc 21</w:t>
            </w:r>
          </w:p>
        </w:tc>
        <w:tc>
          <w:tcPr>
            <w:tcW w:type="dxa" w:w="8352"/>
          </w:tcPr>
          <w:p>
            <w:pPr>
              <w:spacing w:after="40" w:before="40"/>
              <w:jc w:val="center"/>
            </w:pPr>
            <w:r/>
            <w:r>
              <w:rPr>
                <w:b w:val="0"/>
                <w:sz w:val="18"/>
              </w:rPr>
              <w:t>Term Sheet — Acquisition Financing (EUR 155M TLB)</w:t>
            </w:r>
          </w:p>
        </w:tc>
      </w:tr>
      <w:tr>
        <w:tc>
          <w:tcPr>
            <w:tcW w:type="dxa" w:w="1008"/>
            <w:shd w:val="clear" w:color="auto" w:fill="EAF0FA"/>
          </w:tcPr>
          <w:p>
            <w:pPr>
              <w:spacing w:after="40" w:before="40"/>
              <w:jc w:val="left"/>
            </w:pPr>
            <w:r/>
            <w:r>
              <w:rPr>
                <w:b/>
                <w:sz w:val="18"/>
              </w:rPr>
              <w:t>Doc 22</w:t>
            </w:r>
          </w:p>
        </w:tc>
        <w:tc>
          <w:tcPr>
            <w:tcW w:type="dxa" w:w="8352"/>
            <w:shd w:val="clear" w:color="auto" w:fill="EAF0FA"/>
          </w:tcPr>
          <w:p>
            <w:pPr>
              <w:spacing w:after="40" w:before="40"/>
              <w:jc w:val="center"/>
            </w:pPr>
            <w:r/>
            <w:r>
              <w:rPr>
                <w:b w:val="0"/>
                <w:sz w:val="18"/>
              </w:rPr>
              <w:t>Country-by-Country Reports FY2022 and FY2023</w:t>
            </w:r>
          </w:p>
        </w:tc>
      </w:tr>
      <w:tr>
        <w:tc>
          <w:tcPr>
            <w:tcW w:type="dxa" w:w="1008"/>
          </w:tcPr>
          <w:p>
            <w:pPr>
              <w:spacing w:after="40" w:before="40"/>
              <w:jc w:val="left"/>
            </w:pPr>
            <w:r/>
            <w:r>
              <w:rPr>
                <w:b/>
                <w:sz w:val="18"/>
              </w:rPr>
              <w:t>Doc 23</w:t>
            </w:r>
          </w:p>
        </w:tc>
        <w:tc>
          <w:tcPr>
            <w:tcW w:type="dxa" w:w="8352"/>
          </w:tcPr>
          <w:p>
            <w:pPr>
              <w:spacing w:after="40" w:before="40"/>
              <w:jc w:val="center"/>
            </w:pPr>
            <w:r/>
            <w:r>
              <w:rPr>
                <w:b w:val="0"/>
                <w:sz w:val="18"/>
              </w:rPr>
              <w:t>DAC6 Analysis Memo — Hargrove &amp; Lund (INCOMPLETE draft)</w:t>
            </w:r>
          </w:p>
        </w:tc>
      </w:tr>
      <w:tr>
        <w:tc>
          <w:tcPr>
            <w:tcW w:type="dxa" w:w="1008"/>
            <w:shd w:val="clear" w:color="auto" w:fill="EAF0FA"/>
          </w:tcPr>
          <w:p>
            <w:pPr>
              <w:spacing w:after="40" w:before="40"/>
              <w:jc w:val="left"/>
            </w:pPr>
            <w:r/>
            <w:r>
              <w:rPr>
                <w:b/>
                <w:sz w:val="18"/>
              </w:rPr>
              <w:t>Doc 24</w:t>
            </w:r>
          </w:p>
        </w:tc>
        <w:tc>
          <w:tcPr>
            <w:tcW w:type="dxa" w:w="8352"/>
            <w:shd w:val="clear" w:color="auto" w:fill="EAF0FA"/>
          </w:tcPr>
          <w:p>
            <w:pPr>
              <w:spacing w:after="40" w:before="40"/>
              <w:jc w:val="center"/>
            </w:pPr>
            <w:r/>
            <w:r>
              <w:rPr>
                <w:b w:val="0"/>
                <w:sz w:val="18"/>
              </w:rPr>
              <w:t>Post-Close Integration Plan — Tax Section Extract</w:t>
            </w:r>
          </w:p>
        </w:tc>
      </w:tr>
    </w:tbl>
    <w:p>
      <w:pPr>
        <w:spacing w:after="120"/>
        <w:jc w:val="left"/>
      </w:pPr>
      <w:r>
        <w:rPr>
          <w:b w:val="0"/>
          <w:i/>
          <w:sz w:val="19"/>
        </w:rPr>
        <w:t>Companion deliverables: tax-cost-model.xlsx (tax cost waterfall, interest limitations, WHT matrix, ETR, Pillar Two, debt sourcing, risk register, evidence gaps); action-item-tracker.xlsx (42 action items with owners, deadlines, dependencies, and a pre-closing checklist).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