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Executive Summary – Collaborative Research Grant Pitch</w:t>
      </w:r>
    </w:p>
    <w:p>
      <w:pPr>
        <w:pStyle w:val="Heading1"/>
      </w:pPr>
      <w:r>
        <w:t>Problem &amp; Opportunity</w:t>
      </w:r>
    </w:p>
    <w:p>
      <w:r>
        <w:t>Remote Western Australia hosts critical infrastructure and airspace vulnerable to illicit incursions. The Australian Federal Police (AFP) face challenges detecting 'black flights' – unregistered aircraft operating with transponders off. Defence also requires deployable, low-cost ISR systems for remote operations. Existing radar solutions are expensive, immobile, and dependent on overseas supply chains.</w:t>
        <w:br/>
        <w:br/>
        <w:t>Opportunity: A sovereign, WA-led solution using software-defined radios (SDR), machine learning (ML), and mesh networking to provide persistent situational awareness for both Defence and civil security.</w:t>
      </w:r>
    </w:p>
    <w:p>
      <w:pPr>
        <w:pStyle w:val="Heading1"/>
      </w:pPr>
      <w:r>
        <w:t>The Solution</w:t>
      </w:r>
    </w:p>
    <w:p>
      <w:r>
        <w:t>We propose a deployable SDR‑ML Radar Node:</w:t>
        <w:br/>
        <w:t>• Integrates commercial off-the-shelf SDR hardware with phased-array antennas.</w:t>
        <w:br/>
        <w:t>• Uses ML at the edge to classify RF signals and detect UAVs, light aircraft, and illicit activity.</w:t>
        <w:br/>
        <w:t>• Employs GIS mapping for geolocation heat maps, already demonstrated in AFP support.</w:t>
        <w:br/>
        <w:t>• Ruggedised for WA conditions, verified by Lateral Sands with global design standards.</w:t>
        <w:br/>
        <w:t>• Deployable as a resilient mesh network providing real-time situational awareness.</w:t>
      </w:r>
    </w:p>
    <w:p>
      <w:pPr>
        <w:pStyle w:val="Heading1"/>
      </w:pPr>
      <w:r>
        <w:t>Team &amp; Track Record</w:t>
      </w:r>
    </w:p>
    <w:p>
      <w:r>
        <w:t>• Curtin University (Radio Astronomy Group): World-class phased array and signal processing expertise from SKA.</w:t>
        <w:br/>
        <w:t>• Lateral Sands Pty Ltd: Global design verification, ruggedisation, environmental testing.</w:t>
        <w:br/>
        <w:t>• Defence (13th Brigade, Army RICO): Operational validation, test ranges, deployment input.</w:t>
        <w:br/>
        <w:t>• AFP (advisory): Real-world operational use case for black flights.</w:t>
        <w:br/>
        <w:br/>
        <w:t>Proven history:</w:t>
        <w:br/>
        <w:t>• ERG/Transpage – First reprogrammable SDR for global paging, one product delivering multiple standards.</w:t>
        <w:br/>
        <w:t>• FramScan – Commercialised agricultural monitoring products.</w:t>
        <w:br/>
        <w:t>• AFP SDR GIS heat map support – Already delivering relevant tools today.</w:t>
      </w:r>
    </w:p>
    <w:p>
      <w:pPr>
        <w:pStyle w:val="Heading1"/>
      </w:pPr>
      <w:r>
        <w:t>12-Month Plan</w:t>
      </w:r>
    </w:p>
    <w:p>
      <w:r>
        <w:t>Months 1–3: SDR + phased-array integration, ML baseline, ruggedisation design.</w:t>
        <w:br/>
        <w:t>Months 4–6: Controlled demonstrations, mesh comms, GIS integration.</w:t>
        <w:br/>
        <w:t>Months 7–9: Remote WA field trials simulating black flights and UAV incursions.</w:t>
        <w:br/>
        <w:t>Months 10–12: Optimisation with trial data, final demonstrations to Defence &amp; AFP, roadmap for scale-up.</w:t>
      </w:r>
    </w:p>
    <w:p>
      <w:pPr>
        <w:pStyle w:val="Heading1"/>
      </w:pPr>
      <w:r>
        <w:t>Impact &amp; Benefits</w:t>
      </w:r>
    </w:p>
    <w:p>
      <w:r>
        <w:t>Defence: Low-cost, sovereign ISR solution for remote regions.</w:t>
        <w:br/>
        <w:t>Civil Security: Supports AFP black flight detection and border security.</w:t>
        <w:br/>
        <w:t>WA: Builds sovereign supply chains, STEM workforce, industry capability.</w:t>
        <w:br/>
        <w:t>Coalition: Protocol-agnostic SDR foundation for interoperability and export potential.</w:t>
      </w:r>
    </w:p>
    <w:p>
      <w:pPr>
        <w:pStyle w:val="Heading1"/>
      </w:pPr>
      <w:r>
        <w:t>Budget Snapshot</w:t>
      </w:r>
    </w:p>
    <w:p>
      <w:r>
        <w:t>Total Project: 420,000 AUD (12 months)</w:t>
        <w:br/>
        <w:t>Requested Grant: 250,000 AUD</w:t>
        <w:br/>
        <w:t>Partner Co-contributions: 170,000 AUD (in-kind and support)</w:t>
        <w:br/>
        <w:br/>
        <w:t>Eligible use: prototyping, field trials, ML development, ruggedisation, personnel support.</w:t>
      </w:r>
    </w:p>
    <w:p>
      <w:pPr>
        <w:pStyle w:val="Heading1"/>
      </w:pPr>
      <w:r>
        <w:t>Closing Pitch</w:t>
      </w:r>
    </w:p>
    <w:p>
      <w:r>
        <w:t>This project leverages WA’s unique academic, industry, and Defence ecosystem to deliver a rapid, dual-use demonstrator of deployable SDR‑ML radar nodes. With proven experience in SDR innovation and commercialisation, and active engagement with AFP and Defence, the team is uniquely placed to de-risk this sovereign capability.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