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70"/>
        <w:gridCol w:w="1870"/>
        <w:gridCol w:w="1870"/>
        <w:gridCol w:w="1870"/>
        <w:gridCol w:w="1870"/>
      </w:tblGrid>
      <w:tr w:rsidR="00B47C34" w:rsidTr="00B47C34">
        <w:tc>
          <w:tcPr>
            <w:tcW w:w="1870" w:type="dxa"/>
          </w:tcPr>
          <w:p w:rsidR="00B47C34" w:rsidRDefault="00B47C34" w:rsidP="008E600B">
            <w:r>
              <w:rPr>
                <w:rFonts w:hint="cs"/>
                <w:rtl/>
              </w:rPr>
              <w:t>גז</w:t>
            </w:r>
          </w:p>
        </w:tc>
        <w:tc>
          <w:tcPr>
            <w:tcW w:w="1870" w:type="dxa"/>
          </w:tcPr>
          <w:p w:rsidR="00B47C34" w:rsidRDefault="00B47C34" w:rsidP="008E600B">
            <w:r>
              <w:rPr>
                <w:rFonts w:hint="cs"/>
                <w:rtl/>
              </w:rPr>
              <w:t>דיזל</w:t>
            </w:r>
          </w:p>
        </w:tc>
        <w:tc>
          <w:tcPr>
            <w:tcW w:w="1870" w:type="dxa"/>
          </w:tcPr>
          <w:p w:rsidR="00B47C34" w:rsidRDefault="00B47C34" w:rsidP="008E600B">
            <w:r>
              <w:rPr>
                <w:rFonts w:hint="cs"/>
                <w:rtl/>
              </w:rPr>
              <w:t>אוקטן 98</w:t>
            </w:r>
          </w:p>
        </w:tc>
        <w:tc>
          <w:tcPr>
            <w:tcW w:w="1870" w:type="dxa"/>
          </w:tcPr>
          <w:p w:rsidR="00B47C34" w:rsidRDefault="00B47C34" w:rsidP="008E600B">
            <w:r>
              <w:rPr>
                <w:rFonts w:hint="cs"/>
                <w:rtl/>
              </w:rPr>
              <w:t>אוקטן 95</w:t>
            </w:r>
          </w:p>
        </w:tc>
        <w:tc>
          <w:tcPr>
            <w:tcW w:w="1870" w:type="dxa"/>
          </w:tcPr>
          <w:p w:rsidR="00B47C34" w:rsidRDefault="00B47C34" w:rsidP="008E600B"/>
        </w:tc>
      </w:tr>
      <w:tr w:rsidR="00B47C34" w:rsidTr="00B47C34">
        <w:tc>
          <w:tcPr>
            <w:tcW w:w="1870" w:type="dxa"/>
          </w:tcPr>
          <w:p w:rsidR="00B47C34" w:rsidRDefault="00B47C34" w:rsidP="008E600B">
            <w:r>
              <w:rPr>
                <w:rFonts w:hint="cs"/>
                <w:rtl/>
              </w:rPr>
              <w:t>340,000</w:t>
            </w:r>
          </w:p>
        </w:tc>
        <w:tc>
          <w:tcPr>
            <w:tcW w:w="1870" w:type="dxa"/>
          </w:tcPr>
          <w:p w:rsidR="00B47C34" w:rsidRDefault="00B47C34" w:rsidP="008E600B">
            <w:r>
              <w:rPr>
                <w:rFonts w:hint="cs"/>
                <w:rtl/>
              </w:rPr>
              <w:t>538,000</w:t>
            </w:r>
          </w:p>
        </w:tc>
        <w:tc>
          <w:tcPr>
            <w:tcW w:w="1870" w:type="dxa"/>
          </w:tcPr>
          <w:p w:rsidR="00B47C34" w:rsidRDefault="00B47C34" w:rsidP="008E600B">
            <w:r>
              <w:rPr>
                <w:rFonts w:hint="cs"/>
                <w:rtl/>
              </w:rPr>
              <w:t>486,000</w:t>
            </w:r>
          </w:p>
        </w:tc>
        <w:tc>
          <w:tcPr>
            <w:tcW w:w="1870" w:type="dxa"/>
          </w:tcPr>
          <w:p w:rsidR="00B47C34" w:rsidRDefault="00B47C34" w:rsidP="008E600B">
            <w:r>
              <w:rPr>
                <w:rFonts w:hint="cs"/>
                <w:rtl/>
              </w:rPr>
              <w:t>476,000</w:t>
            </w:r>
          </w:p>
        </w:tc>
        <w:tc>
          <w:tcPr>
            <w:tcW w:w="1870" w:type="dxa"/>
          </w:tcPr>
          <w:p w:rsidR="00B47C34" w:rsidRDefault="00B47C34" w:rsidP="008E600B">
            <w:r>
              <w:rPr>
                <w:rFonts w:hint="cs"/>
                <w:rtl/>
              </w:rPr>
              <w:t>21.04</w:t>
            </w:r>
          </w:p>
        </w:tc>
      </w:tr>
      <w:tr w:rsidR="00B47C34" w:rsidTr="00B47C34">
        <w:tc>
          <w:tcPr>
            <w:tcW w:w="1870" w:type="dxa"/>
          </w:tcPr>
          <w:p w:rsidR="00B47C34" w:rsidRDefault="00B47C34" w:rsidP="008E600B"/>
        </w:tc>
        <w:tc>
          <w:tcPr>
            <w:tcW w:w="1870" w:type="dxa"/>
          </w:tcPr>
          <w:p w:rsidR="00B47C34" w:rsidRDefault="00B47C34" w:rsidP="008E600B"/>
        </w:tc>
        <w:tc>
          <w:tcPr>
            <w:tcW w:w="1870" w:type="dxa"/>
          </w:tcPr>
          <w:p w:rsidR="00B47C34" w:rsidRDefault="00C34D74" w:rsidP="008E600B">
            <w:r>
              <w:rPr>
                <w:rFonts w:hint="cs"/>
                <w:rtl/>
              </w:rPr>
              <w:t>485,000</w:t>
            </w:r>
          </w:p>
        </w:tc>
        <w:tc>
          <w:tcPr>
            <w:tcW w:w="1870" w:type="dxa"/>
          </w:tcPr>
          <w:p w:rsidR="00B47C34" w:rsidRDefault="000404BC" w:rsidP="008E600B">
            <w:r>
              <w:rPr>
                <w:rFonts w:hint="cs"/>
                <w:rtl/>
              </w:rPr>
              <w:t>475,000</w:t>
            </w:r>
          </w:p>
        </w:tc>
        <w:tc>
          <w:tcPr>
            <w:tcW w:w="1870" w:type="dxa"/>
          </w:tcPr>
          <w:p w:rsidR="00B47C34" w:rsidRDefault="000404BC" w:rsidP="008E600B">
            <w:r>
              <w:rPr>
                <w:rFonts w:hint="cs"/>
                <w:rtl/>
              </w:rPr>
              <w:t>20.4</w:t>
            </w:r>
          </w:p>
        </w:tc>
      </w:tr>
      <w:tr w:rsidR="00B47C34" w:rsidTr="00B47C34">
        <w:tc>
          <w:tcPr>
            <w:tcW w:w="1870" w:type="dxa"/>
          </w:tcPr>
          <w:p w:rsidR="00B47C34" w:rsidRDefault="00C34D74" w:rsidP="008E600B">
            <w:r>
              <w:rPr>
                <w:rFonts w:hint="cs"/>
                <w:rtl/>
              </w:rPr>
              <w:t>329,000</w:t>
            </w:r>
          </w:p>
        </w:tc>
        <w:tc>
          <w:tcPr>
            <w:tcW w:w="1870" w:type="dxa"/>
          </w:tcPr>
          <w:p w:rsidR="00B47C34" w:rsidRDefault="00C34D74" w:rsidP="00C34D74">
            <w:r>
              <w:rPr>
                <w:rFonts w:hint="cs"/>
                <w:rtl/>
              </w:rPr>
              <w:t>521,000</w:t>
            </w:r>
          </w:p>
        </w:tc>
        <w:tc>
          <w:tcPr>
            <w:tcW w:w="1870" w:type="dxa"/>
          </w:tcPr>
          <w:p w:rsidR="00B47C34" w:rsidRDefault="00C34D74" w:rsidP="008E600B">
            <w:r>
              <w:rPr>
                <w:rFonts w:hint="cs"/>
                <w:rtl/>
              </w:rPr>
              <w:t>472,000</w:t>
            </w:r>
          </w:p>
        </w:tc>
        <w:tc>
          <w:tcPr>
            <w:tcW w:w="1870" w:type="dxa"/>
          </w:tcPr>
          <w:p w:rsidR="00B47C34" w:rsidRDefault="00C34D74" w:rsidP="008E600B">
            <w:r>
              <w:rPr>
                <w:rFonts w:hint="cs"/>
                <w:rtl/>
              </w:rPr>
              <w:t>462,000</w:t>
            </w:r>
          </w:p>
        </w:tc>
        <w:tc>
          <w:tcPr>
            <w:tcW w:w="1870" w:type="dxa"/>
          </w:tcPr>
          <w:p w:rsidR="00B47C34" w:rsidRDefault="00C34D74" w:rsidP="008E600B">
            <w:r>
              <w:rPr>
                <w:rFonts w:hint="cs"/>
                <w:rtl/>
              </w:rPr>
              <w:t>19.04</w:t>
            </w:r>
          </w:p>
        </w:tc>
      </w:tr>
    </w:tbl>
    <w:p w:rsidR="008E600B" w:rsidRDefault="008E600B" w:rsidP="008E600B">
      <w:pPr>
        <w:rPr>
          <w:rtl/>
        </w:rPr>
      </w:pPr>
    </w:p>
    <w:p w:rsidR="000B13C7" w:rsidRDefault="000B13C7" w:rsidP="000B13C7">
      <w:pPr>
        <w:bidi/>
        <w:rPr>
          <w:rFonts w:cs="Arial"/>
          <w:rtl/>
        </w:rPr>
      </w:pPr>
      <w:r>
        <w:rPr>
          <w:rFonts w:cs="Arial" w:hint="cs"/>
          <w:rtl/>
        </w:rPr>
        <w:t xml:space="preserve">התכנית הכלכלית </w:t>
      </w:r>
      <w:r>
        <w:rPr>
          <w:rFonts w:cs="Arial"/>
          <w:rtl/>
        </w:rPr>
        <w:t>–</w:t>
      </w:r>
      <w:r>
        <w:rPr>
          <w:rFonts w:cs="Arial" w:hint="cs"/>
          <w:rtl/>
        </w:rPr>
        <w:t xml:space="preserve"> הודלפה (19 באפריל) התכנית הכלכלית של הממשלה, כחלק מהדרישות של קרן המטבע (פירוט התכנית בהמשך). </w:t>
      </w:r>
      <w:r w:rsidRPr="000B13C7">
        <w:rPr>
          <w:rFonts w:cs="Arial"/>
          <w:rtl/>
        </w:rPr>
        <w:t>הממשלה התכנסה (21 באפריל) כדי לדון בין היתר בהשלכות של הדלפת התכנית הכלכלית. לאחר הישיבה, שר המודיעין זיאד מאקארי אמר שהוא צופה שהתכנית תוטמע לפני הבחירות. מיקאתי הדגיש שהתכנית טרם אושרה על ידי הממשלה.</w:t>
      </w:r>
    </w:p>
    <w:p w:rsidR="00C34D74" w:rsidRDefault="000B13C7" w:rsidP="000B13C7">
      <w:pPr>
        <w:bidi/>
        <w:rPr>
          <w:rFonts w:cs="Arial"/>
          <w:rtl/>
        </w:rPr>
      </w:pPr>
      <w:r>
        <w:rPr>
          <w:rFonts w:cs="Arial" w:hint="cs"/>
          <w:rtl/>
        </w:rPr>
        <w:t xml:space="preserve">תגובת איגוד הבנקים </w:t>
      </w:r>
      <w:r>
        <w:rPr>
          <w:rFonts w:cs="Arial"/>
          <w:rtl/>
        </w:rPr>
        <w:t>–</w:t>
      </w:r>
      <w:r>
        <w:rPr>
          <w:rFonts w:cs="Arial" w:hint="cs"/>
          <w:rtl/>
        </w:rPr>
        <w:t xml:space="preserve"> </w:t>
      </w:r>
      <w:r w:rsidR="00C34D74" w:rsidRPr="00C34D74">
        <w:rPr>
          <w:rFonts w:cs="Arial"/>
          <w:rtl/>
        </w:rPr>
        <w:t>איגוד הבנקים מסר (23 באפריל) כי היא דוחה את טיוטת התכנית הכלכלית של הממשלה, בטענה כי היא גורמת לבנקים ולמפקידים לשאת את מירב הנטל של ההפסדים. יודגש כי לא נדרש אישור מצד הבנקים לתכנית, אך שיתוף הפעולה שלהם נחוץ ליישומה.</w:t>
      </w:r>
    </w:p>
    <w:p w:rsidR="00C34D74" w:rsidRDefault="000B13C7" w:rsidP="000B13C7">
      <w:pPr>
        <w:bidi/>
        <w:rPr>
          <w:rFonts w:cs="Arial"/>
        </w:rPr>
      </w:pPr>
      <w:r>
        <w:rPr>
          <w:rFonts w:cs="Arial" w:hint="cs"/>
          <w:rtl/>
        </w:rPr>
        <w:t xml:space="preserve">ערך הלירה </w:t>
      </w:r>
      <w:r>
        <w:rPr>
          <w:rFonts w:cs="Arial"/>
          <w:rtl/>
        </w:rPr>
        <w:t>–</w:t>
      </w:r>
      <w:r>
        <w:rPr>
          <w:rFonts w:cs="Arial" w:hint="cs"/>
          <w:rtl/>
        </w:rPr>
        <w:t xml:space="preserve"> </w:t>
      </w:r>
      <w:r w:rsidR="00C34D74" w:rsidRPr="00C34D74">
        <w:rPr>
          <w:rFonts w:cs="Arial"/>
          <w:rtl/>
        </w:rPr>
        <w:t xml:space="preserve">ערך הלירה צנח ל-28,000, </w:t>
      </w:r>
      <w:r>
        <w:rPr>
          <w:rFonts w:cs="Arial" w:hint="cs"/>
          <w:rtl/>
        </w:rPr>
        <w:t xml:space="preserve">והוא </w:t>
      </w:r>
      <w:r w:rsidR="00C34D74" w:rsidRPr="00C34D74">
        <w:rPr>
          <w:rFonts w:cs="Arial"/>
          <w:rtl/>
        </w:rPr>
        <w:t>הכי נמוך מאז ינואר. צניחת הערך היא סימן לכך שהזרקת המט"ח מצד הבנק המרכזי לשוק כבר איבדה מהאפקט שלה, למרות שהבנק המרכזי "בזבז" על כך 1.5 מיליארד דולר</w:t>
      </w:r>
      <w:r>
        <w:rPr>
          <w:rFonts w:cs="Arial"/>
          <w:rtl/>
        </w:rPr>
        <w:t>. הסיבות המרכזיות לשחיקת הערך ה</w:t>
      </w:r>
      <w:r>
        <w:rPr>
          <w:rFonts w:cs="Arial" w:hint="cs"/>
          <w:rtl/>
        </w:rPr>
        <w:t xml:space="preserve">ן </w:t>
      </w:r>
      <w:r w:rsidR="00C34D74" w:rsidRPr="00C34D74">
        <w:rPr>
          <w:rFonts w:cs="Arial"/>
          <w:rtl/>
        </w:rPr>
        <w:t xml:space="preserve">המלחמה באוקראינה (שגרמה לעיכוב בייבוא ולעליית מחירים) והשמועות על התכנית הכלכלית של הממשלה לפיהן </w:t>
      </w:r>
      <w:r>
        <w:rPr>
          <w:rFonts w:cs="Arial" w:hint="cs"/>
          <w:rtl/>
        </w:rPr>
        <w:t>פיקדונות דולריים רבים עתידים להימחק.</w:t>
      </w:r>
    </w:p>
    <w:p w:rsidR="00C34D74" w:rsidRPr="000B13C7" w:rsidRDefault="000B13C7" w:rsidP="000B13C7">
      <w:pPr>
        <w:bidi/>
        <w:rPr>
          <w:rFonts w:cs="Arial"/>
          <w:rtl/>
        </w:rPr>
      </w:pPr>
      <w:r>
        <w:rPr>
          <w:rFonts w:cs="Arial" w:hint="cs"/>
          <w:rtl/>
        </w:rPr>
        <w:t xml:space="preserve">ייבוא חיטה </w:t>
      </w:r>
      <w:r>
        <w:rPr>
          <w:rFonts w:cs="Arial"/>
          <w:rtl/>
        </w:rPr>
        <w:t>–</w:t>
      </w:r>
      <w:r>
        <w:rPr>
          <w:rFonts w:cs="Arial" w:hint="cs"/>
          <w:rtl/>
        </w:rPr>
        <w:t xml:space="preserve"> </w:t>
      </w:r>
      <w:r w:rsidR="00C34D74" w:rsidRPr="00C34D74">
        <w:rPr>
          <w:rFonts w:cs="Arial"/>
          <w:rtl/>
        </w:rPr>
        <w:t xml:space="preserve">שר הכלכלה אמין סלאם חתם (22 באפריל) על הסכם עם הבנק העולמי </w:t>
      </w:r>
      <w:r>
        <w:rPr>
          <w:rFonts w:cs="Arial" w:hint="cs"/>
          <w:rtl/>
        </w:rPr>
        <w:t>בנוגע ל</w:t>
      </w:r>
      <w:r w:rsidR="00C34D74" w:rsidRPr="00C34D74">
        <w:rPr>
          <w:rFonts w:cs="Arial"/>
          <w:rtl/>
        </w:rPr>
        <w:t>הלוואת חירום של 150 מיליון דולר עבור רכישת חיטה.</w:t>
      </w:r>
    </w:p>
    <w:p w:rsidR="00C34D74" w:rsidRPr="000B13C7" w:rsidRDefault="000B13C7" w:rsidP="000B13C7">
      <w:pPr>
        <w:bidi/>
        <w:rPr>
          <w:rtl/>
        </w:rPr>
      </w:pPr>
      <w:r>
        <w:rPr>
          <w:rFonts w:cs="Arial" w:hint="cs"/>
          <w:rtl/>
        </w:rPr>
        <w:t xml:space="preserve">חשמל </w:t>
      </w:r>
      <w:r>
        <w:rPr>
          <w:rFonts w:cs="Arial"/>
          <w:rtl/>
        </w:rPr>
        <w:t>–</w:t>
      </w:r>
      <w:r>
        <w:rPr>
          <w:rFonts w:cs="Arial" w:hint="cs"/>
          <w:rtl/>
        </w:rPr>
        <w:t xml:space="preserve"> </w:t>
      </w:r>
      <w:r w:rsidR="00C34D74">
        <w:rPr>
          <w:rFonts w:cs="Arial"/>
          <w:rtl/>
        </w:rPr>
        <w:t>חברת החשמל מסרה (21 באפריל) שספינה הנושאת 40,900 טון דלק הגיעה ליד תחנת דיר אל עאמר בטריפולי, והיא צפויה לפרוק חלק מהמטען שלה</w:t>
      </w:r>
      <w:r>
        <w:rPr>
          <w:rFonts w:cs="Arial" w:hint="cs"/>
          <w:rtl/>
        </w:rPr>
        <w:t>. עם זאת,</w:t>
      </w:r>
      <w:r w:rsidR="00C34D74">
        <w:rPr>
          <w:rFonts w:cs="Arial"/>
          <w:rtl/>
        </w:rPr>
        <w:t xml:space="preserve"> הפריקה תארוך מספר ימים, ב</w:t>
      </w:r>
      <w:r>
        <w:rPr>
          <w:rFonts w:cs="Arial" w:hint="cs"/>
          <w:rtl/>
        </w:rPr>
        <w:t xml:space="preserve">מהלכם </w:t>
      </w:r>
      <w:r w:rsidR="00C34D74">
        <w:rPr>
          <w:rFonts w:cs="Arial"/>
          <w:rtl/>
        </w:rPr>
        <w:t>תושבי לבנון יוותרו ללא חשמל. הדלק התקבל כחלק מעסקת הדלק עם עיראק</w:t>
      </w:r>
      <w:r w:rsidR="00C34D74">
        <w:t>.</w:t>
      </w:r>
      <w:r>
        <w:rPr>
          <w:rFonts w:hint="cs"/>
          <w:rtl/>
        </w:rPr>
        <w:t xml:space="preserve"> </w:t>
      </w:r>
      <w:r w:rsidR="00C34D74">
        <w:rPr>
          <w:rFonts w:cs="Arial"/>
          <w:rtl/>
        </w:rPr>
        <w:t>ההודעה נמסרה בהמשך להודעה קודמת לפיה תחנת די אל עאמר הושבתה (19 באפריל), לאחר שגם תחנת הכוח בזהארני הושבתה (14 באפריל).</w:t>
      </w:r>
    </w:p>
    <w:p w:rsidR="00C34D74" w:rsidRDefault="000B13C7" w:rsidP="00C34D74">
      <w:pPr>
        <w:bidi/>
        <w:rPr>
          <w:rFonts w:cs="Arial"/>
          <w:rtl/>
        </w:rPr>
      </w:pPr>
      <w:r>
        <w:rPr>
          <w:rFonts w:cs="Arial" w:hint="cs"/>
          <w:rtl/>
        </w:rPr>
        <w:t xml:space="preserve">אינפלציה </w:t>
      </w:r>
      <w:r>
        <w:rPr>
          <w:rFonts w:cs="Arial"/>
          <w:rtl/>
        </w:rPr>
        <w:t>–</w:t>
      </w:r>
      <w:r>
        <w:rPr>
          <w:rFonts w:cs="Arial" w:hint="cs"/>
          <w:rtl/>
        </w:rPr>
        <w:t xml:space="preserve"> </w:t>
      </w:r>
      <w:r w:rsidR="00C34D74" w:rsidRPr="00C34D74">
        <w:rPr>
          <w:rFonts w:cs="Arial"/>
          <w:rtl/>
        </w:rPr>
        <w:t>האינפלציה השנתית לחודש מרס היא 208.13%</w:t>
      </w:r>
    </w:p>
    <w:p w:rsidR="00C34D74" w:rsidRDefault="000B13C7" w:rsidP="000B13C7">
      <w:pPr>
        <w:bidi/>
        <w:rPr>
          <w:rFonts w:cs="Arial"/>
          <w:rtl/>
        </w:rPr>
      </w:pPr>
      <w:r>
        <w:rPr>
          <w:rFonts w:cs="Arial" w:hint="cs"/>
          <w:rtl/>
        </w:rPr>
        <w:t xml:space="preserve">חוק הסרת הסודיות הבנקאית </w:t>
      </w:r>
      <w:r>
        <w:rPr>
          <w:rFonts w:cs="Arial"/>
          <w:rtl/>
        </w:rPr>
        <w:t>–</w:t>
      </w:r>
      <w:r>
        <w:rPr>
          <w:rFonts w:cs="Arial" w:hint="cs"/>
          <w:rtl/>
        </w:rPr>
        <w:t xml:space="preserve"> </w:t>
      </w:r>
      <w:r w:rsidR="00C34D74" w:rsidRPr="00C34D74">
        <w:rPr>
          <w:rFonts w:cs="Arial"/>
          <w:rtl/>
        </w:rPr>
        <w:t>חוק הסרת הסודיות הבנקאית שנידון בממשלה הודלף. מטרתו היא לעדכן את החוק משנת 1956 בנוגע לסודיות הבנקאית ו</w:t>
      </w:r>
      <w:r>
        <w:rPr>
          <w:rFonts w:cs="Arial" w:hint="cs"/>
          <w:rtl/>
        </w:rPr>
        <w:t xml:space="preserve">כן לעדכן </w:t>
      </w:r>
      <w:r w:rsidR="00C34D74" w:rsidRPr="00C34D74">
        <w:rPr>
          <w:rFonts w:cs="Arial"/>
          <w:rtl/>
        </w:rPr>
        <w:t xml:space="preserve">מספר חוקים נוספים בנושא. </w:t>
      </w:r>
      <w:r w:rsidRPr="00C34D74">
        <w:rPr>
          <w:rFonts w:cs="Arial"/>
          <w:rtl/>
        </w:rPr>
        <w:t>לחוק יש שלוש מטרות: שיפור גביית המיסים, הבאת לבנון לסטנדרטים בינ"ל במאבק נגד הגבלת הון ומלחמה בשחיתות.</w:t>
      </w:r>
      <w:r>
        <w:rPr>
          <w:rFonts w:cs="Arial" w:hint="cs"/>
          <w:rtl/>
        </w:rPr>
        <w:t xml:space="preserve"> </w:t>
      </w:r>
      <w:r w:rsidR="00C34D74" w:rsidRPr="00C34D74">
        <w:rPr>
          <w:rFonts w:cs="Arial"/>
          <w:rtl/>
        </w:rPr>
        <w:t xml:space="preserve">במסגרת החוק, הסרת הסודיות יכולה להתבצע רק בהתאם לבקשת הגופים שהוזכרו בחוק עצמו. החוק לא מציין אם העברת המידע היא רטרואטקיבית לתקופה שלפני העברת החוק. </w:t>
      </w:r>
    </w:p>
    <w:p w:rsidR="00C34D74" w:rsidRDefault="000B13C7" w:rsidP="00C34D74">
      <w:pPr>
        <w:bidi/>
        <w:rPr>
          <w:rFonts w:cs="Arial"/>
          <w:rtl/>
        </w:rPr>
      </w:pPr>
      <w:r>
        <w:rPr>
          <w:rFonts w:cs="Arial" w:hint="cs"/>
          <w:rtl/>
        </w:rPr>
        <w:t xml:space="preserve">ביטוח בריאות </w:t>
      </w:r>
      <w:r>
        <w:rPr>
          <w:rFonts w:cs="Arial"/>
          <w:rtl/>
        </w:rPr>
        <w:t>–</w:t>
      </w:r>
      <w:r>
        <w:rPr>
          <w:rFonts w:cs="Arial" w:hint="cs"/>
          <w:rtl/>
        </w:rPr>
        <w:t xml:space="preserve"> </w:t>
      </w:r>
      <w:r w:rsidR="00C34D74" w:rsidRPr="00C34D74">
        <w:rPr>
          <w:rFonts w:cs="Arial"/>
          <w:rtl/>
        </w:rPr>
        <w:t>שר הפנים מסר (20 באפריל) כי הוקצה תקציב למימון ביטוח הבריאות של עובדי הבטמ"ד לאחר שהם קיימו שביתה מחוץ למשרדו.</w:t>
      </w:r>
    </w:p>
    <w:p w:rsidR="00C34D74" w:rsidRDefault="000B13C7" w:rsidP="00C34D74">
      <w:pPr>
        <w:bidi/>
        <w:rPr>
          <w:rFonts w:cs="Arial"/>
          <w:rtl/>
        </w:rPr>
      </w:pPr>
      <w:r>
        <w:rPr>
          <w:rFonts w:cs="Arial" w:hint="cs"/>
          <w:rtl/>
        </w:rPr>
        <w:t xml:space="preserve">רפואה </w:t>
      </w:r>
      <w:r>
        <w:rPr>
          <w:rFonts w:cs="Arial"/>
          <w:rtl/>
        </w:rPr>
        <w:t>–</w:t>
      </w:r>
      <w:r>
        <w:rPr>
          <w:rFonts w:cs="Arial" w:hint="cs"/>
          <w:rtl/>
        </w:rPr>
        <w:t xml:space="preserve"> </w:t>
      </w:r>
      <w:r w:rsidR="00C34D74" w:rsidRPr="00C34D74">
        <w:rPr>
          <w:rFonts w:cs="Arial"/>
          <w:rtl/>
        </w:rPr>
        <w:t>מדו"ח של יוניסף עולה כי מספר הנשים שמתו מסיבוכי הריון גדל פי שלושה במהלך המשבר, ושיעור החיסונים בקרב ילדים צנח ב-30%.</w:t>
      </w:r>
    </w:p>
    <w:p w:rsidR="00C34D74" w:rsidRDefault="00C34D74" w:rsidP="00C34D74">
      <w:pPr>
        <w:bidi/>
        <w:rPr>
          <w:rFonts w:cs="Arial"/>
          <w:rtl/>
        </w:rPr>
      </w:pPr>
    </w:p>
    <w:p w:rsidR="00C34D74" w:rsidRDefault="000B13C7" w:rsidP="00C34D74">
      <w:pPr>
        <w:bidi/>
        <w:rPr>
          <w:rFonts w:cs="Arial"/>
          <w:rtl/>
        </w:rPr>
      </w:pPr>
      <w:r>
        <w:rPr>
          <w:rFonts w:cs="Arial" w:hint="cs"/>
          <w:rtl/>
        </w:rPr>
        <w:t>התכנית הכלכלית:</w:t>
      </w:r>
    </w:p>
    <w:p w:rsidR="000B13C7" w:rsidRDefault="000B13C7" w:rsidP="000B13C7">
      <w:pPr>
        <w:bidi/>
        <w:rPr>
          <w:rFonts w:cs="Arial"/>
          <w:rtl/>
        </w:rPr>
      </w:pPr>
      <w:r>
        <w:rPr>
          <w:rFonts w:cs="Arial" w:hint="cs"/>
          <w:rtl/>
        </w:rPr>
        <w:t>מטרה:</w:t>
      </w:r>
      <w:r w:rsidRPr="000B13C7">
        <w:rPr>
          <w:rFonts w:cs="Arial"/>
          <w:rtl/>
        </w:rPr>
        <w:t xml:space="preserve"> </w:t>
      </w:r>
      <w:r>
        <w:rPr>
          <w:rFonts w:cs="Arial"/>
          <w:rtl/>
        </w:rPr>
        <w:t>במסגרת התכנית לשיקום המגזר הפיננסי, הממשלה מעוניינת לאשר החלטות חירום בנוגע לבנקים, להעביר את חוק הפיקוח על ההון ולתקף את חוק הסודיות הבנקאית.</w:t>
      </w:r>
    </w:p>
    <w:p w:rsidR="00C34D74" w:rsidRDefault="000B13C7" w:rsidP="000B13C7">
      <w:pPr>
        <w:bidi/>
        <w:rPr>
          <w:rtl/>
        </w:rPr>
      </w:pPr>
      <w:r>
        <w:rPr>
          <w:rFonts w:cs="Arial" w:hint="cs"/>
          <w:rtl/>
        </w:rPr>
        <w:t xml:space="preserve">נקודות פתיחה - </w:t>
      </w:r>
      <w:r w:rsidR="00C34D74">
        <w:rPr>
          <w:rFonts w:cs="Arial"/>
          <w:rtl/>
        </w:rPr>
        <w:t>ההפסדים של מערכת הבנקאות עומדים על יותר מ- 72 מיליארד דולר. ההפסדים של הבנק המרכזי עומדים על מעל 60 מיליארד דולר, אך הסכום הסופי ייקבע בהתאם לאודיט על חשבונות הבנק. הסכום מתייחס רק לחוב של הבנק לבנקים המסחריים ולא לחוב של היורובונדס</w:t>
      </w:r>
      <w:r w:rsidR="00C34D74">
        <w:t>.</w:t>
      </w:r>
    </w:p>
    <w:p w:rsidR="000B13C7" w:rsidRDefault="000B13C7" w:rsidP="00C34D74">
      <w:pPr>
        <w:bidi/>
        <w:rPr>
          <w:rFonts w:cs="Arial"/>
          <w:rtl/>
        </w:rPr>
      </w:pPr>
      <w:r>
        <w:rPr>
          <w:rFonts w:cs="Arial" w:hint="cs"/>
          <w:rtl/>
        </w:rPr>
        <w:lastRenderedPageBreak/>
        <w:t>הצעדים שינקטו במסגרת התכנית:</w:t>
      </w:r>
    </w:p>
    <w:p w:rsidR="00C34D74" w:rsidRDefault="000B13C7" w:rsidP="000B13C7">
      <w:pPr>
        <w:pStyle w:val="ListParagraph"/>
        <w:numPr>
          <w:ilvl w:val="0"/>
          <w:numId w:val="1"/>
        </w:numPr>
        <w:bidi/>
        <w:rPr>
          <w:rtl/>
        </w:rPr>
      </w:pPr>
      <w:r>
        <w:rPr>
          <w:rFonts w:cs="Arial" w:hint="cs"/>
          <w:rtl/>
        </w:rPr>
        <w:t>מחיקת</w:t>
      </w:r>
      <w:r w:rsidR="00C34D74" w:rsidRPr="000B13C7">
        <w:rPr>
          <w:rFonts w:cs="Arial"/>
          <w:rtl/>
        </w:rPr>
        <w:t xml:space="preserve"> החוב של הבנק המרכזי לבנקים ו</w:t>
      </w:r>
      <w:r>
        <w:rPr>
          <w:rFonts w:cs="Arial" w:hint="cs"/>
          <w:rtl/>
        </w:rPr>
        <w:t>גיוס</w:t>
      </w:r>
      <w:r w:rsidR="00C34D74" w:rsidRPr="000B13C7">
        <w:rPr>
          <w:rFonts w:cs="Arial"/>
          <w:rtl/>
        </w:rPr>
        <w:t xml:space="preserve"> 2.5 מיליארד דולר </w:t>
      </w:r>
      <w:r>
        <w:rPr>
          <w:rFonts w:cs="Arial" w:hint="cs"/>
          <w:rtl/>
        </w:rPr>
        <w:t>בעצמאות</w:t>
      </w:r>
      <w:r w:rsidR="00C34D74" w:rsidRPr="000B13C7">
        <w:rPr>
          <w:rFonts w:cs="Arial"/>
          <w:rtl/>
        </w:rPr>
        <w:t xml:space="preserve"> היוון הון של המוסדות הציבוריים. שאר ההפסדים ימחקו בהדרגה בתקופה של חמש שנים</w:t>
      </w:r>
      <w:r w:rsidR="00C34D74">
        <w:t>.</w:t>
      </w:r>
    </w:p>
    <w:p w:rsidR="00C34D74" w:rsidRDefault="00C34D74" w:rsidP="000B13C7">
      <w:pPr>
        <w:pStyle w:val="ListParagraph"/>
        <w:numPr>
          <w:ilvl w:val="0"/>
          <w:numId w:val="1"/>
        </w:numPr>
        <w:bidi/>
        <w:rPr>
          <w:rtl/>
        </w:rPr>
      </w:pPr>
      <w:r w:rsidRPr="000B13C7">
        <w:rPr>
          <w:rFonts w:cs="Arial"/>
          <w:rtl/>
        </w:rPr>
        <w:t>היוון הון של חלק מהבנקים המסחריים והנזלה של הבנקם חדלי הפירעון. ההפסדים יינשאו על ידי מחזקי המניות בבנקים, לאחר מכן על מחזקי חוב ולבסוף על ידי המפקידים</w:t>
      </w:r>
      <w:r>
        <w:t>.</w:t>
      </w:r>
    </w:p>
    <w:p w:rsidR="00C34D74" w:rsidRDefault="00C34D74" w:rsidP="000B13C7">
      <w:pPr>
        <w:pStyle w:val="ListParagraph"/>
        <w:numPr>
          <w:ilvl w:val="0"/>
          <w:numId w:val="1"/>
        </w:numPr>
        <w:bidi/>
        <w:rPr>
          <w:rtl/>
        </w:rPr>
      </w:pPr>
      <w:r w:rsidRPr="000B13C7">
        <w:rPr>
          <w:rFonts w:cs="Arial"/>
          <w:rtl/>
        </w:rPr>
        <w:t>חשבונות של עד 100,000 דולר יובטחו וישמרו. סכום גבוה מכך יומר למניות בבנקים, ימחק או יומר ללירה בשער השונה משער השוק החופשי</w:t>
      </w:r>
      <w:r>
        <w:t>.</w:t>
      </w:r>
    </w:p>
    <w:p w:rsidR="00C34D74" w:rsidRDefault="00C34D74" w:rsidP="000B13C7">
      <w:pPr>
        <w:pStyle w:val="ListParagraph"/>
        <w:numPr>
          <w:ilvl w:val="0"/>
          <w:numId w:val="1"/>
        </w:numPr>
        <w:bidi/>
        <w:rPr>
          <w:rtl/>
        </w:rPr>
      </w:pPr>
      <w:r w:rsidRPr="000B13C7">
        <w:rPr>
          <w:rFonts w:cs="Arial"/>
          <w:rtl/>
        </w:rPr>
        <w:t>בעלי מניות בבנקים יתבקשו להזריק הון חדש לתוך הבנקים</w:t>
      </w:r>
      <w:r>
        <w:t>.</w:t>
      </w:r>
    </w:p>
    <w:p w:rsidR="00C34D74" w:rsidRDefault="00C34D74" w:rsidP="000B13C7">
      <w:pPr>
        <w:pStyle w:val="ListParagraph"/>
        <w:numPr>
          <w:ilvl w:val="0"/>
          <w:numId w:val="1"/>
        </w:numPr>
        <w:bidi/>
        <w:rPr>
          <w:rtl/>
        </w:rPr>
      </w:pPr>
      <w:r w:rsidRPr="000B13C7">
        <w:rPr>
          <w:rFonts w:cs="Arial"/>
          <w:rtl/>
        </w:rPr>
        <w:t>שאר הפקדונות י</w:t>
      </w:r>
      <w:r w:rsidR="000B13C7">
        <w:rPr>
          <w:rFonts w:cs="Arial" w:hint="cs"/>
          <w:rtl/>
        </w:rPr>
        <w:t>שו</w:t>
      </w:r>
      <w:r w:rsidRPr="000B13C7">
        <w:rPr>
          <w:rFonts w:cs="Arial"/>
          <w:rtl/>
        </w:rPr>
        <w:t>למו בדולר, בלירה או בשילוב של שניהם. גובה הפיצוי ייקבע בהתאם לחוק הגבלת ההון</w:t>
      </w:r>
      <w:r>
        <w:t>.</w:t>
      </w:r>
    </w:p>
    <w:p w:rsidR="00C34D74" w:rsidRDefault="00C34D74" w:rsidP="000B13C7">
      <w:pPr>
        <w:pStyle w:val="ListParagraph"/>
        <w:numPr>
          <w:ilvl w:val="0"/>
          <w:numId w:val="1"/>
        </w:numPr>
        <w:bidi/>
        <w:rPr>
          <w:rtl/>
        </w:rPr>
      </w:pPr>
      <w:r w:rsidRPr="000B13C7">
        <w:rPr>
          <w:rFonts w:cs="Arial"/>
          <w:rtl/>
        </w:rPr>
        <w:t>באשר לתקציב 2022, המיסים יחושבו לפי שער הסיירפא כדי להגדיל את ההכנסות. כמו כן, המיסים הסלקטיביים על סחורה כגון אלכוהול ומכוניות יקרות יעלו, המע"מ יעלה מ-11 ל-15 אחוז למשך השנתיים הקרובות ומס הרכוש יעלה</w:t>
      </w:r>
      <w:r>
        <w:t>.</w:t>
      </w:r>
    </w:p>
    <w:p w:rsidR="00C34D74" w:rsidRDefault="00C34D74" w:rsidP="000B13C7">
      <w:pPr>
        <w:pStyle w:val="ListParagraph"/>
        <w:numPr>
          <w:ilvl w:val="0"/>
          <w:numId w:val="1"/>
        </w:numPr>
        <w:bidi/>
        <w:rPr>
          <w:rtl/>
        </w:rPr>
      </w:pPr>
      <w:r w:rsidRPr="000B13C7">
        <w:rPr>
          <w:rFonts w:cs="Arial"/>
          <w:rtl/>
        </w:rPr>
        <w:t>על הממשלה להגיע ליחס חוב-תוצר של פחות מ-100% עד 2026, ופחות מ-76% על 2032</w:t>
      </w:r>
      <w:r>
        <w:t>.</w:t>
      </w:r>
    </w:p>
    <w:p w:rsidR="00C34D74" w:rsidRDefault="00C34D74" w:rsidP="000B13C7">
      <w:pPr>
        <w:pStyle w:val="ListParagraph"/>
        <w:numPr>
          <w:ilvl w:val="0"/>
          <w:numId w:val="1"/>
        </w:numPr>
        <w:bidi/>
      </w:pPr>
      <w:bookmarkStart w:id="0" w:name="_GoBack"/>
      <w:bookmarkEnd w:id="0"/>
      <w:r w:rsidRPr="000B13C7">
        <w:rPr>
          <w:rFonts w:cs="Arial"/>
          <w:rtl/>
        </w:rPr>
        <w:t>הבנק המרכזי יעבור שינוי מבנה, במסגרתו ועדת הפיקוח על הבנקים, וועדת הבנקים העליונה, ועדת החקירות המיוחד ורשות שוק ההון לא ידווחו יותר לנגיד הבנק המרכזי.</w:t>
      </w:r>
    </w:p>
    <w:sectPr w:rsidR="00C34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4368B"/>
    <w:multiLevelType w:val="hybridMultilevel"/>
    <w:tmpl w:val="71AC4A50"/>
    <w:lvl w:ilvl="0" w:tplc="BBBE18D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FC"/>
    <w:rsid w:val="000404BC"/>
    <w:rsid w:val="000B13C7"/>
    <w:rsid w:val="00760CFC"/>
    <w:rsid w:val="008A137C"/>
    <w:rsid w:val="008E600B"/>
    <w:rsid w:val="00B47C34"/>
    <w:rsid w:val="00C34D74"/>
    <w:rsid w:val="00D62F74"/>
    <w:rsid w:val="00E45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B6388-B095-42D3-83C7-E05C3C84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2613">
      <w:bodyDiv w:val="1"/>
      <w:marLeft w:val="0"/>
      <w:marRight w:val="0"/>
      <w:marTop w:val="0"/>
      <w:marBottom w:val="0"/>
      <w:divBdr>
        <w:top w:val="none" w:sz="0" w:space="0" w:color="auto"/>
        <w:left w:val="none" w:sz="0" w:space="0" w:color="auto"/>
        <w:bottom w:val="none" w:sz="0" w:space="0" w:color="auto"/>
        <w:right w:val="none" w:sz="0" w:space="0" w:color="auto"/>
      </w:divBdr>
    </w:div>
    <w:div w:id="333995169">
      <w:bodyDiv w:val="1"/>
      <w:marLeft w:val="0"/>
      <w:marRight w:val="0"/>
      <w:marTop w:val="0"/>
      <w:marBottom w:val="0"/>
      <w:divBdr>
        <w:top w:val="none" w:sz="0" w:space="0" w:color="auto"/>
        <w:left w:val="none" w:sz="0" w:space="0" w:color="auto"/>
        <w:bottom w:val="none" w:sz="0" w:space="0" w:color="auto"/>
        <w:right w:val="none" w:sz="0" w:space="0" w:color="auto"/>
      </w:divBdr>
    </w:div>
    <w:div w:id="377556464">
      <w:bodyDiv w:val="1"/>
      <w:marLeft w:val="0"/>
      <w:marRight w:val="0"/>
      <w:marTop w:val="0"/>
      <w:marBottom w:val="0"/>
      <w:divBdr>
        <w:top w:val="none" w:sz="0" w:space="0" w:color="auto"/>
        <w:left w:val="none" w:sz="0" w:space="0" w:color="auto"/>
        <w:bottom w:val="none" w:sz="0" w:space="0" w:color="auto"/>
        <w:right w:val="none" w:sz="0" w:space="0" w:color="auto"/>
      </w:divBdr>
      <w:divsChild>
        <w:div w:id="579487469">
          <w:marLeft w:val="150"/>
          <w:marRight w:val="0"/>
          <w:marTop w:val="60"/>
          <w:marBottom w:val="0"/>
          <w:divBdr>
            <w:top w:val="none" w:sz="0" w:space="0" w:color="auto"/>
            <w:left w:val="none" w:sz="0" w:space="0" w:color="auto"/>
            <w:bottom w:val="none" w:sz="0" w:space="0" w:color="auto"/>
            <w:right w:val="none" w:sz="0" w:space="0" w:color="auto"/>
          </w:divBdr>
        </w:div>
      </w:divsChild>
    </w:div>
    <w:div w:id="536044439">
      <w:bodyDiv w:val="1"/>
      <w:marLeft w:val="0"/>
      <w:marRight w:val="0"/>
      <w:marTop w:val="0"/>
      <w:marBottom w:val="0"/>
      <w:divBdr>
        <w:top w:val="none" w:sz="0" w:space="0" w:color="auto"/>
        <w:left w:val="none" w:sz="0" w:space="0" w:color="auto"/>
        <w:bottom w:val="none" w:sz="0" w:space="0" w:color="auto"/>
        <w:right w:val="none" w:sz="0" w:space="0" w:color="auto"/>
      </w:divBdr>
    </w:div>
    <w:div w:id="724452213">
      <w:bodyDiv w:val="1"/>
      <w:marLeft w:val="0"/>
      <w:marRight w:val="0"/>
      <w:marTop w:val="0"/>
      <w:marBottom w:val="0"/>
      <w:divBdr>
        <w:top w:val="none" w:sz="0" w:space="0" w:color="auto"/>
        <w:left w:val="none" w:sz="0" w:space="0" w:color="auto"/>
        <w:bottom w:val="none" w:sz="0" w:space="0" w:color="auto"/>
        <w:right w:val="none" w:sz="0" w:space="0" w:color="auto"/>
      </w:divBdr>
      <w:divsChild>
        <w:div w:id="1551647593">
          <w:marLeft w:val="150"/>
          <w:marRight w:val="0"/>
          <w:marTop w:val="60"/>
          <w:marBottom w:val="0"/>
          <w:divBdr>
            <w:top w:val="none" w:sz="0" w:space="0" w:color="auto"/>
            <w:left w:val="none" w:sz="0" w:space="0" w:color="auto"/>
            <w:bottom w:val="none" w:sz="0" w:space="0" w:color="auto"/>
            <w:right w:val="none" w:sz="0" w:space="0" w:color="auto"/>
          </w:divBdr>
        </w:div>
      </w:divsChild>
    </w:div>
    <w:div w:id="748891361">
      <w:bodyDiv w:val="1"/>
      <w:marLeft w:val="0"/>
      <w:marRight w:val="0"/>
      <w:marTop w:val="0"/>
      <w:marBottom w:val="0"/>
      <w:divBdr>
        <w:top w:val="none" w:sz="0" w:space="0" w:color="auto"/>
        <w:left w:val="none" w:sz="0" w:space="0" w:color="auto"/>
        <w:bottom w:val="none" w:sz="0" w:space="0" w:color="auto"/>
        <w:right w:val="none" w:sz="0" w:space="0" w:color="auto"/>
      </w:divBdr>
    </w:div>
    <w:div w:id="925841388">
      <w:bodyDiv w:val="1"/>
      <w:marLeft w:val="0"/>
      <w:marRight w:val="0"/>
      <w:marTop w:val="0"/>
      <w:marBottom w:val="0"/>
      <w:divBdr>
        <w:top w:val="none" w:sz="0" w:space="0" w:color="auto"/>
        <w:left w:val="none" w:sz="0" w:space="0" w:color="auto"/>
        <w:bottom w:val="none" w:sz="0" w:space="0" w:color="auto"/>
        <w:right w:val="none" w:sz="0" w:space="0" w:color="auto"/>
      </w:divBdr>
    </w:div>
    <w:div w:id="1097796574">
      <w:bodyDiv w:val="1"/>
      <w:marLeft w:val="0"/>
      <w:marRight w:val="0"/>
      <w:marTop w:val="0"/>
      <w:marBottom w:val="0"/>
      <w:divBdr>
        <w:top w:val="none" w:sz="0" w:space="0" w:color="auto"/>
        <w:left w:val="none" w:sz="0" w:space="0" w:color="auto"/>
        <w:bottom w:val="none" w:sz="0" w:space="0" w:color="auto"/>
        <w:right w:val="none" w:sz="0" w:space="0" w:color="auto"/>
      </w:divBdr>
    </w:div>
    <w:div w:id="1144934922">
      <w:bodyDiv w:val="1"/>
      <w:marLeft w:val="0"/>
      <w:marRight w:val="0"/>
      <w:marTop w:val="0"/>
      <w:marBottom w:val="0"/>
      <w:divBdr>
        <w:top w:val="none" w:sz="0" w:space="0" w:color="auto"/>
        <w:left w:val="none" w:sz="0" w:space="0" w:color="auto"/>
        <w:bottom w:val="none" w:sz="0" w:space="0" w:color="auto"/>
        <w:right w:val="none" w:sz="0" w:space="0" w:color="auto"/>
      </w:divBdr>
      <w:divsChild>
        <w:div w:id="1673096832">
          <w:marLeft w:val="150"/>
          <w:marRight w:val="0"/>
          <w:marTop w:val="60"/>
          <w:marBottom w:val="0"/>
          <w:divBdr>
            <w:top w:val="none" w:sz="0" w:space="0" w:color="auto"/>
            <w:left w:val="none" w:sz="0" w:space="0" w:color="auto"/>
            <w:bottom w:val="none" w:sz="0" w:space="0" w:color="auto"/>
            <w:right w:val="none" w:sz="0" w:space="0" w:color="auto"/>
          </w:divBdr>
        </w:div>
      </w:divsChild>
    </w:div>
    <w:div w:id="1249576554">
      <w:bodyDiv w:val="1"/>
      <w:marLeft w:val="0"/>
      <w:marRight w:val="0"/>
      <w:marTop w:val="0"/>
      <w:marBottom w:val="0"/>
      <w:divBdr>
        <w:top w:val="none" w:sz="0" w:space="0" w:color="auto"/>
        <w:left w:val="none" w:sz="0" w:space="0" w:color="auto"/>
        <w:bottom w:val="none" w:sz="0" w:space="0" w:color="auto"/>
        <w:right w:val="none" w:sz="0" w:space="0" w:color="auto"/>
      </w:divBdr>
    </w:div>
    <w:div w:id="1272586516">
      <w:bodyDiv w:val="1"/>
      <w:marLeft w:val="0"/>
      <w:marRight w:val="0"/>
      <w:marTop w:val="0"/>
      <w:marBottom w:val="0"/>
      <w:divBdr>
        <w:top w:val="none" w:sz="0" w:space="0" w:color="auto"/>
        <w:left w:val="none" w:sz="0" w:space="0" w:color="auto"/>
        <w:bottom w:val="none" w:sz="0" w:space="0" w:color="auto"/>
        <w:right w:val="none" w:sz="0" w:space="0" w:color="auto"/>
      </w:divBdr>
    </w:div>
    <w:div w:id="1443496376">
      <w:bodyDiv w:val="1"/>
      <w:marLeft w:val="0"/>
      <w:marRight w:val="0"/>
      <w:marTop w:val="0"/>
      <w:marBottom w:val="0"/>
      <w:divBdr>
        <w:top w:val="none" w:sz="0" w:space="0" w:color="auto"/>
        <w:left w:val="none" w:sz="0" w:space="0" w:color="auto"/>
        <w:bottom w:val="none" w:sz="0" w:space="0" w:color="auto"/>
        <w:right w:val="none" w:sz="0" w:space="0" w:color="auto"/>
      </w:divBdr>
      <w:divsChild>
        <w:div w:id="440338064">
          <w:marLeft w:val="150"/>
          <w:marRight w:val="0"/>
          <w:marTop w:val="60"/>
          <w:marBottom w:val="0"/>
          <w:divBdr>
            <w:top w:val="none" w:sz="0" w:space="0" w:color="auto"/>
            <w:left w:val="none" w:sz="0" w:space="0" w:color="auto"/>
            <w:bottom w:val="none" w:sz="0" w:space="0" w:color="auto"/>
            <w:right w:val="none" w:sz="0" w:space="0" w:color="auto"/>
          </w:divBdr>
        </w:div>
      </w:divsChild>
    </w:div>
    <w:div w:id="1448238334">
      <w:bodyDiv w:val="1"/>
      <w:marLeft w:val="0"/>
      <w:marRight w:val="0"/>
      <w:marTop w:val="0"/>
      <w:marBottom w:val="0"/>
      <w:divBdr>
        <w:top w:val="none" w:sz="0" w:space="0" w:color="auto"/>
        <w:left w:val="none" w:sz="0" w:space="0" w:color="auto"/>
        <w:bottom w:val="none" w:sz="0" w:space="0" w:color="auto"/>
        <w:right w:val="none" w:sz="0" w:space="0" w:color="auto"/>
      </w:divBdr>
    </w:div>
    <w:div w:id="1514412811">
      <w:bodyDiv w:val="1"/>
      <w:marLeft w:val="0"/>
      <w:marRight w:val="0"/>
      <w:marTop w:val="0"/>
      <w:marBottom w:val="0"/>
      <w:divBdr>
        <w:top w:val="none" w:sz="0" w:space="0" w:color="auto"/>
        <w:left w:val="none" w:sz="0" w:space="0" w:color="auto"/>
        <w:bottom w:val="none" w:sz="0" w:space="0" w:color="auto"/>
        <w:right w:val="none" w:sz="0" w:space="0" w:color="auto"/>
      </w:divBdr>
      <w:divsChild>
        <w:div w:id="1697120785">
          <w:marLeft w:val="150"/>
          <w:marRight w:val="0"/>
          <w:marTop w:val="60"/>
          <w:marBottom w:val="0"/>
          <w:divBdr>
            <w:top w:val="none" w:sz="0" w:space="0" w:color="auto"/>
            <w:left w:val="none" w:sz="0" w:space="0" w:color="auto"/>
            <w:bottom w:val="none" w:sz="0" w:space="0" w:color="auto"/>
            <w:right w:val="none" w:sz="0" w:space="0" w:color="auto"/>
          </w:divBdr>
        </w:div>
      </w:divsChild>
    </w:div>
    <w:div w:id="1630084812">
      <w:bodyDiv w:val="1"/>
      <w:marLeft w:val="0"/>
      <w:marRight w:val="0"/>
      <w:marTop w:val="0"/>
      <w:marBottom w:val="0"/>
      <w:divBdr>
        <w:top w:val="none" w:sz="0" w:space="0" w:color="auto"/>
        <w:left w:val="none" w:sz="0" w:space="0" w:color="auto"/>
        <w:bottom w:val="none" w:sz="0" w:space="0" w:color="auto"/>
        <w:right w:val="none" w:sz="0" w:space="0" w:color="auto"/>
      </w:divBdr>
    </w:div>
    <w:div w:id="1633249439">
      <w:bodyDiv w:val="1"/>
      <w:marLeft w:val="0"/>
      <w:marRight w:val="0"/>
      <w:marTop w:val="0"/>
      <w:marBottom w:val="0"/>
      <w:divBdr>
        <w:top w:val="none" w:sz="0" w:space="0" w:color="auto"/>
        <w:left w:val="none" w:sz="0" w:space="0" w:color="auto"/>
        <w:bottom w:val="none" w:sz="0" w:space="0" w:color="auto"/>
        <w:right w:val="none" w:sz="0" w:space="0" w:color="auto"/>
      </w:divBdr>
      <w:divsChild>
        <w:div w:id="675815285">
          <w:marLeft w:val="150"/>
          <w:marRight w:val="0"/>
          <w:marTop w:val="60"/>
          <w:marBottom w:val="0"/>
          <w:divBdr>
            <w:top w:val="none" w:sz="0" w:space="0" w:color="auto"/>
            <w:left w:val="none" w:sz="0" w:space="0" w:color="auto"/>
            <w:bottom w:val="none" w:sz="0" w:space="0" w:color="auto"/>
            <w:right w:val="none" w:sz="0" w:space="0" w:color="auto"/>
          </w:divBdr>
        </w:div>
      </w:divsChild>
    </w:div>
    <w:div w:id="1778719821">
      <w:bodyDiv w:val="1"/>
      <w:marLeft w:val="0"/>
      <w:marRight w:val="0"/>
      <w:marTop w:val="0"/>
      <w:marBottom w:val="0"/>
      <w:divBdr>
        <w:top w:val="none" w:sz="0" w:space="0" w:color="auto"/>
        <w:left w:val="none" w:sz="0" w:space="0" w:color="auto"/>
        <w:bottom w:val="none" w:sz="0" w:space="0" w:color="auto"/>
        <w:right w:val="none" w:sz="0" w:space="0" w:color="auto"/>
      </w:divBdr>
    </w:div>
    <w:div w:id="1788967716">
      <w:bodyDiv w:val="1"/>
      <w:marLeft w:val="0"/>
      <w:marRight w:val="0"/>
      <w:marTop w:val="0"/>
      <w:marBottom w:val="0"/>
      <w:divBdr>
        <w:top w:val="none" w:sz="0" w:space="0" w:color="auto"/>
        <w:left w:val="none" w:sz="0" w:space="0" w:color="auto"/>
        <w:bottom w:val="none" w:sz="0" w:space="0" w:color="auto"/>
        <w:right w:val="none" w:sz="0" w:space="0" w:color="auto"/>
      </w:divBdr>
      <w:divsChild>
        <w:div w:id="985864950">
          <w:marLeft w:val="150"/>
          <w:marRight w:val="0"/>
          <w:marTop w:val="60"/>
          <w:marBottom w:val="0"/>
          <w:divBdr>
            <w:top w:val="none" w:sz="0" w:space="0" w:color="auto"/>
            <w:left w:val="none" w:sz="0" w:space="0" w:color="auto"/>
            <w:bottom w:val="none" w:sz="0" w:space="0" w:color="auto"/>
            <w:right w:val="none" w:sz="0" w:space="0" w:color="auto"/>
          </w:divBdr>
        </w:div>
      </w:divsChild>
    </w:div>
    <w:div w:id="1858425266">
      <w:bodyDiv w:val="1"/>
      <w:marLeft w:val="0"/>
      <w:marRight w:val="0"/>
      <w:marTop w:val="0"/>
      <w:marBottom w:val="0"/>
      <w:divBdr>
        <w:top w:val="none" w:sz="0" w:space="0" w:color="auto"/>
        <w:left w:val="none" w:sz="0" w:space="0" w:color="auto"/>
        <w:bottom w:val="none" w:sz="0" w:space="0" w:color="auto"/>
        <w:right w:val="none" w:sz="0" w:space="0" w:color="auto"/>
      </w:divBdr>
      <w:divsChild>
        <w:div w:id="1026828727">
          <w:marLeft w:val="150"/>
          <w:marRight w:val="0"/>
          <w:marTop w:val="60"/>
          <w:marBottom w:val="0"/>
          <w:divBdr>
            <w:top w:val="none" w:sz="0" w:space="0" w:color="auto"/>
            <w:left w:val="none" w:sz="0" w:space="0" w:color="auto"/>
            <w:bottom w:val="none" w:sz="0" w:space="0" w:color="auto"/>
            <w:right w:val="none" w:sz="0" w:space="0" w:color="auto"/>
          </w:divBdr>
        </w:div>
      </w:divsChild>
    </w:div>
    <w:div w:id="1858612011">
      <w:bodyDiv w:val="1"/>
      <w:marLeft w:val="0"/>
      <w:marRight w:val="0"/>
      <w:marTop w:val="0"/>
      <w:marBottom w:val="0"/>
      <w:divBdr>
        <w:top w:val="none" w:sz="0" w:space="0" w:color="auto"/>
        <w:left w:val="none" w:sz="0" w:space="0" w:color="auto"/>
        <w:bottom w:val="none" w:sz="0" w:space="0" w:color="auto"/>
        <w:right w:val="none" w:sz="0" w:space="0" w:color="auto"/>
      </w:divBdr>
    </w:div>
    <w:div w:id="1919553777">
      <w:bodyDiv w:val="1"/>
      <w:marLeft w:val="0"/>
      <w:marRight w:val="0"/>
      <w:marTop w:val="0"/>
      <w:marBottom w:val="0"/>
      <w:divBdr>
        <w:top w:val="none" w:sz="0" w:space="0" w:color="auto"/>
        <w:left w:val="none" w:sz="0" w:space="0" w:color="auto"/>
        <w:bottom w:val="none" w:sz="0" w:space="0" w:color="auto"/>
        <w:right w:val="none" w:sz="0" w:space="0" w:color="auto"/>
      </w:divBdr>
    </w:div>
    <w:div w:id="1952005802">
      <w:bodyDiv w:val="1"/>
      <w:marLeft w:val="0"/>
      <w:marRight w:val="0"/>
      <w:marTop w:val="0"/>
      <w:marBottom w:val="0"/>
      <w:divBdr>
        <w:top w:val="none" w:sz="0" w:space="0" w:color="auto"/>
        <w:left w:val="none" w:sz="0" w:space="0" w:color="auto"/>
        <w:bottom w:val="none" w:sz="0" w:space="0" w:color="auto"/>
        <w:right w:val="none" w:sz="0" w:space="0" w:color="auto"/>
      </w:divBdr>
    </w:div>
    <w:div w:id="2068257220">
      <w:bodyDiv w:val="1"/>
      <w:marLeft w:val="0"/>
      <w:marRight w:val="0"/>
      <w:marTop w:val="0"/>
      <w:marBottom w:val="0"/>
      <w:divBdr>
        <w:top w:val="none" w:sz="0" w:space="0" w:color="auto"/>
        <w:left w:val="none" w:sz="0" w:space="0" w:color="auto"/>
        <w:bottom w:val="none" w:sz="0" w:space="0" w:color="auto"/>
        <w:right w:val="none" w:sz="0" w:space="0" w:color="auto"/>
      </w:divBdr>
    </w:div>
    <w:div w:id="2073389042">
      <w:bodyDiv w:val="1"/>
      <w:marLeft w:val="0"/>
      <w:marRight w:val="0"/>
      <w:marTop w:val="0"/>
      <w:marBottom w:val="0"/>
      <w:divBdr>
        <w:top w:val="none" w:sz="0" w:space="0" w:color="auto"/>
        <w:left w:val="none" w:sz="0" w:space="0" w:color="auto"/>
        <w:bottom w:val="none" w:sz="0" w:space="0" w:color="auto"/>
        <w:right w:val="none" w:sz="0" w:space="0" w:color="auto"/>
      </w:divBdr>
    </w:div>
    <w:div w:id="2126271730">
      <w:bodyDiv w:val="1"/>
      <w:marLeft w:val="0"/>
      <w:marRight w:val="0"/>
      <w:marTop w:val="0"/>
      <w:marBottom w:val="0"/>
      <w:divBdr>
        <w:top w:val="none" w:sz="0" w:space="0" w:color="auto"/>
        <w:left w:val="none" w:sz="0" w:space="0" w:color="auto"/>
        <w:bottom w:val="none" w:sz="0" w:space="0" w:color="auto"/>
        <w:right w:val="none" w:sz="0" w:space="0" w:color="auto"/>
      </w:divBdr>
      <w:divsChild>
        <w:div w:id="1699576096">
          <w:marLeft w:val="15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אליאס</dc:creator>
  <cp:keywords/>
  <dc:description/>
  <cp:lastModifiedBy>אור אליאס</cp:lastModifiedBy>
  <cp:revision>3</cp:revision>
  <dcterms:created xsi:type="dcterms:W3CDTF">2022-04-09T19:17:00Z</dcterms:created>
  <dcterms:modified xsi:type="dcterms:W3CDTF">2022-04-24T19:32:00Z</dcterms:modified>
</cp:coreProperties>
</file>