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8A61" w14:textId="5C70CABB" w:rsidR="00A94D41" w:rsidRPr="00811E1D" w:rsidRDefault="00A94D41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>1) Paper Title - The title must be between 30 and 255 characters</w:t>
      </w:r>
      <w:r w:rsidR="00DE64A5"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 xml:space="preserve"> (it is around ~100)</w:t>
      </w:r>
    </w:p>
    <w:p w14:paraId="75D37C0B" w14:textId="77777777" w:rsidR="00A94D41" w:rsidRPr="00811E1D" w:rsidRDefault="00A94D41" w:rsidP="00A94D41">
      <w:pPr>
        <w:bidi w:val="0"/>
        <w:spacing w:after="0"/>
        <w:jc w:val="center"/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  <w:rtl/>
          <w:lang w:bidi="he-IL"/>
        </w:rPr>
      </w:pPr>
    </w:p>
    <w:p w14:paraId="0DF699AC" w14:textId="04A1B13B" w:rsidR="00426701" w:rsidRPr="00811E1D" w:rsidRDefault="00426701" w:rsidP="00A94D41">
      <w:pPr>
        <w:bidi w:val="0"/>
        <w:spacing w:after="0"/>
        <w:jc w:val="center"/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  <w:rtl/>
          <w:lang w:bidi="he-IL"/>
        </w:rPr>
      </w:pPr>
      <w:r w:rsidRPr="00811E1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Prediction of </w:t>
      </w:r>
      <w:r w:rsidR="00A94D41" w:rsidRPr="00811E1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students’</w:t>
      </w:r>
      <w:r w:rsidRPr="00811E1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 exam success using syllabus-aware AI teaching assistant for tutoring and exam preparation</w:t>
      </w:r>
    </w:p>
    <w:p w14:paraId="23AFEC1A" w14:textId="77777777" w:rsidR="00A94D41" w:rsidRPr="00811E1D" w:rsidRDefault="00A94D41" w:rsidP="00A94D41">
      <w:pPr>
        <w:bidi w:val="0"/>
        <w:spacing w:after="0"/>
        <w:jc w:val="center"/>
        <w:rPr>
          <w:sz w:val="22"/>
          <w:szCs w:val="22"/>
          <w:lang w:bidi="he-IL"/>
        </w:rPr>
      </w:pPr>
    </w:p>
    <w:p w14:paraId="2C2018EF" w14:textId="5E7C5460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>2) Abstract - The abstract should not exceed 500 words (it is around ~400</w:t>
      </w:r>
      <w:r w:rsidRPr="00811E1D">
        <w:rPr>
          <w:rFonts w:ascii="Arial" w:hAnsi="Arial" w:cs="Arial" w:hint="cs"/>
          <w:b/>
          <w:bCs/>
          <w:color w:val="EE0000"/>
          <w:sz w:val="18"/>
          <w:szCs w:val="18"/>
          <w:u w:val="single"/>
          <w:shd w:val="clear" w:color="auto" w:fill="FFFFFF"/>
          <w:rtl/>
          <w:lang w:bidi="he-IL"/>
        </w:rPr>
        <w:t>(</w:t>
      </w:r>
    </w:p>
    <w:p w14:paraId="720F5B8B" w14:textId="77777777" w:rsidR="00DE64A5" w:rsidRPr="00811E1D" w:rsidRDefault="00DE64A5" w:rsidP="00426701">
      <w:pPr>
        <w:bidi w:val="0"/>
        <w:spacing w:after="0"/>
        <w:rPr>
          <w:sz w:val="22"/>
          <w:szCs w:val="22"/>
        </w:rPr>
      </w:pPr>
    </w:p>
    <w:p w14:paraId="1E8AC86C" w14:textId="24928668" w:rsidR="00892130" w:rsidRPr="00811E1D" w:rsidRDefault="00892130" w:rsidP="00DE64A5">
      <w:p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 xml:space="preserve">The integration of artificial intelligence (AI) and learning analytics into higher education presents new opportunities </w:t>
      </w:r>
      <w:r w:rsidR="00DF32FA" w:rsidRPr="00811E1D">
        <w:rPr>
          <w:sz w:val="22"/>
          <w:szCs w:val="22"/>
        </w:rPr>
        <w:t>for monitoring</w:t>
      </w:r>
      <w:r w:rsidRPr="00811E1D">
        <w:rPr>
          <w:sz w:val="22"/>
          <w:szCs w:val="22"/>
        </w:rPr>
        <w:t xml:space="preserve"> student engagement</w:t>
      </w:r>
      <w:r w:rsidR="00426701" w:rsidRPr="00811E1D">
        <w:rPr>
          <w:sz w:val="22"/>
          <w:szCs w:val="22"/>
        </w:rPr>
        <w:t xml:space="preserve"> and understanding of the </w:t>
      </w:r>
      <w:r w:rsidR="00A94D41" w:rsidRPr="00811E1D">
        <w:rPr>
          <w:sz w:val="22"/>
          <w:szCs w:val="22"/>
        </w:rPr>
        <w:t xml:space="preserve">course’s </w:t>
      </w:r>
      <w:r w:rsidR="00426701" w:rsidRPr="00811E1D">
        <w:rPr>
          <w:sz w:val="22"/>
          <w:szCs w:val="22"/>
        </w:rPr>
        <w:t>material</w:t>
      </w:r>
      <w:r w:rsidR="00A94D41" w:rsidRPr="00811E1D">
        <w:rPr>
          <w:sz w:val="22"/>
          <w:szCs w:val="22"/>
        </w:rPr>
        <w:t>s</w:t>
      </w:r>
      <w:r w:rsidR="0090728D">
        <w:rPr>
          <w:sz w:val="22"/>
          <w:szCs w:val="22"/>
        </w:rPr>
        <w:t xml:space="preserve"> (</w:t>
      </w:r>
      <w:r w:rsidR="0090728D" w:rsidRPr="0090728D">
        <w:rPr>
          <w:sz w:val="22"/>
          <w:szCs w:val="22"/>
        </w:rPr>
        <w:t>Zawacki-Richter et al., 2019; Ouyang et al., 2022</w:t>
      </w:r>
      <w:r w:rsidR="0090728D">
        <w:rPr>
          <w:sz w:val="22"/>
          <w:szCs w:val="22"/>
        </w:rPr>
        <w:t>)</w:t>
      </w:r>
      <w:r w:rsidR="00426701" w:rsidRPr="00811E1D">
        <w:rPr>
          <w:sz w:val="22"/>
          <w:szCs w:val="22"/>
        </w:rPr>
        <w:t>. It also enables</w:t>
      </w:r>
      <w:r w:rsidR="00BE0568" w:rsidRPr="00811E1D">
        <w:rPr>
          <w:sz w:val="22"/>
          <w:szCs w:val="22"/>
        </w:rPr>
        <w:t xml:space="preserve"> ongoing support for open questions as the semester progresses in accordance with the syllabus topics</w:t>
      </w:r>
      <w:r w:rsidRPr="00811E1D">
        <w:rPr>
          <w:sz w:val="22"/>
          <w:szCs w:val="22"/>
        </w:rPr>
        <w:t xml:space="preserve"> </w:t>
      </w:r>
      <w:r w:rsidR="00BE0568" w:rsidRPr="00811E1D">
        <w:rPr>
          <w:sz w:val="22"/>
          <w:szCs w:val="22"/>
        </w:rPr>
        <w:t xml:space="preserve">when the goal is to </w:t>
      </w:r>
      <w:r w:rsidRPr="00811E1D">
        <w:rPr>
          <w:sz w:val="22"/>
          <w:szCs w:val="22"/>
        </w:rPr>
        <w:t xml:space="preserve">support </w:t>
      </w:r>
      <w:r w:rsidR="00BE0568" w:rsidRPr="00811E1D">
        <w:rPr>
          <w:sz w:val="22"/>
          <w:szCs w:val="22"/>
        </w:rPr>
        <w:t>academic</w:t>
      </w:r>
      <w:r w:rsidRPr="00811E1D">
        <w:rPr>
          <w:sz w:val="22"/>
          <w:szCs w:val="22"/>
        </w:rPr>
        <w:t xml:space="preserve"> success</w:t>
      </w:r>
      <w:r w:rsidR="0090728D">
        <w:rPr>
          <w:sz w:val="22"/>
          <w:szCs w:val="22"/>
        </w:rPr>
        <w:t xml:space="preserve"> (</w:t>
      </w:r>
      <w:r w:rsidR="0090728D" w:rsidRPr="0090728D">
        <w:rPr>
          <w:sz w:val="22"/>
          <w:szCs w:val="22"/>
        </w:rPr>
        <w:t>Chiu &amp; Chai, 2023</w:t>
      </w:r>
      <w:r w:rsidR="0090728D">
        <w:rPr>
          <w:sz w:val="22"/>
          <w:szCs w:val="22"/>
        </w:rPr>
        <w:t>)</w:t>
      </w:r>
      <w:r w:rsidRPr="00811E1D">
        <w:rPr>
          <w:sz w:val="22"/>
          <w:szCs w:val="22"/>
        </w:rPr>
        <w:t xml:space="preserve">. However, relying solely on summative assessments often limits </w:t>
      </w:r>
      <w:r w:rsidR="00DF32FA" w:rsidRPr="00811E1D">
        <w:rPr>
          <w:sz w:val="22"/>
          <w:szCs w:val="22"/>
        </w:rPr>
        <w:t>instructors’ ability</w:t>
      </w:r>
      <w:r w:rsidRPr="00811E1D">
        <w:rPr>
          <w:sz w:val="22"/>
          <w:szCs w:val="22"/>
        </w:rPr>
        <w:t xml:space="preserve"> to intervene when students face persistent challenges early in the semester. While predictive analytics show promise, there remains a critical need to understand how combining traditional academic indicators with fine-grained traces from AI-assisted learning environments can help identify at-risk students before final evaluations</w:t>
      </w:r>
      <w:r w:rsidR="0090728D">
        <w:rPr>
          <w:sz w:val="22"/>
          <w:szCs w:val="22"/>
        </w:rPr>
        <w:t xml:space="preserve"> (</w:t>
      </w:r>
      <w:r w:rsidR="0090728D" w:rsidRPr="0090728D">
        <w:rPr>
          <w:sz w:val="22"/>
          <w:szCs w:val="22"/>
        </w:rPr>
        <w:t xml:space="preserve">Crompton &amp; Burke, 2023; </w:t>
      </w:r>
      <w:proofErr w:type="spellStart"/>
      <w:r w:rsidR="0090728D" w:rsidRPr="0090728D">
        <w:rPr>
          <w:sz w:val="22"/>
          <w:szCs w:val="22"/>
        </w:rPr>
        <w:t>Ifenthaler</w:t>
      </w:r>
      <w:proofErr w:type="spellEnd"/>
      <w:r w:rsidR="0090728D" w:rsidRPr="0090728D">
        <w:rPr>
          <w:sz w:val="22"/>
          <w:szCs w:val="22"/>
        </w:rPr>
        <w:t xml:space="preserve"> &amp; Yau, 2020</w:t>
      </w:r>
      <w:r w:rsidR="0090728D">
        <w:rPr>
          <w:sz w:val="22"/>
          <w:szCs w:val="22"/>
        </w:rPr>
        <w:t>)</w:t>
      </w:r>
      <w:r w:rsidRPr="00811E1D">
        <w:rPr>
          <w:sz w:val="22"/>
          <w:szCs w:val="22"/>
        </w:rPr>
        <w:t xml:space="preserve">. </w:t>
      </w:r>
    </w:p>
    <w:p w14:paraId="3793DB32" w14:textId="77777777" w:rsidR="000E0E9F" w:rsidRPr="00811E1D" w:rsidRDefault="000E0E9F" w:rsidP="000E0E9F">
      <w:pPr>
        <w:bidi w:val="0"/>
        <w:spacing w:after="0"/>
        <w:rPr>
          <w:sz w:val="22"/>
          <w:szCs w:val="22"/>
        </w:rPr>
      </w:pPr>
    </w:p>
    <w:p w14:paraId="398B1ACB" w14:textId="3841C928" w:rsidR="00892130" w:rsidRPr="00811E1D" w:rsidRDefault="00892130" w:rsidP="000E0E9F">
      <w:p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 xml:space="preserve">This study </w:t>
      </w:r>
      <w:r w:rsidR="00DF32FA" w:rsidRPr="00811E1D">
        <w:rPr>
          <w:sz w:val="22"/>
          <w:szCs w:val="22"/>
        </w:rPr>
        <w:t>investigated</w:t>
      </w:r>
      <w:r w:rsidRPr="00811E1D">
        <w:rPr>
          <w:sz w:val="22"/>
          <w:szCs w:val="22"/>
        </w:rPr>
        <w:t xml:space="preserve"> the predictive value of </w:t>
      </w:r>
      <w:r w:rsidR="00BE0568" w:rsidRPr="00811E1D">
        <w:rPr>
          <w:sz w:val="22"/>
          <w:szCs w:val="22"/>
        </w:rPr>
        <w:t xml:space="preserve">full </w:t>
      </w:r>
      <w:r w:rsidR="00426701" w:rsidRPr="00811E1D">
        <w:rPr>
          <w:sz w:val="22"/>
          <w:szCs w:val="22"/>
        </w:rPr>
        <w:t xml:space="preserve">academic </w:t>
      </w:r>
      <w:r w:rsidR="00BE0568" w:rsidRPr="00811E1D">
        <w:rPr>
          <w:sz w:val="22"/>
          <w:szCs w:val="22"/>
        </w:rPr>
        <w:t xml:space="preserve">support </w:t>
      </w:r>
      <w:r w:rsidR="00A94D41" w:rsidRPr="00811E1D">
        <w:rPr>
          <w:sz w:val="22"/>
          <w:szCs w:val="22"/>
        </w:rPr>
        <w:t>provided throughout</w:t>
      </w:r>
      <w:r w:rsidR="00BE0568" w:rsidRPr="00811E1D">
        <w:rPr>
          <w:sz w:val="22"/>
          <w:szCs w:val="22"/>
        </w:rPr>
        <w:t xml:space="preserve"> the semester </w:t>
      </w:r>
      <w:r w:rsidR="00AD5A3B" w:rsidRPr="00811E1D">
        <w:rPr>
          <w:sz w:val="22"/>
          <w:szCs w:val="22"/>
          <w:lang w:bidi="he-IL"/>
        </w:rPr>
        <w:t>d</w:t>
      </w:r>
      <w:r w:rsidR="00AD5A3B" w:rsidRPr="00811E1D">
        <w:rPr>
          <w:sz w:val="22"/>
          <w:szCs w:val="22"/>
        </w:rPr>
        <w:t xml:space="preserve">uring </w:t>
      </w:r>
      <w:r w:rsidR="00A94D41" w:rsidRPr="00811E1D">
        <w:rPr>
          <w:sz w:val="22"/>
          <w:szCs w:val="22"/>
        </w:rPr>
        <w:t>computer-</w:t>
      </w:r>
      <w:r w:rsidR="00AD5A3B" w:rsidRPr="00811E1D">
        <w:rPr>
          <w:sz w:val="22"/>
          <w:szCs w:val="22"/>
        </w:rPr>
        <w:t>lab</w:t>
      </w:r>
      <w:r w:rsidR="00A94D41" w:rsidRPr="00811E1D">
        <w:rPr>
          <w:sz w:val="22"/>
          <w:szCs w:val="22"/>
        </w:rPr>
        <w:t>-</w:t>
      </w:r>
      <w:r w:rsidR="00AD5A3B" w:rsidRPr="00811E1D">
        <w:rPr>
          <w:sz w:val="22"/>
          <w:szCs w:val="22"/>
        </w:rPr>
        <w:t xml:space="preserve">classes </w:t>
      </w:r>
      <w:r w:rsidR="00426701" w:rsidRPr="00811E1D">
        <w:rPr>
          <w:sz w:val="22"/>
          <w:szCs w:val="22"/>
        </w:rPr>
        <w:t>and</w:t>
      </w:r>
      <w:r w:rsidR="00AD5A3B" w:rsidRPr="00811E1D">
        <w:rPr>
          <w:sz w:val="22"/>
          <w:szCs w:val="22"/>
        </w:rPr>
        <w:t xml:space="preserve"> practice</w:t>
      </w:r>
      <w:r w:rsidR="00426701" w:rsidRPr="00811E1D">
        <w:rPr>
          <w:sz w:val="22"/>
          <w:szCs w:val="22"/>
        </w:rPr>
        <w:t>s.</w:t>
      </w:r>
      <w:r w:rsidR="00AD5A3B" w:rsidRPr="00811E1D">
        <w:rPr>
          <w:sz w:val="22"/>
          <w:szCs w:val="22"/>
        </w:rPr>
        <w:t xml:space="preserve"> </w:t>
      </w:r>
      <w:r w:rsidR="00426701" w:rsidRPr="00811E1D">
        <w:rPr>
          <w:sz w:val="22"/>
          <w:szCs w:val="22"/>
        </w:rPr>
        <w:t>These activities</w:t>
      </w:r>
      <w:r w:rsidR="00426701" w:rsidRPr="00811E1D" w:rsidDel="00426701">
        <w:rPr>
          <w:sz w:val="22"/>
          <w:szCs w:val="22"/>
        </w:rPr>
        <w:t xml:space="preserve"> </w:t>
      </w:r>
      <w:r w:rsidR="00DF32FA" w:rsidRPr="00811E1D">
        <w:rPr>
          <w:sz w:val="22"/>
          <w:szCs w:val="22"/>
        </w:rPr>
        <w:t>generated</w:t>
      </w:r>
      <w:r w:rsidR="00BE0568" w:rsidRPr="00811E1D">
        <w:rPr>
          <w:sz w:val="22"/>
          <w:szCs w:val="22"/>
        </w:rPr>
        <w:t xml:space="preserve"> </w:t>
      </w:r>
      <w:r w:rsidRPr="00811E1D">
        <w:rPr>
          <w:sz w:val="22"/>
          <w:szCs w:val="22"/>
        </w:rPr>
        <w:t>formative data</w:t>
      </w:r>
      <w:r w:rsidR="00426701" w:rsidRPr="00811E1D">
        <w:rPr>
          <w:sz w:val="22"/>
          <w:szCs w:val="22"/>
        </w:rPr>
        <w:t xml:space="preserve"> that </w:t>
      </w:r>
      <w:r w:rsidR="00DF32FA" w:rsidRPr="00811E1D">
        <w:rPr>
          <w:sz w:val="22"/>
          <w:szCs w:val="22"/>
        </w:rPr>
        <w:t>were</w:t>
      </w:r>
      <w:r w:rsidR="00426701" w:rsidRPr="00811E1D">
        <w:rPr>
          <w:sz w:val="22"/>
          <w:szCs w:val="22"/>
        </w:rPr>
        <w:t xml:space="preserve"> used</w:t>
      </w:r>
      <w:r w:rsidRPr="00811E1D">
        <w:rPr>
          <w:sz w:val="22"/>
          <w:szCs w:val="22"/>
        </w:rPr>
        <w:t xml:space="preserve"> to forecast final exam success </w:t>
      </w:r>
      <w:r w:rsidR="00426701" w:rsidRPr="00811E1D">
        <w:rPr>
          <w:sz w:val="22"/>
          <w:szCs w:val="22"/>
        </w:rPr>
        <w:t xml:space="preserve">in </w:t>
      </w:r>
      <w:r w:rsidRPr="00811E1D">
        <w:rPr>
          <w:sz w:val="22"/>
          <w:szCs w:val="22"/>
        </w:rPr>
        <w:t xml:space="preserve">an undergraduate </w:t>
      </w:r>
      <w:r w:rsidR="00AD5A3B" w:rsidRPr="00811E1D">
        <w:rPr>
          <w:sz w:val="22"/>
          <w:szCs w:val="22"/>
        </w:rPr>
        <w:t>technology course for engineering students</w:t>
      </w:r>
      <w:r w:rsidRPr="00811E1D">
        <w:rPr>
          <w:sz w:val="22"/>
          <w:szCs w:val="22"/>
        </w:rPr>
        <w:t xml:space="preserve">. Drawing on data collected across a full academic semester, we integrate traditional performance metrics (such as ongoing semester grades, participation in structured course activities, and performance on formative pre-exam questions) with interaction telemetry derived from a syllabus-aware AI teaching assistant. </w:t>
      </w:r>
      <w:r w:rsidR="00DF32FA" w:rsidRPr="00811E1D">
        <w:rPr>
          <w:sz w:val="22"/>
          <w:szCs w:val="22"/>
        </w:rPr>
        <w:t>This</w:t>
      </w:r>
      <w:r w:rsidRPr="00811E1D">
        <w:rPr>
          <w:sz w:val="22"/>
          <w:szCs w:val="22"/>
        </w:rPr>
        <w:t xml:space="preserve"> </w:t>
      </w:r>
      <w:r w:rsidR="00DF32FA" w:rsidRPr="00811E1D">
        <w:rPr>
          <w:sz w:val="22"/>
          <w:szCs w:val="22"/>
        </w:rPr>
        <w:t>study</w:t>
      </w:r>
      <w:r w:rsidRPr="00811E1D">
        <w:rPr>
          <w:sz w:val="22"/>
          <w:szCs w:val="22"/>
        </w:rPr>
        <w:t xml:space="preserve"> addresses two primary questions</w:t>
      </w:r>
      <w:r w:rsidR="00DF32FA" w:rsidRPr="00811E1D">
        <w:rPr>
          <w:sz w:val="22"/>
          <w:szCs w:val="22"/>
        </w:rPr>
        <w:t>.</w:t>
      </w:r>
      <w:r w:rsidRPr="00811E1D">
        <w:rPr>
          <w:sz w:val="22"/>
          <w:szCs w:val="22"/>
        </w:rPr>
        <w:t xml:space="preserve"> </w:t>
      </w:r>
    </w:p>
    <w:p w14:paraId="4F65A0C6" w14:textId="071FFAFA" w:rsidR="00892130" w:rsidRPr="00811E1D" w:rsidRDefault="00892130" w:rsidP="000E0E9F">
      <w:pPr>
        <w:pStyle w:val="ab"/>
        <w:numPr>
          <w:ilvl w:val="0"/>
          <w:numId w:val="1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 xml:space="preserve">How do </w:t>
      </w:r>
      <w:r w:rsidR="00DF32FA" w:rsidRPr="00811E1D">
        <w:rPr>
          <w:sz w:val="22"/>
          <w:szCs w:val="22"/>
        </w:rPr>
        <w:t>early semester</w:t>
      </w:r>
      <w:r w:rsidRPr="00811E1D">
        <w:rPr>
          <w:sz w:val="22"/>
          <w:szCs w:val="22"/>
        </w:rPr>
        <w:t xml:space="preserve"> learning </w:t>
      </w:r>
      <w:r w:rsidR="00AD5A3B" w:rsidRPr="00811E1D">
        <w:rPr>
          <w:sz w:val="22"/>
          <w:szCs w:val="22"/>
        </w:rPr>
        <w:t>techniques</w:t>
      </w:r>
      <w:r w:rsidRPr="00811E1D">
        <w:rPr>
          <w:sz w:val="22"/>
          <w:szCs w:val="22"/>
        </w:rPr>
        <w:t xml:space="preserve"> and AI engagement patterns correlate with ultimate </w:t>
      </w:r>
      <w:r w:rsidR="00DF32FA" w:rsidRPr="00811E1D">
        <w:rPr>
          <w:sz w:val="22"/>
          <w:szCs w:val="22"/>
        </w:rPr>
        <w:t>examination</w:t>
      </w:r>
      <w:r w:rsidRPr="00811E1D">
        <w:rPr>
          <w:sz w:val="22"/>
          <w:szCs w:val="22"/>
        </w:rPr>
        <w:t xml:space="preserve"> performance? </w:t>
      </w:r>
    </w:p>
    <w:p w14:paraId="622B6A52" w14:textId="24ECD99C" w:rsidR="00892130" w:rsidRPr="00811E1D" w:rsidRDefault="00892130" w:rsidP="000E0E9F">
      <w:pPr>
        <w:pStyle w:val="ab"/>
        <w:numPr>
          <w:ilvl w:val="0"/>
          <w:numId w:val="1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 xml:space="preserve">How </w:t>
      </w:r>
      <w:r w:rsidR="00DF32FA" w:rsidRPr="00811E1D">
        <w:rPr>
          <w:sz w:val="22"/>
          <w:szCs w:val="22"/>
        </w:rPr>
        <w:t xml:space="preserve">can the synthesis of these formative indicators be extended to </w:t>
      </w:r>
      <w:r w:rsidRPr="00811E1D">
        <w:rPr>
          <w:sz w:val="22"/>
          <w:szCs w:val="22"/>
        </w:rPr>
        <w:t>reliably predict student success to enable timely pedagogical interventions</w:t>
      </w:r>
      <w:r w:rsidR="00AD5A3B" w:rsidRPr="00811E1D">
        <w:rPr>
          <w:rFonts w:hint="cs"/>
          <w:sz w:val="22"/>
          <w:szCs w:val="22"/>
          <w:rtl/>
          <w:lang w:bidi="he-IL"/>
        </w:rPr>
        <w:t xml:space="preserve"> </w:t>
      </w:r>
      <w:r w:rsidR="00AD5A3B" w:rsidRPr="00811E1D">
        <w:rPr>
          <w:sz w:val="22"/>
          <w:szCs w:val="22"/>
          <w:lang w:bidi="he-IL"/>
        </w:rPr>
        <w:t>during (and not after) the semester</w:t>
      </w:r>
      <w:r w:rsidRPr="00811E1D">
        <w:rPr>
          <w:sz w:val="22"/>
          <w:szCs w:val="22"/>
        </w:rPr>
        <w:t>?</w:t>
      </w:r>
    </w:p>
    <w:p w14:paraId="2769617C" w14:textId="77777777" w:rsidR="000E0E9F" w:rsidRPr="00811E1D" w:rsidRDefault="000E0E9F" w:rsidP="000E0E9F">
      <w:pPr>
        <w:pStyle w:val="ab"/>
        <w:bidi w:val="0"/>
        <w:spacing w:after="0"/>
        <w:rPr>
          <w:sz w:val="22"/>
          <w:szCs w:val="22"/>
        </w:rPr>
      </w:pPr>
    </w:p>
    <w:p w14:paraId="689B7558" w14:textId="7D01947B" w:rsidR="0078411B" w:rsidRPr="00811E1D" w:rsidRDefault="00892130" w:rsidP="000E0E9F">
      <w:pPr>
        <w:bidi w:val="0"/>
        <w:spacing w:after="0"/>
        <w:rPr>
          <w:rFonts w:cs="Arial"/>
          <w:sz w:val="22"/>
          <w:szCs w:val="22"/>
        </w:rPr>
      </w:pPr>
      <w:r w:rsidRPr="00811E1D">
        <w:rPr>
          <w:sz w:val="22"/>
          <w:szCs w:val="22"/>
        </w:rPr>
        <w:t xml:space="preserve">We employed a predictive modeling approach to evaluate student trajectories, framing the analysis within the context of authentic classroom integration rather than as a purely technical algorithmic optimization. Our conceptual modeling approach yielded a predictive accuracy of at least 60%, depending on the configuration of temporal indicators. </w:t>
      </w:r>
      <w:r w:rsidR="00426701" w:rsidRPr="00811E1D">
        <w:rPr>
          <w:sz w:val="22"/>
          <w:szCs w:val="22"/>
        </w:rPr>
        <w:t xml:space="preserve">Although the achieved accuracy </w:t>
      </w:r>
      <w:r w:rsidR="00DF32FA" w:rsidRPr="00811E1D">
        <w:rPr>
          <w:sz w:val="22"/>
          <w:szCs w:val="22"/>
        </w:rPr>
        <w:t>was</w:t>
      </w:r>
      <w:r w:rsidR="00426701" w:rsidRPr="00811E1D">
        <w:rPr>
          <w:sz w:val="22"/>
          <w:szCs w:val="22"/>
        </w:rPr>
        <w:t xml:space="preserve"> moderate, it </w:t>
      </w:r>
      <w:r w:rsidR="00DF32FA" w:rsidRPr="00811E1D">
        <w:rPr>
          <w:sz w:val="22"/>
          <w:szCs w:val="22"/>
        </w:rPr>
        <w:t>reflected</w:t>
      </w:r>
      <w:r w:rsidR="00426701" w:rsidRPr="00811E1D">
        <w:rPr>
          <w:sz w:val="22"/>
          <w:szCs w:val="22"/>
        </w:rPr>
        <w:t xml:space="preserve"> the intrinsic complexity and variability of student achievement. The integration of AI interaction logs with formative assessment data produces actionable indicators of progress, </w:t>
      </w:r>
      <w:r w:rsidR="00C85F10" w:rsidRPr="00811E1D">
        <w:rPr>
          <w:sz w:val="22"/>
          <w:szCs w:val="22"/>
        </w:rPr>
        <w:t xml:space="preserve">which allows for </w:t>
      </w:r>
      <w:r w:rsidR="00DF32FA" w:rsidRPr="00811E1D">
        <w:rPr>
          <w:sz w:val="22"/>
          <w:szCs w:val="22"/>
        </w:rPr>
        <w:t>student</w:t>
      </w:r>
      <w:r w:rsidR="00C85F10" w:rsidRPr="00811E1D">
        <w:rPr>
          <w:sz w:val="22"/>
          <w:szCs w:val="22"/>
        </w:rPr>
        <w:t xml:space="preserve"> support and solving difficulties that arise during the semester</w:t>
      </w:r>
      <w:r w:rsidR="00426701" w:rsidRPr="00811E1D">
        <w:rPr>
          <w:sz w:val="22"/>
          <w:szCs w:val="22"/>
        </w:rPr>
        <w:t xml:space="preserve"> with </w:t>
      </w:r>
      <w:r w:rsidR="00DF32FA" w:rsidRPr="00811E1D">
        <w:rPr>
          <w:sz w:val="22"/>
          <w:szCs w:val="22"/>
        </w:rPr>
        <w:t xml:space="preserve">a </w:t>
      </w:r>
      <w:r w:rsidR="00C85F10" w:rsidRPr="00811E1D">
        <w:rPr>
          <w:sz w:val="22"/>
          <w:szCs w:val="22"/>
        </w:rPr>
        <w:t>deeper understanding</w:t>
      </w:r>
      <w:r w:rsidR="00426701" w:rsidRPr="00811E1D">
        <w:rPr>
          <w:sz w:val="22"/>
          <w:szCs w:val="22"/>
        </w:rPr>
        <w:t xml:space="preserve"> </w:t>
      </w:r>
      <w:r w:rsidR="00DF32FA" w:rsidRPr="00811E1D">
        <w:rPr>
          <w:sz w:val="22"/>
          <w:szCs w:val="22"/>
        </w:rPr>
        <w:t xml:space="preserve">of </w:t>
      </w:r>
      <w:r w:rsidR="00426701" w:rsidRPr="00811E1D">
        <w:rPr>
          <w:sz w:val="22"/>
          <w:szCs w:val="22"/>
        </w:rPr>
        <w:t>the</w:t>
      </w:r>
      <w:r w:rsidR="00A94D41" w:rsidRPr="00811E1D">
        <w:rPr>
          <w:sz w:val="22"/>
          <w:szCs w:val="22"/>
        </w:rPr>
        <w:t xml:space="preserve"> course’s</w:t>
      </w:r>
      <w:r w:rsidR="00426701" w:rsidRPr="00811E1D">
        <w:rPr>
          <w:sz w:val="22"/>
          <w:szCs w:val="22"/>
        </w:rPr>
        <w:t xml:space="preserve"> materials and</w:t>
      </w:r>
      <w:r w:rsidR="00C85F10" w:rsidRPr="00811E1D">
        <w:rPr>
          <w:sz w:val="22"/>
          <w:szCs w:val="22"/>
        </w:rPr>
        <w:t xml:space="preserve"> without increasing the teaching load on the course instructor</w:t>
      </w:r>
      <w:r w:rsidR="0090728D">
        <w:rPr>
          <w:sz w:val="22"/>
          <w:szCs w:val="22"/>
        </w:rPr>
        <w:t xml:space="preserve"> (</w:t>
      </w:r>
      <w:r w:rsidR="0090728D" w:rsidRPr="0090728D">
        <w:rPr>
          <w:sz w:val="22"/>
          <w:szCs w:val="22"/>
        </w:rPr>
        <w:t>Davis, 1989; Venkatesh et al., 2003</w:t>
      </w:r>
      <w:r w:rsidR="0090728D">
        <w:rPr>
          <w:sz w:val="22"/>
          <w:szCs w:val="22"/>
        </w:rPr>
        <w:t>)</w:t>
      </w:r>
      <w:r w:rsidRPr="00811E1D">
        <w:rPr>
          <w:sz w:val="22"/>
          <w:szCs w:val="22"/>
        </w:rPr>
        <w:t>. Crucially, this evaluation focuses on the practical implications for classroom workflows and early identification</w:t>
      </w:r>
      <w:r w:rsidR="00DF32FA" w:rsidRPr="00811E1D">
        <w:rPr>
          <w:sz w:val="22"/>
          <w:szCs w:val="22"/>
        </w:rPr>
        <w:t>,</w:t>
      </w:r>
      <w:r w:rsidRPr="00811E1D">
        <w:rPr>
          <w:sz w:val="22"/>
          <w:szCs w:val="22"/>
        </w:rPr>
        <w:t xml:space="preserve"> rather than claiming definitive causal impacts on objective learning gains. </w:t>
      </w:r>
      <w:r w:rsidRPr="00811E1D">
        <w:rPr>
          <w:sz w:val="22"/>
          <w:szCs w:val="22"/>
        </w:rPr>
        <w:lastRenderedPageBreak/>
        <w:t>The findings illustrate both the promise and the boundaries of using hybrid learning analytics for student support</w:t>
      </w:r>
      <w:r w:rsidR="0090728D">
        <w:rPr>
          <w:sz w:val="22"/>
          <w:szCs w:val="22"/>
        </w:rPr>
        <w:t xml:space="preserve"> (</w:t>
      </w:r>
      <w:proofErr w:type="spellStart"/>
      <w:r w:rsidR="0090728D" w:rsidRPr="0090728D">
        <w:rPr>
          <w:sz w:val="22"/>
          <w:szCs w:val="22"/>
        </w:rPr>
        <w:t>Kasneci</w:t>
      </w:r>
      <w:proofErr w:type="spellEnd"/>
      <w:r w:rsidR="0090728D" w:rsidRPr="0090728D">
        <w:rPr>
          <w:sz w:val="22"/>
          <w:szCs w:val="22"/>
        </w:rPr>
        <w:t xml:space="preserve"> et al., 2023</w:t>
      </w:r>
      <w:r w:rsidR="0090728D">
        <w:rPr>
          <w:sz w:val="22"/>
          <w:szCs w:val="22"/>
        </w:rPr>
        <w:t>)</w:t>
      </w:r>
      <w:r w:rsidRPr="00811E1D">
        <w:rPr>
          <w:sz w:val="22"/>
          <w:szCs w:val="22"/>
        </w:rPr>
        <w:t xml:space="preserve">. </w:t>
      </w:r>
      <w:r w:rsidR="00734661" w:rsidRPr="00811E1D">
        <w:rPr>
          <w:sz w:val="22"/>
          <w:szCs w:val="22"/>
        </w:rPr>
        <w:t>This</w:t>
      </w:r>
      <w:r w:rsidRPr="00811E1D">
        <w:rPr>
          <w:sz w:val="22"/>
          <w:szCs w:val="22"/>
        </w:rPr>
        <w:t xml:space="preserve"> study </w:t>
      </w:r>
      <w:r w:rsidR="00DF32FA" w:rsidRPr="00811E1D">
        <w:rPr>
          <w:sz w:val="22"/>
          <w:szCs w:val="22"/>
        </w:rPr>
        <w:t>provides</w:t>
      </w:r>
      <w:r w:rsidRPr="00811E1D">
        <w:rPr>
          <w:sz w:val="22"/>
          <w:szCs w:val="22"/>
        </w:rPr>
        <w:t xml:space="preserve"> practical recommendations for integrating AI-assisted learning traces with traditional academic performance, emphasizing the value of timely instructional intervention and syllabus-aligned support in </w:t>
      </w:r>
      <w:r w:rsidR="00DF32FA" w:rsidRPr="00811E1D">
        <w:rPr>
          <w:sz w:val="22"/>
          <w:szCs w:val="22"/>
        </w:rPr>
        <w:t>higher education</w:t>
      </w:r>
      <w:r w:rsidRPr="00811E1D">
        <w:rPr>
          <w:sz w:val="22"/>
          <w:szCs w:val="22"/>
        </w:rPr>
        <w:t xml:space="preserve"> settings</w:t>
      </w:r>
      <w:r w:rsidRPr="00811E1D">
        <w:rPr>
          <w:rFonts w:cs="Arial"/>
          <w:sz w:val="22"/>
          <w:szCs w:val="22"/>
          <w:rtl/>
        </w:rPr>
        <w:t>.</w:t>
      </w:r>
    </w:p>
    <w:p w14:paraId="297965E6" w14:textId="77777777" w:rsidR="00DE64A5" w:rsidRPr="00811E1D" w:rsidRDefault="00DE64A5" w:rsidP="00DE64A5">
      <w:pPr>
        <w:bidi w:val="0"/>
        <w:spacing w:after="0"/>
        <w:rPr>
          <w:rFonts w:cs="Arial"/>
          <w:sz w:val="22"/>
          <w:szCs w:val="22"/>
        </w:rPr>
      </w:pPr>
    </w:p>
    <w:p w14:paraId="73763A9C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rtl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>3) Keywords - The keywords must have at least 4 items</w:t>
      </w:r>
    </w:p>
    <w:p w14:paraId="6E5F3029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rtl/>
          <w:lang w:bidi="he-IL"/>
        </w:rPr>
      </w:pPr>
    </w:p>
    <w:p w14:paraId="05FFAD2E" w14:textId="3CA36FD7" w:rsidR="00DE64A5" w:rsidRPr="00811E1D" w:rsidRDefault="00DE64A5" w:rsidP="00DE64A5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>Predictive Modeling of Academic Success</w:t>
      </w:r>
    </w:p>
    <w:p w14:paraId="36A6043D" w14:textId="7AD5C216" w:rsidR="00DE64A5" w:rsidRPr="00811E1D" w:rsidRDefault="00DE64A5" w:rsidP="00DE64A5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>Syllabus-Aware AI Teaching Assistant</w:t>
      </w:r>
    </w:p>
    <w:p w14:paraId="57B7368F" w14:textId="1DDE6736" w:rsidR="00DE64A5" w:rsidRPr="00811E1D" w:rsidRDefault="00DE64A5" w:rsidP="00DE64A5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>AI-Assisted Learning Analytics</w:t>
      </w:r>
    </w:p>
    <w:p w14:paraId="2AB4F6A6" w14:textId="4F397426" w:rsidR="00DE64A5" w:rsidRPr="00811E1D" w:rsidRDefault="00DE64A5" w:rsidP="00DE64A5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>Early Identification of At-Risk Students</w:t>
      </w:r>
    </w:p>
    <w:p w14:paraId="033D650C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19B372BA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>4) References (Optional)</w:t>
      </w:r>
    </w:p>
    <w:p w14:paraId="2F7A041A" w14:textId="77777777" w:rsidR="00174184" w:rsidRPr="00811E1D" w:rsidRDefault="00174184" w:rsidP="00174184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16ABAFC2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r w:rsidRPr="0090728D">
        <w:rPr>
          <w:sz w:val="22"/>
          <w:szCs w:val="22"/>
        </w:rPr>
        <w:t xml:space="preserve">Chiu, T. K. F., &amp; Chai, C. S. (2023). Sustainable self-directed learning facilitation: A systematic review of learning analytics in higher education. </w:t>
      </w:r>
      <w:r w:rsidRPr="0090728D">
        <w:rPr>
          <w:i/>
          <w:iCs/>
          <w:sz w:val="22"/>
          <w:szCs w:val="22"/>
        </w:rPr>
        <w:t>Behavioral Sciences, 13</w:t>
      </w:r>
      <w:r w:rsidRPr="0090728D">
        <w:rPr>
          <w:sz w:val="22"/>
          <w:szCs w:val="22"/>
        </w:rPr>
        <w:t xml:space="preserve">(2), 165. </w:t>
      </w:r>
      <w:hyperlink r:id="rId5" w:tgtFrame="_new" w:history="1">
        <w:r w:rsidRPr="0090728D">
          <w:rPr>
            <w:rStyle w:val="Hyperlink"/>
            <w:sz w:val="22"/>
            <w:szCs w:val="22"/>
          </w:rPr>
          <w:t>https://doi.org/10.3390/bs13020165</w:t>
        </w:r>
      </w:hyperlink>
    </w:p>
    <w:p w14:paraId="538271AE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r w:rsidRPr="0090728D">
        <w:rPr>
          <w:sz w:val="22"/>
          <w:szCs w:val="22"/>
        </w:rPr>
        <w:t xml:space="preserve">Crompton, H., &amp; Burke, D. (2023). Artificial intelligence in higher education: The state of the field (2016–2022). </w:t>
      </w:r>
      <w:r w:rsidRPr="0090728D">
        <w:rPr>
          <w:i/>
          <w:iCs/>
          <w:sz w:val="22"/>
          <w:szCs w:val="22"/>
        </w:rPr>
        <w:t>International Journal of Educational Technology in Higher Education, 20</w:t>
      </w:r>
      <w:r w:rsidRPr="0090728D">
        <w:rPr>
          <w:sz w:val="22"/>
          <w:szCs w:val="22"/>
        </w:rPr>
        <w:t xml:space="preserve">(1), 22. </w:t>
      </w:r>
      <w:hyperlink r:id="rId6" w:tgtFrame="_new" w:history="1">
        <w:r w:rsidRPr="0090728D">
          <w:rPr>
            <w:rStyle w:val="Hyperlink"/>
            <w:sz w:val="22"/>
            <w:szCs w:val="22"/>
          </w:rPr>
          <w:t>https://doi.org/10.1186/s41239-023-00392-8</w:t>
        </w:r>
      </w:hyperlink>
    </w:p>
    <w:p w14:paraId="4E4FEFA2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r w:rsidRPr="0090728D">
        <w:rPr>
          <w:sz w:val="22"/>
          <w:szCs w:val="22"/>
        </w:rPr>
        <w:t xml:space="preserve">Davis, F. D. (1989). Perceived usefulness, perceived ease of use, and user acceptance of information technology. </w:t>
      </w:r>
      <w:r w:rsidRPr="0090728D">
        <w:rPr>
          <w:i/>
          <w:iCs/>
          <w:sz w:val="22"/>
          <w:szCs w:val="22"/>
        </w:rPr>
        <w:t>MIS Quarterly, 13</w:t>
      </w:r>
      <w:r w:rsidRPr="0090728D">
        <w:rPr>
          <w:sz w:val="22"/>
          <w:szCs w:val="22"/>
        </w:rPr>
        <w:t xml:space="preserve">(3), 319–340. </w:t>
      </w:r>
      <w:hyperlink r:id="rId7" w:tgtFrame="_new" w:history="1">
        <w:r w:rsidRPr="0090728D">
          <w:rPr>
            <w:rStyle w:val="Hyperlink"/>
            <w:sz w:val="22"/>
            <w:szCs w:val="22"/>
          </w:rPr>
          <w:t>https://doi.org/10.2307/249008</w:t>
        </w:r>
      </w:hyperlink>
    </w:p>
    <w:p w14:paraId="6BA9085E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proofErr w:type="spellStart"/>
      <w:r w:rsidRPr="0090728D">
        <w:rPr>
          <w:sz w:val="22"/>
          <w:szCs w:val="22"/>
        </w:rPr>
        <w:t>Ifenthaler</w:t>
      </w:r>
      <w:proofErr w:type="spellEnd"/>
      <w:r w:rsidRPr="0090728D">
        <w:rPr>
          <w:sz w:val="22"/>
          <w:szCs w:val="22"/>
        </w:rPr>
        <w:t xml:space="preserve">, D., &amp; Yau, J. Y.-K. (2020). </w:t>
      </w:r>
      <w:proofErr w:type="spellStart"/>
      <w:r w:rsidRPr="0090728D">
        <w:rPr>
          <w:sz w:val="22"/>
          <w:szCs w:val="22"/>
        </w:rPr>
        <w:t>Utilising</w:t>
      </w:r>
      <w:proofErr w:type="spellEnd"/>
      <w:r w:rsidRPr="0090728D">
        <w:rPr>
          <w:sz w:val="22"/>
          <w:szCs w:val="22"/>
        </w:rPr>
        <w:t xml:space="preserve"> digital technologies to support education in higher education. </w:t>
      </w:r>
      <w:r w:rsidRPr="0090728D">
        <w:rPr>
          <w:i/>
          <w:iCs/>
          <w:sz w:val="22"/>
          <w:szCs w:val="22"/>
        </w:rPr>
        <w:t>Journal of Educational Technology &amp; Society, 23</w:t>
      </w:r>
      <w:r w:rsidRPr="0090728D">
        <w:rPr>
          <w:sz w:val="22"/>
          <w:szCs w:val="22"/>
        </w:rPr>
        <w:t xml:space="preserve">(1), 245–257. </w:t>
      </w:r>
      <w:hyperlink r:id="rId8" w:tgtFrame="_new" w:history="1">
        <w:r w:rsidRPr="0090728D">
          <w:rPr>
            <w:rStyle w:val="Hyperlink"/>
            <w:sz w:val="22"/>
            <w:szCs w:val="22"/>
          </w:rPr>
          <w:t>https://www.jstor.org/stable/26912365</w:t>
        </w:r>
      </w:hyperlink>
    </w:p>
    <w:p w14:paraId="4EB2FB47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proofErr w:type="spellStart"/>
      <w:r w:rsidRPr="0090728D">
        <w:rPr>
          <w:sz w:val="22"/>
          <w:szCs w:val="22"/>
        </w:rPr>
        <w:t>Kasneci</w:t>
      </w:r>
      <w:proofErr w:type="spellEnd"/>
      <w:r w:rsidRPr="0090728D">
        <w:rPr>
          <w:sz w:val="22"/>
          <w:szCs w:val="22"/>
        </w:rPr>
        <w:t xml:space="preserve">, E., </w:t>
      </w:r>
      <w:proofErr w:type="spellStart"/>
      <w:r w:rsidRPr="0090728D">
        <w:rPr>
          <w:sz w:val="22"/>
          <w:szCs w:val="22"/>
        </w:rPr>
        <w:t>Seßler</w:t>
      </w:r>
      <w:proofErr w:type="spellEnd"/>
      <w:r w:rsidRPr="0090728D">
        <w:rPr>
          <w:sz w:val="22"/>
          <w:szCs w:val="22"/>
        </w:rPr>
        <w:t xml:space="preserve">, K., </w:t>
      </w:r>
      <w:proofErr w:type="spellStart"/>
      <w:r w:rsidRPr="0090728D">
        <w:rPr>
          <w:sz w:val="22"/>
          <w:szCs w:val="22"/>
        </w:rPr>
        <w:t>Küchemann</w:t>
      </w:r>
      <w:proofErr w:type="spellEnd"/>
      <w:r w:rsidRPr="0090728D">
        <w:rPr>
          <w:sz w:val="22"/>
          <w:szCs w:val="22"/>
        </w:rPr>
        <w:t xml:space="preserve">, S., Bannert, M., Dementieva, D., Fischer, F., Gasser, U., Groh, G., Günnemann, S., </w:t>
      </w:r>
      <w:proofErr w:type="spellStart"/>
      <w:r w:rsidRPr="0090728D">
        <w:rPr>
          <w:sz w:val="22"/>
          <w:szCs w:val="22"/>
        </w:rPr>
        <w:t>Hüllermeier</w:t>
      </w:r>
      <w:proofErr w:type="spellEnd"/>
      <w:r w:rsidRPr="0090728D">
        <w:rPr>
          <w:sz w:val="22"/>
          <w:szCs w:val="22"/>
        </w:rPr>
        <w:t xml:space="preserve">, E., </w:t>
      </w:r>
      <w:proofErr w:type="spellStart"/>
      <w:r w:rsidRPr="0090728D">
        <w:rPr>
          <w:sz w:val="22"/>
          <w:szCs w:val="22"/>
        </w:rPr>
        <w:t>Krusche</w:t>
      </w:r>
      <w:proofErr w:type="spellEnd"/>
      <w:r w:rsidRPr="0090728D">
        <w:rPr>
          <w:sz w:val="22"/>
          <w:szCs w:val="22"/>
        </w:rPr>
        <w:t xml:space="preserve">, S., </w:t>
      </w:r>
      <w:proofErr w:type="spellStart"/>
      <w:r w:rsidRPr="0090728D">
        <w:rPr>
          <w:sz w:val="22"/>
          <w:szCs w:val="22"/>
        </w:rPr>
        <w:t>Kutyniok</w:t>
      </w:r>
      <w:proofErr w:type="spellEnd"/>
      <w:r w:rsidRPr="0090728D">
        <w:rPr>
          <w:sz w:val="22"/>
          <w:szCs w:val="22"/>
        </w:rPr>
        <w:t xml:space="preserve">, G., Michaeli, T., </w:t>
      </w:r>
      <w:proofErr w:type="spellStart"/>
      <w:r w:rsidRPr="0090728D">
        <w:rPr>
          <w:sz w:val="22"/>
          <w:szCs w:val="22"/>
        </w:rPr>
        <w:t>Nerdel</w:t>
      </w:r>
      <w:proofErr w:type="spellEnd"/>
      <w:r w:rsidRPr="0090728D">
        <w:rPr>
          <w:sz w:val="22"/>
          <w:szCs w:val="22"/>
        </w:rPr>
        <w:t xml:space="preserve">, C., Pfeffer, J., </w:t>
      </w:r>
      <w:proofErr w:type="spellStart"/>
      <w:r w:rsidRPr="0090728D">
        <w:rPr>
          <w:sz w:val="22"/>
          <w:szCs w:val="22"/>
        </w:rPr>
        <w:t>Poquet</w:t>
      </w:r>
      <w:proofErr w:type="spellEnd"/>
      <w:r w:rsidRPr="0090728D">
        <w:rPr>
          <w:sz w:val="22"/>
          <w:szCs w:val="22"/>
        </w:rPr>
        <w:t xml:space="preserve">, O., Sailer, M., Schmidt, A., Seidel, T., … </w:t>
      </w:r>
      <w:proofErr w:type="spellStart"/>
      <w:r w:rsidRPr="0090728D">
        <w:rPr>
          <w:sz w:val="22"/>
          <w:szCs w:val="22"/>
        </w:rPr>
        <w:t>Kasneci</w:t>
      </w:r>
      <w:proofErr w:type="spellEnd"/>
      <w:r w:rsidRPr="0090728D">
        <w:rPr>
          <w:sz w:val="22"/>
          <w:szCs w:val="22"/>
        </w:rPr>
        <w:t xml:space="preserve">, G. (2023). ChatGPT for good? On opportunities and challenges of large language models for education. </w:t>
      </w:r>
      <w:r w:rsidRPr="0090728D">
        <w:rPr>
          <w:i/>
          <w:iCs/>
          <w:sz w:val="22"/>
          <w:szCs w:val="22"/>
        </w:rPr>
        <w:t>Learning and Individual Differences, 103</w:t>
      </w:r>
      <w:r w:rsidRPr="0090728D">
        <w:rPr>
          <w:sz w:val="22"/>
          <w:szCs w:val="22"/>
        </w:rPr>
        <w:t xml:space="preserve">, 102274. </w:t>
      </w:r>
      <w:hyperlink r:id="rId9" w:tgtFrame="_new" w:history="1">
        <w:r w:rsidRPr="0090728D">
          <w:rPr>
            <w:rStyle w:val="Hyperlink"/>
            <w:sz w:val="22"/>
            <w:szCs w:val="22"/>
          </w:rPr>
          <w:t>https://doi.org/10.1016/j.lindif.2023.102274</w:t>
        </w:r>
      </w:hyperlink>
    </w:p>
    <w:p w14:paraId="435EB9AB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r w:rsidRPr="0090728D">
        <w:rPr>
          <w:sz w:val="22"/>
          <w:szCs w:val="22"/>
        </w:rPr>
        <w:t xml:space="preserve">Ouyang, F., Zheng, L., &amp; Jiao, P. (2022). Artificial intelligence in online higher education: A systematic review of empirical research from 2011 to 2020. </w:t>
      </w:r>
      <w:r w:rsidRPr="0090728D">
        <w:rPr>
          <w:i/>
          <w:iCs/>
          <w:sz w:val="22"/>
          <w:szCs w:val="22"/>
        </w:rPr>
        <w:t>Education and Information Technologies, 27</w:t>
      </w:r>
      <w:r w:rsidRPr="0090728D">
        <w:rPr>
          <w:sz w:val="22"/>
          <w:szCs w:val="22"/>
        </w:rPr>
        <w:t xml:space="preserve">(6), 7911–7935. </w:t>
      </w:r>
      <w:hyperlink r:id="rId10" w:tgtFrame="_new" w:history="1">
        <w:r w:rsidRPr="0090728D">
          <w:rPr>
            <w:rStyle w:val="Hyperlink"/>
            <w:sz w:val="22"/>
            <w:szCs w:val="22"/>
          </w:rPr>
          <w:t>https://doi.org/10.1007/s10639-022-10925-9</w:t>
        </w:r>
      </w:hyperlink>
    </w:p>
    <w:p w14:paraId="2405BE06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r w:rsidRPr="0090728D">
        <w:rPr>
          <w:sz w:val="22"/>
          <w:szCs w:val="22"/>
        </w:rPr>
        <w:t xml:space="preserve">Venkatesh, V., Morris, M. G., Davis, G. B., &amp; Davis, F. D. (2003). User acceptance of information technology: Toward a unified view. </w:t>
      </w:r>
      <w:r w:rsidRPr="0090728D">
        <w:rPr>
          <w:i/>
          <w:iCs/>
          <w:sz w:val="22"/>
          <w:szCs w:val="22"/>
        </w:rPr>
        <w:t>MIS Quarterly, 27</w:t>
      </w:r>
      <w:r w:rsidRPr="0090728D">
        <w:rPr>
          <w:sz w:val="22"/>
          <w:szCs w:val="22"/>
        </w:rPr>
        <w:t xml:space="preserve">(3), 425–478. </w:t>
      </w:r>
      <w:hyperlink r:id="rId11" w:tgtFrame="_new" w:history="1">
        <w:r w:rsidRPr="0090728D">
          <w:rPr>
            <w:rStyle w:val="Hyperlink"/>
            <w:sz w:val="22"/>
            <w:szCs w:val="22"/>
          </w:rPr>
          <w:t>https://doi.org/10.2307/30036540</w:t>
        </w:r>
      </w:hyperlink>
    </w:p>
    <w:p w14:paraId="0B57AB0C" w14:textId="77777777" w:rsidR="0090728D" w:rsidRDefault="0090728D" w:rsidP="0090728D">
      <w:pPr>
        <w:pStyle w:val="ab"/>
        <w:numPr>
          <w:ilvl w:val="0"/>
          <w:numId w:val="5"/>
        </w:numPr>
        <w:bidi w:val="0"/>
        <w:spacing w:after="0"/>
        <w:rPr>
          <w:sz w:val="22"/>
          <w:szCs w:val="22"/>
        </w:rPr>
      </w:pPr>
      <w:r w:rsidRPr="0090728D">
        <w:rPr>
          <w:sz w:val="22"/>
          <w:szCs w:val="22"/>
        </w:rPr>
        <w:t xml:space="preserve">Zawacki-Richter, O., Marín, V. I., Bond, M., &amp; Gouverneur, F. (2019). Systematic review of research on artificial intelligence applications in higher education—Where are the educators? </w:t>
      </w:r>
      <w:r w:rsidRPr="0090728D">
        <w:rPr>
          <w:i/>
          <w:iCs/>
          <w:sz w:val="22"/>
          <w:szCs w:val="22"/>
        </w:rPr>
        <w:t>International Journal of Educational Technology in Higher Education, 16</w:t>
      </w:r>
      <w:r w:rsidRPr="0090728D">
        <w:rPr>
          <w:sz w:val="22"/>
          <w:szCs w:val="22"/>
        </w:rPr>
        <w:t xml:space="preserve">(1), 39. </w:t>
      </w:r>
      <w:hyperlink r:id="rId12" w:tgtFrame="_new" w:history="1">
        <w:r w:rsidRPr="0090728D">
          <w:rPr>
            <w:rStyle w:val="Hyperlink"/>
            <w:sz w:val="22"/>
            <w:szCs w:val="22"/>
          </w:rPr>
          <w:t>https://doi.org/10.1186/s41239-019-0171-0</w:t>
        </w:r>
      </w:hyperlink>
    </w:p>
    <w:p w14:paraId="166646A9" w14:textId="77777777" w:rsidR="0090728D" w:rsidRPr="0090728D" w:rsidRDefault="0090728D" w:rsidP="0090728D">
      <w:pPr>
        <w:bidi w:val="0"/>
        <w:spacing w:after="0"/>
        <w:ind w:left="360"/>
        <w:rPr>
          <w:sz w:val="22"/>
          <w:szCs w:val="22"/>
        </w:rPr>
      </w:pPr>
    </w:p>
    <w:p w14:paraId="67342A1F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14450D62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lastRenderedPageBreak/>
        <w:t>5) What Are the Objectives of Your Research? - not more than 250 characters</w:t>
      </w:r>
    </w:p>
    <w:p w14:paraId="38481D98" w14:textId="77777777" w:rsidR="00174184" w:rsidRPr="00811E1D" w:rsidRDefault="00174184" w:rsidP="00174184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5352C315" w14:textId="0F9EBFDC" w:rsidR="00174184" w:rsidRPr="00811E1D" w:rsidRDefault="00174184" w:rsidP="001E43A4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 xml:space="preserve">To </w:t>
      </w:r>
      <w:r w:rsidR="001E43A4" w:rsidRPr="00811E1D">
        <w:rPr>
          <w:sz w:val="22"/>
          <w:szCs w:val="22"/>
        </w:rPr>
        <w:t xml:space="preserve">examine </w:t>
      </w:r>
      <w:r w:rsidRPr="00811E1D">
        <w:rPr>
          <w:sz w:val="22"/>
          <w:szCs w:val="22"/>
        </w:rPr>
        <w:t>whether integrating AI interaction data with traditional academic indicators can predict final exam success.</w:t>
      </w:r>
    </w:p>
    <w:p w14:paraId="2B8EFFB3" w14:textId="7A773C31" w:rsidR="00174184" w:rsidRPr="00811E1D" w:rsidRDefault="001E43A4" w:rsidP="001E43A4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>To analyze how early- and mid-semester learning behaviors relate to ultimate academic success</w:t>
      </w:r>
      <w:r w:rsidR="00174184" w:rsidRPr="00811E1D">
        <w:rPr>
          <w:sz w:val="22"/>
          <w:szCs w:val="22"/>
        </w:rPr>
        <w:t>.</w:t>
      </w:r>
    </w:p>
    <w:p w14:paraId="1183A9DE" w14:textId="27F4514B" w:rsidR="00174184" w:rsidRPr="00811E1D" w:rsidRDefault="00174184" w:rsidP="001E43A4">
      <w:pPr>
        <w:pStyle w:val="ab"/>
        <w:numPr>
          <w:ilvl w:val="0"/>
          <w:numId w:val="2"/>
        </w:numPr>
        <w:bidi w:val="0"/>
        <w:spacing w:after="0"/>
        <w:rPr>
          <w:sz w:val="22"/>
          <w:szCs w:val="22"/>
        </w:rPr>
      </w:pPr>
      <w:r w:rsidRPr="00811E1D">
        <w:rPr>
          <w:sz w:val="22"/>
          <w:szCs w:val="22"/>
        </w:rPr>
        <w:t>To determine whether predictive indicators can enable timely pedagogical intervention during the semester (rather than after it).</w:t>
      </w:r>
      <w:r w:rsidRPr="00811E1D">
        <w:rPr>
          <w:sz w:val="22"/>
          <w:szCs w:val="22"/>
        </w:rPr>
        <w:br/>
      </w:r>
    </w:p>
    <w:p w14:paraId="6E89C295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381F2AD7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>6) What Methodologies Were Used in Your Research? - not more than 250 characters</w:t>
      </w:r>
    </w:p>
    <w:p w14:paraId="5701BBF7" w14:textId="77777777" w:rsidR="00174184" w:rsidRPr="00811E1D" w:rsidRDefault="00174184" w:rsidP="00174184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02F106C1" w14:textId="2D81128F" w:rsidR="00174184" w:rsidRPr="00811E1D" w:rsidRDefault="001E43A4" w:rsidP="00174184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  <w:r w:rsidRPr="00811E1D">
        <w:rPr>
          <w:sz w:val="22"/>
          <w:szCs w:val="22"/>
        </w:rPr>
        <w:t>Predictive learning analytics using supervised classification (e.g., logistic regression/trees), temporal feature sets (early vs mid-semester), and evaluation with accuracy, precision/recall, F1, and ROC-AUC to assess added value of AI interaction traces.</w:t>
      </w:r>
    </w:p>
    <w:p w14:paraId="70E74EC4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</w:pPr>
    </w:p>
    <w:p w14:paraId="1EBB4376" w14:textId="77777777" w:rsidR="00DE64A5" w:rsidRPr="00811E1D" w:rsidRDefault="00DE64A5" w:rsidP="00DE64A5">
      <w:pPr>
        <w:bidi w:val="0"/>
        <w:spacing w:after="0"/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rtl/>
          <w:lang w:bidi="he-IL"/>
        </w:rPr>
      </w:pPr>
      <w:r w:rsidRPr="00811E1D">
        <w:rPr>
          <w:rFonts w:ascii="Arial" w:hAnsi="Arial" w:cs="Arial"/>
          <w:b/>
          <w:bCs/>
          <w:color w:val="EE0000"/>
          <w:sz w:val="18"/>
          <w:szCs w:val="18"/>
          <w:u w:val="single"/>
          <w:shd w:val="clear" w:color="auto" w:fill="FFFFFF"/>
          <w:lang w:bidi="he-IL"/>
        </w:rPr>
        <w:t>7) What Are the Main Contributions of Your Research? - not more than 250 characters</w:t>
      </w:r>
    </w:p>
    <w:p w14:paraId="07F23F62" w14:textId="77777777" w:rsidR="00DE64A5" w:rsidRPr="00811E1D" w:rsidRDefault="00DE64A5" w:rsidP="00DE64A5">
      <w:pPr>
        <w:bidi w:val="0"/>
        <w:spacing w:after="0"/>
        <w:rPr>
          <w:sz w:val="22"/>
          <w:szCs w:val="22"/>
          <w:lang w:bidi="he-IL"/>
        </w:rPr>
      </w:pPr>
    </w:p>
    <w:p w14:paraId="58D37FF0" w14:textId="42100554" w:rsidR="00174184" w:rsidRPr="00811E1D" w:rsidRDefault="001E43A4" w:rsidP="00174184">
      <w:pPr>
        <w:bidi w:val="0"/>
        <w:spacing w:after="0"/>
        <w:rPr>
          <w:sz w:val="22"/>
          <w:szCs w:val="22"/>
          <w:lang w:bidi="he-IL"/>
        </w:rPr>
      </w:pPr>
      <w:r w:rsidRPr="00811E1D">
        <w:rPr>
          <w:sz w:val="22"/>
          <w:szCs w:val="22"/>
        </w:rPr>
        <w:t>This study proposes a hybrid predictive framework that integrates formative academic indicators with AI interaction traces to enable early pass/fail prediction. It provides empirical evidence that AI engagement data adds meaningful predictive signal beyond grades alone and offers practical implications for timely, syllabus-aligned intervention in higher-education courses.</w:t>
      </w:r>
    </w:p>
    <w:sectPr w:rsidR="00174184" w:rsidRPr="00811E1D" w:rsidSect="0078411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7F24"/>
    <w:multiLevelType w:val="multilevel"/>
    <w:tmpl w:val="AC8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2324"/>
    <w:multiLevelType w:val="hybridMultilevel"/>
    <w:tmpl w:val="24AAE486"/>
    <w:lvl w:ilvl="0" w:tplc="21F298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D2CD7"/>
    <w:multiLevelType w:val="multilevel"/>
    <w:tmpl w:val="FF4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B6B7C"/>
    <w:multiLevelType w:val="hybridMultilevel"/>
    <w:tmpl w:val="817846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96345"/>
    <w:multiLevelType w:val="hybridMultilevel"/>
    <w:tmpl w:val="B96614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235555">
    <w:abstractNumId w:val="1"/>
  </w:num>
  <w:num w:numId="2" w16cid:durableId="255478329">
    <w:abstractNumId w:val="3"/>
  </w:num>
  <w:num w:numId="3" w16cid:durableId="1419524742">
    <w:abstractNumId w:val="2"/>
  </w:num>
  <w:num w:numId="4" w16cid:durableId="579097614">
    <w:abstractNumId w:val="0"/>
  </w:num>
  <w:num w:numId="5" w16cid:durableId="727533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30"/>
    <w:rsid w:val="00075962"/>
    <w:rsid w:val="00081351"/>
    <w:rsid w:val="000946CF"/>
    <w:rsid w:val="000B12BD"/>
    <w:rsid w:val="000E0E9F"/>
    <w:rsid w:val="00174184"/>
    <w:rsid w:val="001E43A4"/>
    <w:rsid w:val="00223269"/>
    <w:rsid w:val="002D0FA3"/>
    <w:rsid w:val="00426701"/>
    <w:rsid w:val="00455197"/>
    <w:rsid w:val="004C7AAC"/>
    <w:rsid w:val="00617DD8"/>
    <w:rsid w:val="00734661"/>
    <w:rsid w:val="0078411B"/>
    <w:rsid w:val="00811E1D"/>
    <w:rsid w:val="00892130"/>
    <w:rsid w:val="008A35FA"/>
    <w:rsid w:val="008E3366"/>
    <w:rsid w:val="0090728D"/>
    <w:rsid w:val="009C54F5"/>
    <w:rsid w:val="00A30415"/>
    <w:rsid w:val="00A85B24"/>
    <w:rsid w:val="00A94D41"/>
    <w:rsid w:val="00AD5A3B"/>
    <w:rsid w:val="00B24B8D"/>
    <w:rsid w:val="00BE0568"/>
    <w:rsid w:val="00C71C17"/>
    <w:rsid w:val="00C85F10"/>
    <w:rsid w:val="00CD4DD4"/>
    <w:rsid w:val="00DE64A5"/>
    <w:rsid w:val="00DF32FA"/>
    <w:rsid w:val="00E024C3"/>
    <w:rsid w:val="00E0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644D"/>
  <w15:chartTrackingRefBased/>
  <w15:docId w15:val="{E07AF3CA-F52C-8846-81B6-A778A0F5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0"/>
    <w:link w:val="10"/>
    <w:autoRedefine/>
    <w:uiPriority w:val="9"/>
    <w:qFormat/>
    <w:rsid w:val="00617DD8"/>
    <w:pPr>
      <w:keepNext/>
      <w:keepLines/>
      <w:bidi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A35FA"/>
    <w:pPr>
      <w:keepNext/>
      <w:keepLines/>
      <w:bidi w:val="0"/>
      <w:spacing w:before="360" w:after="120" w:line="276" w:lineRule="auto"/>
      <w:outlineLvl w:val="1"/>
    </w:pPr>
    <w:rPr>
      <w:rFonts w:ascii="Arial" w:eastAsia="Arial" w:hAnsi="Arial" w:cs="Times New Roman"/>
      <w:bCs/>
      <w:color w:val="000000" w:themeColor="text1"/>
      <w:kern w:val="0"/>
      <w:sz w:val="32"/>
      <w:lang w:val="e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כותרת 2 תו"/>
    <w:basedOn w:val="a1"/>
    <w:link w:val="2"/>
    <w:uiPriority w:val="9"/>
    <w:rsid w:val="008A35FA"/>
    <w:rPr>
      <w:rFonts w:ascii="Arial" w:eastAsia="Arial" w:hAnsi="Arial" w:cs="Times New Roman"/>
      <w:bCs/>
      <w:color w:val="000000" w:themeColor="text1"/>
      <w:kern w:val="0"/>
      <w:sz w:val="32"/>
      <w:lang w:val="en"/>
      <w14:ligatures w14:val="none"/>
    </w:rPr>
  </w:style>
  <w:style w:type="character" w:customStyle="1" w:styleId="10">
    <w:name w:val="כותרת 1 תו"/>
    <w:basedOn w:val="a1"/>
    <w:link w:val="1"/>
    <w:uiPriority w:val="9"/>
    <w:rsid w:val="00617DD8"/>
    <w:rPr>
      <w:rFonts w:asciiTheme="majorHAnsi" w:eastAsiaTheme="majorEastAsia" w:hAnsiTheme="majorHAnsi" w:cstheme="majorBidi"/>
      <w:color w:val="0F4761" w:themeColor="accent1" w:themeShade="BF"/>
      <w:sz w:val="40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617DD8"/>
    <w:pPr>
      <w:spacing w:after="120"/>
    </w:pPr>
  </w:style>
  <w:style w:type="character" w:customStyle="1" w:styleId="a4">
    <w:name w:val="גוף טקסט תו"/>
    <w:basedOn w:val="a1"/>
    <w:link w:val="a0"/>
    <w:uiPriority w:val="99"/>
    <w:semiHidden/>
    <w:rsid w:val="00617DD8"/>
  </w:style>
  <w:style w:type="table" w:styleId="21">
    <w:name w:val="Plain Table 2"/>
    <w:basedOn w:val="a2"/>
    <w:rsid w:val="00455197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1">
    <w:name w:val="סגנון1"/>
    <w:basedOn w:val="a2"/>
    <w:uiPriority w:val="99"/>
    <w:rsid w:val="00455197"/>
    <w:pPr>
      <w:spacing w:after="0" w:line="240" w:lineRule="auto"/>
    </w:pPr>
    <w:rPr>
      <w:rFonts w:eastAsiaTheme="minorEastAsia"/>
      <w:kern w:val="0"/>
      <w14:ligatures w14:val="none"/>
    </w:rPr>
    <w:tblPr/>
  </w:style>
  <w:style w:type="character" w:customStyle="1" w:styleId="30">
    <w:name w:val="כותרת 3 תו"/>
    <w:basedOn w:val="a1"/>
    <w:link w:val="3"/>
    <w:uiPriority w:val="9"/>
    <w:semiHidden/>
    <w:rsid w:val="0089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892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89213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892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89213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892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89213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9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כותרת טקסט תו"/>
    <w:basedOn w:val="a1"/>
    <w:link w:val="a5"/>
    <w:uiPriority w:val="10"/>
    <w:rsid w:val="0089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9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כותרת משנה תו"/>
    <w:basedOn w:val="a1"/>
    <w:link w:val="a7"/>
    <w:uiPriority w:val="11"/>
    <w:rsid w:val="0089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9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ציטוט תו"/>
    <w:basedOn w:val="a1"/>
    <w:link w:val="a9"/>
    <w:uiPriority w:val="29"/>
    <w:rsid w:val="0089213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92130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89213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9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ציטוט חזק תו"/>
    <w:basedOn w:val="a1"/>
    <w:link w:val="ad"/>
    <w:uiPriority w:val="30"/>
    <w:rsid w:val="00892130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892130"/>
    <w:rPr>
      <w:b/>
      <w:bCs/>
      <w:smallCaps/>
      <w:color w:val="0F4761" w:themeColor="accent1" w:themeShade="BF"/>
      <w:spacing w:val="5"/>
    </w:rPr>
  </w:style>
  <w:style w:type="paragraph" w:styleId="af0">
    <w:name w:val="Revision"/>
    <w:hidden/>
    <w:uiPriority w:val="99"/>
    <w:semiHidden/>
    <w:rsid w:val="00BE0568"/>
    <w:pPr>
      <w:spacing w:after="0" w:line="240" w:lineRule="auto"/>
    </w:pPr>
  </w:style>
  <w:style w:type="character" w:styleId="af1">
    <w:name w:val="Placeholder Text"/>
    <w:basedOn w:val="a1"/>
    <w:uiPriority w:val="99"/>
    <w:semiHidden/>
    <w:rsid w:val="00DF32FA"/>
    <w:rPr>
      <w:color w:val="666666"/>
    </w:rPr>
  </w:style>
  <w:style w:type="character" w:styleId="Hyperlink">
    <w:name w:val="Hyperlink"/>
    <w:basedOn w:val="a1"/>
    <w:uiPriority w:val="99"/>
    <w:unhideWhenUsed/>
    <w:rsid w:val="0090728D"/>
    <w:rPr>
      <w:color w:val="467886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907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stor.org/stable/2691236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2307/249008" TargetMode="External"/><Relationship Id="rId12" Type="http://schemas.openxmlformats.org/officeDocument/2006/relationships/hyperlink" Target="https://doi.org/10.1186/s41239-019-0171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86/s41239-023-00392-8" TargetMode="External"/><Relationship Id="rId11" Type="http://schemas.openxmlformats.org/officeDocument/2006/relationships/hyperlink" Target="https://doi.org/10.2307/30036540" TargetMode="External"/><Relationship Id="rId5" Type="http://schemas.openxmlformats.org/officeDocument/2006/relationships/hyperlink" Target="https://doi.org/10.3390/bs13020165" TargetMode="External"/><Relationship Id="rId10" Type="http://schemas.openxmlformats.org/officeDocument/2006/relationships/hyperlink" Target="https://doi.org/10.1007/s10639-022-10925-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lindif.2023.10227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379626-013B-8649-B7B9-AEB3C08A8CE6}">
  <we:reference id="wa200001361" version="2.129.3.0" store="he-IL" storeType="OMEX"/>
  <we:alternateReferences>
    <we:reference id="wa200001361" version="2.129.3.0" store="WA200001361" storeType="OMEX"/>
  </we:alternateReferences>
  <we:properties>
    <we:property name="paperpal-document-id" value="&quot;7941d79e-f837-4a5f-9612-528db58c6ca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1262</Words>
  <Characters>6310</Characters>
  <Application>Microsoft Office Word</Application>
  <DocSecurity>0</DocSecurity>
  <Lines>52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Perets</dc:creator>
  <cp:keywords/>
  <dc:description/>
  <cp:lastModifiedBy>Or Perets</cp:lastModifiedBy>
  <cp:revision>6</cp:revision>
  <dcterms:created xsi:type="dcterms:W3CDTF">2026-02-25T07:54:00Z</dcterms:created>
  <dcterms:modified xsi:type="dcterms:W3CDTF">2026-02-25T16:14:00Z</dcterms:modified>
</cp:coreProperties>
</file>