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png" ContentType="image/png"/>
  <Default Extension="xml" ContentType="application/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Mode="Internal" Target="/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16se w16cid w16 w16cex w16sdtdh wp14">
  <w:body>
    <w:p>
      <w:pPr>
        <w:autoSpaceDE w:val="true"/>
        <w:autoSpaceDN w:val="true"/>
        <w:rPr>
          <w:sz w:val="36"/>
          <w:szCs w:val="36"/>
        </w:rPr>
      </w:pPr>
      <w:r>
        <w:rPr>
          <w:sz w:val="36"/>
          <w:szCs w:val="36"/>
        </w:rPr>
        <w:t xml:space="preserve">塔demo 第一部分① 策划案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前言:以下只阐述第一部分所需内容。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概念先导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游戏分为两种模式，剧情模式与探索模式。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剧情模式:主要发生在安全区内的剧情演绎，采用舞台剧演出效果，画面为横版2D像素RPG。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（不涉及完整战斗系统，剧情模式中皆为有限选择。）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游戏参考: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背景:横版2D像素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967035"/>
            <wp:effectExtent l="0" t="0" r="0" b="0"/>
            <wp:docPr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地面:前中后有距离，约三格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783979"/>
            <wp:effectExtent l="0" t="0" r="0" b="0"/>
            <wp:docPr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背景交互:背景中部分店铺门可走进，进入就切新的场景。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3295011"/>
            <wp:effectExtent l="0" t="0" r="0" b="0"/>
            <wp:docPr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效果草图: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967035"/>
            <wp:effectExtent l="0" t="0" r="0" b="0"/>
            <wp:docPr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商店页面: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5598468"/>
            <wp:effectExtent l="0" t="0" r="0" b="0"/>
            <wp:docPr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或者（美术组决定）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364475"/>
            <wp:effectExtent l="0" t="0" r="0" b="0"/>
            <wp:docPr id="12" name="Drawing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1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（下面有详细场景绘制需求）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探索模式:主要进行战斗与探索环节，画面为俯视角2.5D二面像素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游戏参考: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967035"/>
            <wp:effectExtent l="0" t="0" r="0" b="0"/>
            <wp:docPr id="14" name="Drawing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3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2967860"/>
            <wp:effectExtent l="0" t="0" r="0" b="0"/>
            <wp:docPr id="16" name="Drawing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5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游戏页面: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3958589"/>
            <wp:effectExtent l="0" t="0" r="0" b="0"/>
            <wp:docPr id="18" name="Drawing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7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rPr>
          <w:rFonts w:ascii="Microsoft YaHei" w:hAnsi="Microsoft YaHei" w:eastAsia="Microsoft YaHei" w:cs="Microsoft YaHei"/>
          <w:sz w:val="24"/>
        </w:rPr>
      </w:pPr>
      <w:r>
        <w:drawing>
          <wp:inline distT="0" distB="0" distL="0" distR="0">
            <wp:extent cx="5278120" cy="3958589"/>
            <wp:effectExtent l="0" t="0" r="0" b="0"/>
            <wp:docPr id="20" name="Drawing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9"/>
                    <pic:cNvPicPr>
                      <a:picLocks noChangeAspect="true"/>
                    </pic:cNvPicPr>
                  </pic:nvPicPr>
                  <pic:blipFill xmlns:r="http://schemas.openxmlformats.org/officeDocument/2006/relationships"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游戏文本概览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场景1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背景：故事展开于“永恒之城”靠近主城的第一卫城中，doller昨日因晚归而于教会救济所中无处可落脚，被迫栖身于 暗巷 中。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晚归：寻找一份工作而赚取果腹之资。（任务栏）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time：清晨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他先是于乞丐1密谋闯入面包坊，计划于中途受阻----毫无礼数贵族的马车飞溅而过，乞丐1见到贵族立马灰溜溜逃跑了，而doller立于原地，脑袋上被溅了一滩水。马车上先下来两个仆人，后管家走下，见doller不走训斥，尽显盛气凌人的傲慢。doller的愤怒埋藏于心底，拳头攥紧，转身离去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管家接待了长椅上的昏昏欲睡的年轻人。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doller去救济所查看，未果，返身时因体力不支到于地面。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场景2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少女喂给了doller一点水，并给予他食物。少女带着食物和水分发给沿街的乞丐们，宣讲她的理念，宣传她即将举办的第一场演说。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（少女立于废弃的破损吧台上，理念宣传演说）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doller聆听了她简短的演说，受到鼓舞，但暗暗叹息她的理想过于美好遥远，转身离去，准备去雇佣所趁着还有力气完成一些委托赚取佣金。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（因为他无物可以抵押为”保证金“所以一开始接受的任务为固定派发）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初始任务（固定）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1.获得5张啮鼠兽的皮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2.采摘6朵灵露花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3.寻找费曼夫人的猫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【普通啮鼠兽出“啮鼠兽皮”*1的概率为80%】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doller重读着清单上的任务，看到第三行的时候面色僵了僵，一边小声咒骂“这什么RPG冒险任务”一边朝野外（卫城外）走去。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雇佣所旁的木牌：营业时间7：00---17:00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途中捡了一根“锋利的木棒”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啮鼠兽的皮易收集，而灵露花不易收集，在渐渐深入野外过程中，途径一汪湛蓝的湖泊，采摘完最后一朵灵露花后抹去额头上的汗水，想着猫咪可能喜欢吃鱼，于是决定去湖泊抓鱼。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【延伸，继续深入野外会得到提示：这里并不安全，是否前进。前进后会看到一只二级啮鼠兽喝着第七枝灵露花的露水，二级啮鼠兽会吐毒液弹球，速度较慢。】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折返后，他看见了望着湖泊的法尔科娜。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两人简短的对话，doller说这里并不安全，提议护送她回去。法尔科娜委婉的岔开了话题，看出了doller在进行委托，提议帮助他完成委托。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少女狡黠的笑了笑，挽起裤腿走入浅水中，招呼着doller快下来。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途中doller觉得少女有心事，于是和她闲聊起来。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法尔科娜说着她的理念和想法，doller耐心的听着，途中问起她是否还缺帮手，少女欣然提议，两人约定在第一场演说地点碰面。【主线提示：第二天下午】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“当然，这有佣金。”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-----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【若生命值清零死亡，则返回进入野外前一刻。doller：唔，突然头有点晕。】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【死亡三次，doller：刚刚是不是发生了什么？】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doller没有找到黑猫，在雇佣所快关门时匆匆返回提交材料，得知猫咪已经自己回家，无语了一阵，得到一枚木牌佣兵证和5枚铜币。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多余的啮鼠兽皮可以换成2*=1枚铜币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doller提示其又饿又渴，这时可以选择吃灵露花，然后去面包房买黑麦面包（1铜币）没有多余灵露花需要再买一个2铜币的“水”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doller：太黑心了......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此时需要找一个可以睡的地方，救济所已经满人，而暗巷已经有人，可以选择打一架或者另寻其他地方。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【doller初始血量：30，初始攻击力3，木棒攻击力+1】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【敌人：饥饿的乞丐，血量25，攻击力2】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打到10血量的时候乞丐会服软，然后离开。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若不攻击需要去到白天捡起木棒的位置，木棒废墟后是一处塌了一半的破屋。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里面已经有两个乞丐了，可以选择赶走。不赶走第二天早上醒来doller的钱财会全部被偷光。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场景3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doller早上醒来，发现钱币被透偷光非常恼火，右边的任务栏多一项：寻找那两名乞丐，让他们尝到教训。（支线）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（支线：丐帮帮主，在完成一些事件后，后期可以让乞丐们帮忙做事。）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doller决定先去雇佣所接取任务来解决饱腹问题，（这里也可以去救济所排队领取面包/面包坊转转1，救济坊领取面包则会缩短探索时间）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*长长的队伍令你望而生畏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雇佣所会员费：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每缴纳10张兽皮，雇佣所会抽取其中两张作为中介费。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【这点体现不平等待遇，雇佣所直属于教会】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随机任务：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一些零碎的居民任务，在达到银牌的时候会刷新出开头打瞌睡贵族的保镖任务。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doller去野外开始打鼠鼠，未领取面包可以打到34张出现提示，领取面包打到15张会出现提示。doller：时间差不多了，该去看看“演出”了。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doller穿过关卡，来到“永恒之城”平民区外层，按照方向来到广场。与法尔科娜对话，了解她的紧张和坚定的决心。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人不多，大多数是乞丐和少数平民。少女深吸一口气，鼓起勇气走上雕塑前的台阶上，开始演讲。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（这里可以配上pv增加感染力捏）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————一段鼓舞人心解放思想的演讲。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最后，伴随尾音结束，民众发出热烈的鼓掌声，少女不可置信。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doller欣慰的像是看着女儿的老父亲，在瞟往人群时发现了偷走他钱财的两名乞丐，他暗暗琢磨。选项：和平解决/暴力解决。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和平解决：他忍气吞声的走到两名乞丐的身边，用力拍他们的肩膀，然后一手抓住一个。“嘿，老兄，我有事想和你们谈谈。”最后doller通融，拿回一枚铜币。（其他的已经被花掉）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暴力解决:等待人群渐渐消散，他跟随两名乞丐到达没什么人的地方，准备打他们一顿，这时两名乞丐会求饶，这时候也可以选择“通融”，完毕事件发现“狗洞”。（后面被禁止入城的时候不二选择。狗洞并非真的狗洞，而是进入内城的偷渡方法。进入内城，非普通平民，需要交付三枚银币购买通行证。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和平解决等待法尔科娜分发完面包和酒水从人群中出来即可对话，暴力解决法尔科娜会在那里等你。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少女非常激动高兴，感谢doller维护现场和邀请他参与下一次演说(有佣金拿)，doller答应。少女表达了她的下一步计划和对未来的无线畅想。夕阳渐渐落幕，他们沿着河道边行走聊天了一阵分别。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doller返回缴纳任务/啮鼠兽兽皮。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在破败的小屋中安眠。（来时会有一个乞丐在那，不赶走第二天钱币铜币-10）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银辉的月光和蔼的透过破败一半的小屋铺洒在地面。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血量回满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在暗巷中安睡。（doller：这里的气味真难闻）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血量+8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美术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风格:主像素风格，参考迷雾侦探。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6"/>
        </w:rPr>
        <w:t>1.场景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①</w:t>
      </w: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商铺林立的商业街道，背景画面皆是各式各样的商铺。最右边无法通过。街道较为干净整洁。（人物:有三三两两流浪汉坐在店铺前面或地上歇息。有平民走过，椅子上有一位昏昏欲睡的贵族模样的男子。）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背景商铺排列顺序如下：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食物交易处（卖馒头的小摊）主路 雇佣所 水果店，面包坊（狭窄小巷）布料店，服装店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地面: 上中为人行道，下为马车道路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②服装店往右走为下一场景。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居民屋1 狭窄的暗道 居民屋2 高耸的城墙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地面:如上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街道看上去较为陈旧，居民屋皆背面朝向。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有运送马车的商人在与卫兵登记离城，三三两两的路人。主角可直接通过城门离开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③城门的另一面，背景为树林的土路，破败的房屋一角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地面:从整齐砖块铺设至逐渐零散，后变为土黄色土路，两遍有草地。地面散落着建筑筑材与垃圾。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看到破败房屋屋檐一角切换下一场景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④来到卫城，背景皆为各种破败的物资。一座较为完整的房屋有木门关着，可以通过破洞看到穿着破败的人在里。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最右边有一座只剩下半边屋檐的房屋，两个乞丐寄宿其中歇息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地面:土路，有不少塌陷的砖块散落地面，与垃圾在房屋前堆成小土堆。路上有不少垃圾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⑤树木背景，较为空旷，上方可看见蓝天。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背景:土黄色地面，绿意夹杂其中，草从中有细小的花朵探出。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（横版部分到此结束）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2.对话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对话形式为展现人物上半身，主角在左npc在右对话框形式。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①男主（立绘）展示上半身，面部表情:常态，高兴，沮丧，愤怒，思考，笑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②女主（立绘）展示上半身，面部表情:如上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③一层女主（立绘）展示上半身（开朗 灵动），面部表情:常态，高兴笑，受打击。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④看不清面目的乞丐npc（通用）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3.左下角头像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①男女主角侧脸头像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4.UI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①背包，地图，天数图标。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②对话框/选择框/画面框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5.画面人物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①坐着的乞丐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②坐着斜靠墙的乞丐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③男女主小人（正面，侧面，走，挥击）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④女主（正面，侧面，走）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⑤中世纪路过女士npc1，2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⑥中世纪路过男士npc1，2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⑦傲慢的管家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⑧椅子上昏昏欲睡的贵族年轻男子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> 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8"/>
        </w:rPr>
        <w:t>系统</w:t>
      </w:r>
    </w:p>
    <w:p>
      <w:pPr>
        <w:pBdr>
          <w:bottom w:val="nil" w:color="000000" w:sz="4" w:space="0"/>
          <w:left w:val="nil" w:color="000000" w:sz="4" w:space="0"/>
          <w:right w:val="nil" w:color="000000" w:sz="4" w:space="0"/>
          <w:top w:val="nil" w:color="000000" w:sz="4" w:space="0"/>
        </w:pBdr>
        <w:spacing w:lineRule="auto"/>
        <w:rPr>
          <w:rFonts w:ascii="Microsoft YaHei" w:hAnsi="Microsoft YaHei" w:eastAsia="Microsoft YaHei" w:cs="Microsoft YaHei"/>
          <w:sz w:val="22"/>
        </w:rPr>
      </w:pPr>
      <w:r>
        <w:rPr>
          <w:b w:val="false"/>
          <w:color w:val="494949"/>
          <w:rFonts w:ascii="Microsoft YaHei" w:hAnsi="Microsoft YaHei" w:eastAsia="Microsoft YaHei" w:cs="Microsoft YaHei"/>
          <w:sz w:val="22"/>
        </w:rPr>
        <w:t xml:space="preserve">见 塔系统 文档。</w:t>
      </w:r>
    </w:p>
    <w:p>
      <w:pPr>
        <w:autoSpaceDE w:val="true"/>
        <w:autoSpaceDN w:val="true"/>
        <w:rPr>
          <w:sz w:val="28"/>
          <w:szCs w:val="28"/>
        </w:rPr>
      </w:pPr>
    </w:p>
    <w:sectPr>
      <w:cols w:equalWidth="true" w:num="1" w:sep="false" w:space="1701"/>
      <w:docGrid w:linePitch="387" w:type="lines"/>
      <w:pgMar w:top="1440" w:right="1797" w:bottom="1440" w:left="1797" w:header="709" w:footer="992"/>
      <w:pgNumType w:chapSep="hyphen"/>
      <w:pgSz w:h="16838" w:w="11906" w:orient="portrait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v="urn:schemas-microsoft-com:vml">
  <w:drawingGridVerticalSpacing w:val="156"/>
  <w:displayHorizontalDrawingGridEvery w:val="1"/>
  <w:displayVerticalDrawingGridEvery w:val="2"/>
  <w:noPunctuationKerning w:val="false"/>
  <w:characterSpacingControl w:val="compressPunctuation"/>
  <w:endnotePr>
    <w:pos w:val="docEnd"/>
  </w:endnotePr>
  <w:compat>
    <w:balanceSingleByteDoubleByteWidth w:val="true"/>
    <w:adjustLineHeightInTable w:val="true"/>
    <w:compatSetting w:name="compatibilityMode" w:uri="http://schemas.microsoft.com/office/word" w:val="15"/>
  </w:compat>
  <w:themeFontLang w:val="en-US" w:eastAsia="zh-CN" w:bidi="ar-S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<w:docDefaults>
    <w:rPrDefault>
      <w:rPr>
        <w:kern w:val="2"/>
        <w:rFonts w:asciiTheme="minorHAnsi" w:hAnsiTheme="minorHAnsi" w:eastAsiaTheme="minorEastAsia" w:cstheme="minorBidi"/>
        <w:sz w:val="21"/>
      </w:rPr>
    </w:rPrDefault>
  </w:docDefaults>
  <w:style w:type="paragraph" w:styleId="161">
    <w:name w:val="Normal"/>
    <w:qFormat w:val="true"/>
    <w:pPr>
      <w:autoSpaceDE w:val="true"/>
      <w:autoSpaceDN w:val="true"/>
      <w:jc w:val="both"/>
      <w:widowControl w:val="false"/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theme" TargetMode="Internal" Target="theme/theme1.xml"/><Relationship Id="rId3" Type="http://schemas.openxmlformats.org/officeDocument/2006/relationships/styles" TargetMode="Internal" Target="styles.xml"/><Relationship Id="rId8" Type="http://schemas.openxmlformats.org/officeDocument/2006/relationships/image" TargetMode="Internal" Target="media/image5.jpeg"/><Relationship Id="rId10" Type="http://schemas.openxmlformats.org/officeDocument/2006/relationships/image" TargetMode="Internal" Target="media/image7.jpeg"/><Relationship Id="rId11" Type="http://schemas.openxmlformats.org/officeDocument/2006/relationships/image" TargetMode="Internal" Target="media/image8.jpeg"/><Relationship Id="rId4" Type="http://schemas.openxmlformats.org/officeDocument/2006/relationships/image" TargetMode="Internal" Target="media/image1.jpeg"/><Relationship Id="rId5" Type="http://schemas.openxmlformats.org/officeDocument/2006/relationships/image" TargetMode="Internal" Target="media/image2.jpeg"/><Relationship Id="rId9" Type="http://schemas.openxmlformats.org/officeDocument/2006/relationships/image" TargetMode="Internal" Target="media/image6.jpeg"/><Relationship Id="rId6" Type="http://schemas.openxmlformats.org/officeDocument/2006/relationships/image" TargetMode="Internal" Target="media/image3.jpeg"/><Relationship Id="rId12" Type="http://schemas.openxmlformats.org/officeDocument/2006/relationships/image" TargetMode="Internal" Target="media/image9.png"/><Relationship Id="rId2" Type="http://schemas.openxmlformats.org/officeDocument/2006/relationships/settings" TargetMode="Internal" Target="settings.xml"/><Relationship Id="rId13" Type="http://schemas.openxmlformats.org/officeDocument/2006/relationships/image" TargetMode="Internal" Target="media/image10.jpeg"/><Relationship Id="rId7" Type="http://schemas.openxmlformats.org/officeDocument/2006/relationships/image" TargetMode="Internal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Text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Noto Sans JP"/>
        <a:font script="Hang" typeface="맑은 고딕"/>
        <a:font script="Hans" typeface="微软雅黑"/>
        <a:font script="Hant" typeface="微软雅黑"/>
        <a:font script="Arab" typeface="Arial"/>
      </a:majorFont>
      <a:minorFont>
        <a:latin typeface="Arial"/>
        <a:ea typeface=""/>
        <a:cs typeface=""/>
        <a:font script="Jpan" typeface="Noto Sans JP"/>
        <a:font script="Hang" typeface="맑은 고딕"/>
        <a:font script="Hans" typeface="微软雅黑"/>
        <a:font script="Hant" typeface="微软雅黑"/>
        <a:font script="Arab" typeface="Arial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</a:theme>
</file>