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Times New Roman" w:hAnsi="Times New Roman" w:cs="Times New Roman"/>
          <w:sz w:val="28"/>
          <w:sz-cs w:val="28"/>
          <w:b/>
        </w:rPr>
        <w:t xml:space="preserve">ConsultBridge: Designing a Scalable Frontend Architecture for Trust-Centric Two-Sided Digital Consultancy Marketplaces Using React.js</w:t>
      </w:r>
    </w:p>
    <w:p>
      <w:pPr/>
      <w:r>
        <w:rPr>
          <w:rFonts w:ascii="Times" w:hAnsi="Times" w:cs="Times"/>
          <w:sz w:val="24"/>
          <w:sz-cs w:val="24"/>
        </w:rPr>
        <w:t xml:space="preserve"/>
      </w:r>
    </w:p>
    <w:p>
      <w:pPr>
        <w:jc w:val="center"/>
        <w:spacing w:after="60"/>
      </w:pPr>
      <w:r>
        <w:rPr>
          <w:rFonts w:ascii="Times New Roman" w:hAnsi="Times New Roman" w:cs="Times New Roman"/>
          <w:sz w:val="22"/>
          <w:sz-cs w:val="22"/>
        </w:rPr>
        <w:t xml:space="preserve">Keshav Yadav</w:t>
      </w:r>
      <w:r>
        <w:rPr>
          <w:rFonts w:ascii="Times New Roman" w:hAnsi="Times New Roman" w:cs="Times New Roman"/>
          <w:sz w:val="18"/>
          <w:sz-cs w:val="18"/>
          <w:vertAlign w:val="superscript"/>
        </w:rPr>
        <w:t xml:space="preserve">¹</w:t>
      </w:r>
      <w:r>
        <w:rPr>
          <w:rFonts w:ascii="Times New Roman" w:hAnsi="Times New Roman" w:cs="Times New Roman"/>
          <w:sz w:val="22"/>
          <w:sz-cs w:val="22"/>
        </w:rPr>
        <w:t xml:space="preserve">, Dr. Pratik Gite</w:t>
      </w:r>
      <w:r>
        <w:rPr>
          <w:rFonts w:ascii="Times New Roman" w:hAnsi="Times New Roman" w:cs="Times New Roman"/>
          <w:sz w:val="18"/>
          <w:sz-cs w:val="18"/>
          <w:vertAlign w:val="superscript"/>
        </w:rPr>
        <w:t xml:space="preserve">²</w:t>
      </w:r>
    </w:p>
    <w:p>
      <w:pPr>
        <w:jc w:val="center"/>
        <w:spacing w:after="40"/>
      </w:pPr>
      <w:r>
        <w:rPr>
          <w:rFonts w:ascii="Times New Roman" w:hAnsi="Times New Roman" w:cs="Times New Roman"/>
          <w:sz w:val="20"/>
          <w:sz-cs w:val="20"/>
          <w:i/>
        </w:rPr>
        <w:t xml:space="preserve">¹² Department of Computer Science and Engineering, Parul Institute of Technology, Parul University, Vadodara, Gujarat, India</w:t>
      </w:r>
    </w:p>
    <w:p>
      <w:pPr>
        <w:jc w:val="center"/>
        <w:spacing w:after="40"/>
      </w:pPr>
      <w:r>
        <w:rPr>
          <w:rFonts w:ascii="Times New Roman" w:hAnsi="Times New Roman" w:cs="Times New Roman"/>
          <w:sz w:val="20"/>
          <w:sz-cs w:val="20"/>
        </w:rPr>
        <w:t xml:space="preserve">¹ 2203051050289@paruluniversity.ac.in  |  ² Pratik.gite35430@paruluniversity.ac.in</w:t>
      </w:r>
    </w:p>
    <w:p>
      <w:pPr/>
      <w:r>
        <w:rPr>
          <w:rFonts w:ascii="Times" w:hAnsi="Times" w:cs="Times"/>
          <w:sz w:val="24"/>
          <w:sz-cs w:val="24"/>
        </w:rPr>
        <w:t xml:space="preserve"/>
      </w:r>
    </w:p>
    <w:p>
      <w:pPr>
        <w:jc w:val="center"/>
        <w:spacing w:before="120" w:after="80"/>
      </w:pPr>
      <w:r>
        <w:rPr>
          <w:rFonts w:ascii="Times New Roman" w:hAnsi="Times New Roman" w:cs="Times New Roman"/>
          <w:sz w:val="22"/>
          <w:sz-cs w:val="22"/>
          <w:b/>
        </w:rPr>
        <w:t xml:space="preserve">ABSTRACT</w:t>
      </w:r>
    </w:p>
    <w:p>
      <w:pPr>
        <w:spacing w:after="240"/>
      </w:pPr>
      <w:r>
        <w:rPr>
          <w:rFonts w:ascii="Times" w:hAnsi="Times" w:cs="Times"/>
          <w:sz w:val="24"/>
          <w:sz-cs w:val="24"/>
          <w:spacing w:val="0"/>
        </w:rPr>
        <w:t xml:space="preserve">Digital platforms have revolutionized the way services are located, assessed, or delivered.While such a sea change is taking place, professional service agencies still are standing still.It remains a sector dominated by fragmented discovery, information asymmetry, low reputation signals and hidden fees.Compared with these, generalist gig platforms are not the right fit for professional advice: the former sometimes ends up as opaque listings with outsourced negotiation by consultant in practice. Too many professionals are left out in cold.</w:t>
      </w:r>
    </w:p>
    <w:p>
      <w:pPr>
        <w:spacing w:after="240"/>
      </w:pPr>
      <w:r>
        <w:rPr>
          <w:rFonts w:ascii="Times" w:hAnsi="Times" w:cs="Times"/>
          <w:sz w:val="24"/>
          <w:sz-cs w:val="24"/>
          <w:spacing w:val="0"/>
        </w:rPr>
        <w:t xml:space="preserve">We introduce ConsultBridge, a 2-sided online marketplace for consulting services designed to be purpose-built and trustworthy. We take as our central thesis that the hand goes beyond being simply a layout interface--it also stands as strategic infrastructure. Through direct operation it also shapes how trust develops, allows for decisions to be taken and at a higher level of making markets work together. We adopt a module-based design pattern in which separation of concerns is achieved through the use of API resources and stateless architectures. This selection is not purely technical--they are also strategic choices concerning scalability, adaptability, and sustained future development.</w:t>
      </w:r>
      <w:r>
        <w:rPr>
          <w:rFonts w:ascii="Times New Roman" w:hAnsi="Times New Roman" w:cs="Times New Roman"/>
          <w:sz w:val="22"/>
          <w:sz-cs w:val="22"/>
        </w:rPr>
        <w:t xml:space="preserve"/>
      </w:r>
    </w:p>
    <w:p>
      <w:pPr>
        <w:spacing w:after="240"/>
      </w:pPr>
      <w:r>
        <w:rPr>
          <w:rFonts w:ascii="Times" w:hAnsi="Times" w:cs="Times"/>
          <w:sz w:val="24"/>
          <w:sz-cs w:val="24"/>
          <w:spacing w:val="0"/>
        </w:rPr>
        <w:t xml:space="preserve">To avoid client uncertainty, the platform adopts new HCI and UX principles for interface design. In reality, a transparent price list, reputations and so called mechanisms for both, serve as institutional signals that make matching work wonders between consultants and customers.We also study how frontend design decisions are consistent with platform economics, namely if they benefit from network effects; reduce transaction costs; and make reliable monetization possible.</w:t>
      </w:r>
    </w:p>
    <w:p>
      <w:pPr>
        <w:spacing w:after="240"/>
      </w:pPr>
      <w:r>
        <w:rPr>
          <w:rFonts w:ascii="Times" w:hAnsi="Times" w:cs="Times"/>
          <w:sz w:val="24"/>
          <w:sz-cs w:val="24"/>
          <w:spacing w:val="0"/>
        </w:rPr>
        <w:t xml:space="preserve">Keypoints: Scalable Frontend Architecture Concurrent Best UX Trust-driven for Software Development Economics, shows that all this and trusted GUIs can form a solid basis for productive, transparent, efficient interest in technology consulting on these markets.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Keywords: Two-Sided Digital Marketplace, Frontend Architecture, React.js, Digital Intermediation, Platform Economy, User Experience (UX), Trust and Transparency, Scalable Systems, Consultancy Marketplace, Network Effects, Human–Computer Interaction (HCI), Transaction Cost Economics</w:t>
      </w:r>
      <w:r>
        <w:rPr>
          <w:rFonts w:ascii="Times New Roman" w:hAnsi="Times New Roman" w:cs="Times New Roman"/>
          <w:sz w:val="22"/>
          <w:sz-cs w:val="22"/>
          <w:i/>
        </w:rPr>
        <w:t xml:space="preserve"/>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I. INTRODUCTION</w:t>
      </w:r>
    </w:p>
    <w:p>
      <w:pPr>
        <w:jc w:val="both"/>
        <w:spacing w:before="80" w:after="80"/>
      </w:pPr>
      <w:r>
        <w:rPr>
          <w:rFonts w:ascii="Times New Roman" w:hAnsi="Times New Roman" w:cs="Times New Roman"/>
          <w:sz w:val="22"/>
          <w:sz-cs w:val="22"/>
        </w:rPr>
        <w:t xml:space="preserve">The past two decades have witnessed an extraordinary expansion of platform-based business models. From ride-sharing to financial services, digital intermediaries have reshaped how buyers and sellers find each other, transact, and build relationships. Two-sided marketplaces—platforms that simultaneously serve two distinct user groups—have been particularly transformative, enabling cross-side network effects that grow more valuable as each side of the market expands [1], [2]. These platforms reduce geographic friction, lower discovery costs, and create new mechanisms for value exchange that would be impossible in traditional markets [3].</w:t>
      </w:r>
    </w:p>
    <w:p>
      <w:pPr>
        <w:jc w:val="both"/>
        <w:spacing w:before="80" w:after="80"/>
      </w:pPr>
      <w:r>
        <w:rPr>
          <w:rFonts w:ascii="Times New Roman" w:hAnsi="Times New Roman" w:cs="Times New Roman"/>
          <w:sz w:val="22"/>
          <w:sz-cs w:val="22"/>
        </w:rPr>
        <w:t xml:space="preserve">Yet the consultancy sector, despite its size and economic significance, has been slow to benefit from this digital transformation. Consultancy work is not like ordering a taxi or booking a hotel room. It is knowledge-intensive, relational, and high-stakes. Clients seeking specialized expertise cannot easily evaluate a consultant’s capabilities in advance, and trust must be built through signals that go beyond a simple star rating. Traditionally, consultancy engagements have been arranged through professional networks, referrals, and institutional affiliations—mechanisms that work reasonably well for established professionals but systematically exclude emerging talent and limit access for clients without the right connections [4].</w:t>
      </w:r>
    </w:p>
    <w:p>
      <w:pPr>
        <w:jc w:val="both"/>
        <w:spacing w:before="80" w:after="80"/>
      </w:pPr>
      <w:r>
        <w:rPr>
          <w:rFonts w:ascii="Times New Roman" w:hAnsi="Times New Roman" w:cs="Times New Roman"/>
          <w:sz w:val="22"/>
          <w:sz-cs w:val="22"/>
        </w:rPr>
        <w:t xml:space="preserve">At the heart of this problem is information asymmetry. Clients typically lack the background knowledge to assess a consultant’s actual competence before committing to an engagement. This uncertainty leads to hesitation, suboptimal matching, and a tendency to default to familiar names rather than the best available expertise [5], [6]. Pricing compounds the problem further: in most consultancy interactions, costs are either opaque or arrived at through negotiation, making it difficult for clients to compare options or plan engagements with confidence.</w:t>
      </w:r>
    </w:p>
    <w:p>
      <w:pPr>
        <w:jc w:val="both"/>
        <w:spacing w:before="80" w:after="80"/>
      </w:pPr>
      <w:r>
        <w:rPr>
          <w:rFonts w:ascii="Times New Roman" w:hAnsi="Times New Roman" w:cs="Times New Roman"/>
          <w:sz w:val="22"/>
          <w:sz-cs w:val="22"/>
        </w:rPr>
        <w:t xml:space="preserve">Existing digital platforms have not adequately addressed these challenges. Generalist freelance marketplaces like Upwork or Fiverr rely on unstructured listings, keyword searches, and bidding mechanisms that flatten the nuance of consultancy services into a transactional format. They commoditize professional expertise, reward low-cost bids over demonstrated quality, and offer limited tools for signaling credibility or verifying credentials [7]. The result is a marketplace that serves many types of gig work reasonably well but fails the specific requirements of high-trust, knowledge-intensive consultancy.</w:t>
      </w:r>
    </w:p>
    <w:p>
      <w:pPr>
        <w:jc w:val="both"/>
        <w:spacing w:before="80" w:after="80"/>
      </w:pPr>
      <w:r>
        <w:rPr>
          <w:rFonts w:ascii="Times New Roman" w:hAnsi="Times New Roman" w:cs="Times New Roman"/>
          <w:sz w:val="22"/>
          <w:sz-cs w:val="22"/>
        </w:rPr>
        <w:t xml:space="preserve">These inefficiencies are not trivial. From a transaction cost perspective, they translate into elevated search costs, negotiation friction, and verification burdens that make even straightforward consultancy engagements expensive to initiate [9]. Both clients and consultants bear these costs, reducing the overall efficiency of the market and discouraging participation.</w:t>
      </w:r>
    </w:p>
    <w:p>
      <w:pPr>
        <w:jc w:val="both"/>
        <w:spacing w:before="80" w:after="80"/>
      </w:pPr>
      <w:r>
        <w:rPr>
          <w:rFonts w:ascii="Times New Roman" w:hAnsi="Times New Roman" w:cs="Times New Roman"/>
          <w:sz w:val="22"/>
          <w:sz-cs w:val="22"/>
        </w:rPr>
        <w:t xml:space="preserve">This paper responds to these challenges through the design and conceptualization of ConsultBridge—a two-sided digital marketplace built specifically for consultancy services. Unlike general-purpose freelance platforms, ConsultBridge is designed from the ground up to support the trust requirements, discovery complexity, and economic dynamics that characterize knowledge-intensive service markets. The platform standardizes professional representation, makes pricing visible, and embeds trust mechanisms directly into the user experience rather than treating them as optional add-ons.</w:t>
      </w:r>
    </w:p>
    <w:p>
      <w:pPr>
        <w:jc w:val="both"/>
        <w:spacing w:before="80" w:after="80"/>
      </w:pPr>
      <w:r>
        <w:rPr>
          <w:rFonts w:ascii="Times New Roman" w:hAnsi="Times New Roman" w:cs="Times New Roman"/>
          <w:sz w:val="22"/>
          <w:sz-cs w:val="22"/>
        </w:rPr>
        <w:t xml:space="preserve">A central claim of this paper is that the frontend is not a cosmetic layer. In a digital marketplace, the interface is where trust is communicated, decisions are made, and economic coordination happens. Modern frontend frameworks like React.js enable the development of modular, scalable, and high-performance interfaces through component-based design and clean separation of concerns [11]. These are not just engineering virtues—they are strategic enablers that allow a platform to evolve without accumulating technical debt, support new features without breaking existing ones, and maintain performance as user demand grows.</w:t>
      </w:r>
    </w:p>
    <w:p>
      <w:pPr>
        <w:jc w:val="both"/>
        <w:spacing w:before="80" w:after="80"/>
      </w:pPr>
      <w:r>
        <w:rPr>
          <w:rFonts w:ascii="Times New Roman" w:hAnsi="Times New Roman" w:cs="Times New Roman"/>
          <w:sz w:val="22"/>
          <w:sz-cs w:val="22"/>
        </w:rPr>
        <w:t xml:space="preserve">We further argue that user experience design, grounded in established HCI principles, plays a direct role in reducing cognitive load, improving information legibility, and building user confidence [12], [13]. In a marketplace where a client must decide whether to trust a stranger with important advisory work, every design decision—how profiles are structured, how ratings are displayed, how pricing is communicated—either reinforces or undermines that trust.</w:t>
      </w:r>
    </w:p>
    <w:p>
      <w:pPr>
        <w:jc w:val="both"/>
        <w:spacing w:before="80" w:after="80"/>
      </w:pPr>
      <w:r>
        <w:rPr>
          <w:rFonts w:ascii="Times New Roman" w:hAnsi="Times New Roman" w:cs="Times New Roman"/>
          <w:sz w:val="22"/>
          <w:sz-cs w:val="22"/>
        </w:rPr>
        <w:t xml:space="preserve">The remainder of this paper is organized as follows. Section II reviews relevant literature across platform economics, trust theory, UX design, and software architecture. Section III identifies the specific research gaps this work addresses. Section IV describes the research methodology. Section V details the implementation of ConsultBridge. Section VI presents results and analysis. Section VII concludes with implications and directions for future work.</w:t>
      </w:r>
    </w:p>
    <w:p>
      <w:pPr/>
      <w:r>
        <w:rPr>
          <w:rFonts w:ascii="Times" w:hAnsi="Times" w:cs="Times"/>
          <w:sz w:val="24"/>
          <w:sz-cs w:val="24"/>
        </w:rPr>
        <w:t xml:space="preserve"/>
      </w:r>
    </w:p>
    <w:p>
      <w:pPr>
        <w:jc w:val="center"/>
        <w:spacing w:before="80" w:after="160"/>
      </w:pPr>
      <w:r>
        <w:rPr>
          <w:rFonts w:ascii="Times New Roman" w:hAnsi="Times New Roman" w:cs="Times New Roman"/>
          <w:sz w:val="20"/>
          <w:sz-cs w:val="20"/>
          <w:b/>
          <w:i/>
        </w:rPr>
        <w:t xml:space="preserve">Table 1: Summary of Core Problems in Consultancy Marketplaces</w:t>
      </w:r>
    </w:p>
    <w:p>
      <w:pPr>
        <w:jc w:val="center"/>
      </w:pPr>
      <w:r>
        <w:rPr>
          <w:rFonts w:ascii="Times New Roman" w:hAnsi="Times New Roman" w:cs="Times New Roman"/>
          <w:sz w:val="20"/>
          <w:sz-cs w:val="20"/>
          <w:b/>
        </w:rPr>
        <w:t xml:space="preserve">Problem Area</w:t>
      </w:r>
    </w:p>
    <w:p>
      <w:pPr>
        <w:jc w:val="center"/>
      </w:pPr>
      <w:r>
        <w:rPr>
          <w:rFonts w:ascii="Times New Roman" w:hAnsi="Times New Roman" w:cs="Times New Roman"/>
          <w:sz w:val="20"/>
          <w:sz-cs w:val="20"/>
          <w:b/>
        </w:rPr>
        <w:t xml:space="preserve">Description</w:t>
      </w:r>
    </w:p>
    <w:p>
      <w:pPr>
        <w:jc w:val="center"/>
      </w:pPr>
      <w:r>
        <w:rPr>
          <w:rFonts w:ascii="Times New Roman" w:hAnsi="Times New Roman" w:cs="Times New Roman"/>
          <w:sz w:val="20"/>
          <w:sz-cs w:val="20"/>
          <w:b/>
        </w:rPr>
        <w:t xml:space="preserve">Market Impact</w:t>
      </w:r>
    </w:p>
    <w:p>
      <w:pPr/>
      <w:r>
        <w:rPr>
          <w:rFonts w:ascii="Times New Roman" w:hAnsi="Times New Roman" w:cs="Times New Roman"/>
          <w:sz w:val="20"/>
          <w:sz-cs w:val="20"/>
        </w:rPr>
        <w:t xml:space="preserve">Information Asymmetry</w:t>
      </w:r>
    </w:p>
    <w:p>
      <w:pPr/>
      <w:r>
        <w:rPr>
          <w:rFonts w:ascii="Times New Roman" w:hAnsi="Times New Roman" w:cs="Times New Roman"/>
          <w:sz w:val="20"/>
          <w:sz-cs w:val="20"/>
        </w:rPr>
        <w:t xml:space="preserve">Clients cannot reliably assess consultant quality prior to engagement</w:t>
      </w:r>
    </w:p>
    <w:p>
      <w:pPr/>
      <w:r>
        <w:rPr>
          <w:rFonts w:ascii="Times New Roman" w:hAnsi="Times New Roman" w:cs="Times New Roman"/>
          <w:sz w:val="20"/>
          <w:sz-cs w:val="20"/>
        </w:rPr>
        <w:t xml:space="preserve">Poor matching and decision-making</w:t>
      </w:r>
    </w:p>
    <w:p>
      <w:pPr/>
      <w:r>
        <w:rPr>
          <w:rFonts w:ascii="Times New Roman" w:hAnsi="Times New Roman" w:cs="Times New Roman"/>
          <w:sz w:val="20"/>
          <w:sz-cs w:val="20"/>
        </w:rPr>
        <w:t xml:space="preserve">Pricing Opacity</w:t>
      </w:r>
    </w:p>
    <w:p>
      <w:pPr/>
      <w:r>
        <w:rPr>
          <w:rFonts w:ascii="Times New Roman" w:hAnsi="Times New Roman" w:cs="Times New Roman"/>
          <w:sz w:val="20"/>
          <w:sz-cs w:val="20"/>
        </w:rPr>
        <w:t xml:space="preserve">Costs are hidden or negotiated, limiting comparison</w:t>
      </w:r>
    </w:p>
    <w:p>
      <w:pPr/>
      <w:r>
        <w:rPr>
          <w:rFonts w:ascii="Times New Roman" w:hAnsi="Times New Roman" w:cs="Times New Roman"/>
          <w:sz w:val="20"/>
          <w:sz-cs w:val="20"/>
        </w:rPr>
        <w:t xml:space="preserve">Higher negotiation costs and uncertainty</w:t>
      </w:r>
    </w:p>
    <w:p>
      <w:pPr/>
      <w:r>
        <w:rPr>
          <w:rFonts w:ascii="Times New Roman" w:hAnsi="Times New Roman" w:cs="Times New Roman"/>
          <w:sz w:val="20"/>
          <w:sz-cs w:val="20"/>
        </w:rPr>
        <w:t xml:space="preserve">Fragmented Discovery</w:t>
      </w:r>
    </w:p>
    <w:p>
      <w:pPr/>
      <w:r>
        <w:rPr>
          <w:rFonts w:ascii="Times New Roman" w:hAnsi="Times New Roman" w:cs="Times New Roman"/>
          <w:sz w:val="20"/>
          <w:sz-cs w:val="20"/>
        </w:rPr>
        <w:t xml:space="preserve">Existing platforms lack structured search for consultancy work</w:t>
      </w:r>
    </w:p>
    <w:p>
      <w:pPr/>
      <w:r>
        <w:rPr>
          <w:rFonts w:ascii="Times New Roman" w:hAnsi="Times New Roman" w:cs="Times New Roman"/>
          <w:sz w:val="20"/>
          <w:sz-cs w:val="20"/>
        </w:rPr>
        <w:t xml:space="preserve">Inefficient and time-consuming matching</w:t>
      </w:r>
    </w:p>
    <w:p>
      <w:pPr/>
      <w:r>
        <w:rPr>
          <w:rFonts w:ascii="Times New Roman" w:hAnsi="Times New Roman" w:cs="Times New Roman"/>
          <w:sz w:val="20"/>
          <w:sz-cs w:val="20"/>
        </w:rPr>
        <w:t xml:space="preserve">Trust Deficit</w:t>
      </w:r>
    </w:p>
    <w:p>
      <w:pPr/>
      <w:r>
        <w:rPr>
          <w:rFonts w:ascii="Times New Roman" w:hAnsi="Times New Roman" w:cs="Times New Roman"/>
          <w:sz w:val="20"/>
          <w:sz-cs w:val="20"/>
        </w:rPr>
        <w:t xml:space="preserve">Weak credential verification and inconsistent review systems</w:t>
      </w:r>
    </w:p>
    <w:p>
      <w:pPr/>
      <w:r>
        <w:rPr>
          <w:rFonts w:ascii="Times New Roman" w:hAnsi="Times New Roman" w:cs="Times New Roman"/>
          <w:sz w:val="20"/>
          <w:sz-cs w:val="20"/>
        </w:rPr>
        <w:t xml:space="preserve">Reduced user confidence and participation</w:t>
      </w:r>
    </w:p>
    <w:p>
      <w:pPr/>
      <w:r>
        <w:rPr>
          <w:rFonts w:ascii="Times New Roman" w:hAnsi="Times New Roman" w:cs="Times New Roman"/>
          <w:sz w:val="20"/>
          <w:sz-cs w:val="20"/>
        </w:rPr>
        <w:t xml:space="preserve">Platform Mismatch</w:t>
      </w:r>
    </w:p>
    <w:p>
      <w:pPr/>
      <w:r>
        <w:rPr>
          <w:rFonts w:ascii="Times New Roman" w:hAnsi="Times New Roman" w:cs="Times New Roman"/>
          <w:sz w:val="20"/>
          <w:sz-cs w:val="20"/>
        </w:rPr>
        <w:t xml:space="preserve">Generalist freelance platforms are ill-suited to knowledge-intensive services</w:t>
      </w:r>
    </w:p>
    <w:p>
      <w:pPr/>
      <w:r>
        <w:rPr>
          <w:rFonts w:ascii="Times New Roman" w:hAnsi="Times New Roman" w:cs="Times New Roman"/>
          <w:sz w:val="20"/>
          <w:sz-cs w:val="20"/>
        </w:rPr>
        <w:t xml:space="preserve">Commoditization of professional expertise</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II. LITERATURE REVIEW</w:t>
      </w:r>
    </w:p>
    <w:p>
      <w:pPr>
        <w:jc w:val="both"/>
        <w:spacing w:before="80" w:after="80"/>
      </w:pPr>
      <w:r>
        <w:rPr>
          <w:rFonts w:ascii="Times New Roman" w:hAnsi="Times New Roman" w:cs="Times New Roman"/>
          <w:sz w:val="22"/>
          <w:sz-cs w:val="22"/>
        </w:rPr>
        <w:t xml:space="preserve">The study of digital platforms has drawn on several distinct but complementary bodies of literature. Together, these streams provide the theoretical scaffolding on which ConsultBridge is built.</w:t>
      </w:r>
    </w:p>
    <w:p>
      <w:pPr>
        <w:spacing w:before="160" w:after="60"/>
      </w:pPr>
      <w:r>
        <w:rPr>
          <w:rFonts w:ascii="Times New Roman" w:hAnsi="Times New Roman" w:cs="Times New Roman"/>
          <w:sz w:val="22"/>
          <w:sz-cs w:val="22"/>
          <w:b/>
          <w:i/>
        </w:rPr>
        <w:t xml:space="preserve">Platform Economics and Two-Sided Markets</w:t>
      </w:r>
    </w:p>
    <w:p>
      <w:pPr>
        <w:jc w:val="both"/>
        <w:spacing w:before="80" w:after="80"/>
      </w:pPr>
      <w:r>
        <w:rPr>
          <w:rFonts w:ascii="Times New Roman" w:hAnsi="Times New Roman" w:cs="Times New Roman"/>
          <w:sz w:val="22"/>
          <w:sz-cs w:val="22"/>
        </w:rPr>
        <w:t xml:space="preserve">The foundational theory of two-sided markets was established by Rochet and Tirole [1], who showed that platforms serving two distinct user groups must balance the interests of both sides while managing cross-side network effects. As participation grows on one side of the market, it creates additional value for the other—making platform design and governance critical to achieving sustainable scale [2]. Parker, Van Alstyne, and Choudary [3] extend this framework by arguing that successful platforms create value not by producing services directly but by orchestrating efficient interactions between participants. This insight is central to the ConsultBridge model: the platform’s primary task is to reduce friction and increase the quality of connections between clients and consultants.</w:t>
      </w:r>
    </w:p>
    <w:p>
      <w:pPr>
        <w:spacing w:before="160" w:after="60"/>
      </w:pPr>
      <w:r>
        <w:rPr>
          <w:rFonts w:ascii="Times New Roman" w:hAnsi="Times New Roman" w:cs="Times New Roman"/>
          <w:sz w:val="22"/>
          <w:sz-cs w:val="22"/>
          <w:b/>
          <w:i/>
        </w:rPr>
        <w:t xml:space="preserve">Transaction Cost Economics</w:t>
      </w:r>
    </w:p>
    <w:p>
      <w:pPr>
        <w:jc w:val="both"/>
        <w:spacing w:before="80" w:after="80"/>
      </w:pPr>
      <w:r>
        <w:rPr>
          <w:rFonts w:ascii="Times New Roman" w:hAnsi="Times New Roman" w:cs="Times New Roman"/>
          <w:sz w:val="22"/>
          <w:sz-cs w:val="22"/>
        </w:rPr>
        <w:t xml:space="preserve">Williamson’s transaction cost theory [4] provides a useful lens for understanding why digital intermediaries exist. Platforms reduce the costs associated with search, negotiation, and enforcement—costs that, in traditional markets, can make even beneficial exchanges prohibitively expensive. Bakos [5] demonstrated empirically that electronic marketplaces reduce buyer search costs by improving access to information and enabling multi-provider comparison. Hagiu and Wright [6] further distinguish multi-sided platforms from traditional firms by their role in facilitating direct participant interactions while maintaining quality governance. These theoretical insights directly inform the economic case for ConsultBridge.</w:t>
      </w:r>
    </w:p>
    <w:p>
      <w:pPr>
        <w:spacing w:before="160" w:after="60"/>
      </w:pPr>
      <w:r>
        <w:rPr>
          <w:rFonts w:ascii="Times New Roman" w:hAnsi="Times New Roman" w:cs="Times New Roman"/>
          <w:sz w:val="22"/>
          <w:sz-cs w:val="22"/>
          <w:b/>
          <w:i/>
        </w:rPr>
        <w:t xml:space="preserve">Trust, Signaling, and Reputation</w:t>
      </w:r>
    </w:p>
    <w:p>
      <w:pPr>
        <w:jc w:val="both"/>
        <w:spacing w:before="80" w:after="80"/>
      </w:pPr>
      <w:r>
        <w:rPr>
          <w:rFonts w:ascii="Times New Roman" w:hAnsi="Times New Roman" w:cs="Times New Roman"/>
          <w:sz w:val="22"/>
          <w:sz-cs w:val="22"/>
        </w:rPr>
        <w:t xml:space="preserve">Trust has been extensively studied in online marketplace contexts, and for good reason: it is the primary barrier to participation. Spence’s signaling theory [7] explains how parties with superior information—in this case, consultants who know their own capabilities—can credibly communicate quality through observable markers such as credentials, verified experience, and structured endorsements. In digital platforms, these signals are operationalized through rating systems and verification mechanisms. Resnick et al. [8] demonstrated through controlled experiments that reputation systems meaningfully influence transaction outcomes. Pavlou and Gefen [9] showed that institution-based trust mechanisms—structural features of the platform itself—reduce perceived risk and encourage participation. Ba and Pavlou [10] further established that trust-enabling technologies improve both user confidence and market efficiency.</w:t>
      </w:r>
    </w:p>
    <w:p>
      <w:pPr>
        <w:spacing w:before="160" w:after="60"/>
      </w:pPr>
      <w:r>
        <w:rPr>
          <w:rFonts w:ascii="Times New Roman" w:hAnsi="Times New Roman" w:cs="Times New Roman"/>
          <w:sz w:val="22"/>
          <w:sz-cs w:val="22"/>
          <w:b/>
          <w:i/>
        </w:rPr>
        <w:t xml:space="preserve">Human–Computer Interaction and UX Design</w:t>
      </w:r>
    </w:p>
    <w:p>
      <w:pPr>
        <w:jc w:val="both"/>
        <w:spacing w:before="80" w:after="80"/>
      </w:pPr>
      <w:r>
        <w:rPr>
          <w:rFonts w:ascii="Times New Roman" w:hAnsi="Times New Roman" w:cs="Times New Roman"/>
          <w:sz w:val="22"/>
          <w:sz-cs w:val="22"/>
        </w:rPr>
        <w:t xml:space="preserve">The design of digital interfaces has a well-established theoretical base in HCI. Nielsen’s usability heuristics [11] identify consistency, visibility, and error prevention as core principles of effective interface design. Norman [12] emphasizes the role of intuitive affordances in reducing user effort. Sweller’s cognitive load theory [13] provides a framework for understanding why simpler, better-organized interfaces lead to better decisions—a finding directly relevant to a marketplace where users must evaluate complex information about unfamiliar professionals. Fogg [14] extends this by showing that interface design can actively shape user behavior through persuasive structures. Kim, Ferrin, and Rao [15] establish that trust, usability, and perceived risk together determine user adoption in digital commerce contexts.</w:t>
      </w:r>
    </w:p>
    <w:p>
      <w:pPr>
        <w:spacing w:before="160" w:after="60"/>
      </w:pPr>
      <w:r>
        <w:rPr>
          <w:rFonts w:ascii="Times New Roman" w:hAnsi="Times New Roman" w:cs="Times New Roman"/>
          <w:sz w:val="22"/>
          <w:sz-cs w:val="22"/>
          <w:b/>
          <w:i/>
        </w:rPr>
        <w:t xml:space="preserve">Software Architecture and Frontend Engineering</w:t>
      </w:r>
    </w:p>
    <w:p>
      <w:pPr>
        <w:jc w:val="both"/>
        <w:spacing w:before="80" w:after="80"/>
      </w:pPr>
      <w:r>
        <w:rPr>
          <w:rFonts w:ascii="Times New Roman" w:hAnsi="Times New Roman" w:cs="Times New Roman"/>
          <w:sz w:val="22"/>
          <w:sz-cs w:val="22"/>
        </w:rPr>
        <w:t xml:space="preserve">The technical literature on scalable systems provides the engineering foundation for ConsultBridge. Fielding’s REST architectural style [16] enables decoupled, scalable communication between system components—a core requirement for a platform that must integrate independently evolving backend services. Newman [17] and Richards and Ford [18] champion microservices architectures for their flexibility and capacity for independent scaling. Fowler [19] emphasizes modular design and continuous refactoring as the basis for long-term system quality. Bass, Clements, and Kazman [20] offer a comprehensive framework for evaluating architecture across scalability, performance, and maintainability dimensions. Within this landscape, React.js has emerged as a leading frontend framework precisely because its component model aligns naturally with these architectural principles.</w:t>
      </w:r>
    </w:p>
    <w:p>
      <w:pPr>
        <w:spacing w:before="160" w:after="60"/>
      </w:pPr>
      <w:r>
        <w:rPr>
          <w:rFonts w:ascii="Times New Roman" w:hAnsi="Times New Roman" w:cs="Times New Roman"/>
          <w:sz w:val="22"/>
          <w:sz-cs w:val="22"/>
          <w:b/>
          <w:i/>
        </w:rPr>
        <w:t xml:space="preserve">Platform Capitalism and Broader Implications</w:t>
      </w:r>
    </w:p>
    <w:p>
      <w:pPr>
        <w:jc w:val="both"/>
        <w:spacing w:before="80" w:after="80"/>
      </w:pPr>
      <w:r>
        <w:rPr>
          <w:rFonts w:ascii="Times New Roman" w:hAnsi="Times New Roman" w:cs="Times New Roman"/>
          <w:sz w:val="22"/>
          <w:sz-cs w:val="22"/>
        </w:rPr>
        <w:t xml:space="preserve">The broader economic significance of platform models has been examined by Srnicek [21], who describes how digital infrastructures increasingly mediate economic activity and generate value through data and network effects. Kenney and Zysman [22] document the transformative effects of platforms across traditional industries, while Cutolo and Kenney [23] examine the power asymmetries that can emerge within platform ecosystems. These perspectives remind us that platform design is never neutral—structural choices about governance, transparency, and user control have real distributional consequences.</w:t>
      </w:r>
    </w:p>
    <w:p>
      <w:pPr>
        <w:jc w:val="both"/>
        <w:spacing w:before="80" w:after="80"/>
      </w:pPr>
      <w:r>
        <w:rPr>
          <w:rFonts w:ascii="Times New Roman" w:hAnsi="Times New Roman" w:cs="Times New Roman"/>
          <w:sz w:val="22"/>
          <w:sz-cs w:val="22"/>
        </w:rPr>
        <w:t xml:space="preserve">Despite the richness of this literature, a critical gap remains. Existing work tends to treat frontend architecture as a technical afterthought—a presentation layer that implements decisions made elsewhere. Very little research examines how frontend design choices actively shape trust dynamics, user behavior, and economic outcomes, particularly in the context of knowledge-intensive service markets. This paper aims to fill that gap.</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III. RESEARCH GAP</w:t>
      </w:r>
    </w:p>
    <w:p>
      <w:pPr>
        <w:jc w:val="both"/>
        <w:spacing w:before="80" w:after="80"/>
      </w:pPr>
      <w:r>
        <w:rPr>
          <w:rFonts w:ascii="Times New Roman" w:hAnsi="Times New Roman" w:cs="Times New Roman"/>
          <w:sz w:val="22"/>
          <w:sz-cs w:val="22"/>
        </w:rPr>
        <w:t xml:space="preserve">Research at the intersection of platform economics, trust systems, user experience design, and software architecture is extensive. However, it is also fragmented. Scholars working in each of these domains have produced rich individual literatures, but the connections between them—particularly in the context of consultancy marketplaces—remain underexplored.</w:t>
      </w:r>
    </w:p>
    <w:p>
      <w:pPr>
        <w:jc w:val="both"/>
        <w:spacing w:before="80" w:after="80"/>
      </w:pPr>
      <w:r>
        <w:rPr>
          <w:rFonts w:ascii="Times New Roman" w:hAnsi="Times New Roman" w:cs="Times New Roman"/>
          <w:sz w:val="22"/>
          <w:sz-cs w:val="22"/>
        </w:rPr>
        <w:t xml:space="preserve">Studies in platform economics have illuminated network effects, pricing strategies, and governance mechanisms [1], [2], [3], but these analyses typically operate at a macro level. They say relatively little about how system design—especially interface design—influences the micro-level interactions that determine whether a platform actually delivers on its theoretical promise. Similarly, transaction cost economics frames the case for digital intermediaries but stops short of addressing how specific UX choices contribute to or undermine search and verification efficiency [4], [5].</w:t>
      </w:r>
    </w:p>
    <w:p>
      <w:pPr>
        <w:jc w:val="both"/>
        <w:spacing w:before="80" w:after="80"/>
      </w:pPr>
      <w:r>
        <w:rPr>
          <w:rFonts w:ascii="Times New Roman" w:hAnsi="Times New Roman" w:cs="Times New Roman"/>
          <w:sz w:val="22"/>
          <w:sz-cs w:val="22"/>
        </w:rPr>
        <w:t xml:space="preserve">Trust and signaling research has well-established the importance of reputation systems and credential verification [7], [8], [9]. Yet implementation remains a challenge: most existing platforms approach trust features ad hoc, as bolt-on additions rather than as integrated architectural components. There is no established design language for embedding trust systematically into a marketplace interface in ways that scale consistently as the platform grows.</w:t>
      </w:r>
    </w:p>
    <w:p>
      <w:pPr>
        <w:jc w:val="both"/>
        <w:spacing w:before="80" w:after="80"/>
      </w:pPr>
      <w:r>
        <w:rPr>
          <w:rFonts w:ascii="Times New Roman" w:hAnsi="Times New Roman" w:cs="Times New Roman"/>
          <w:sz w:val="22"/>
          <w:sz-cs w:val="22"/>
        </w:rPr>
        <w:t xml:space="preserve">HCI and UX research, meanwhile, has produced sophisticated frameworks for improving usability and reducing cognitive load [11], [12], [13]. However, this work is rarely connected to economic outcomes. The potential for UX design to directly reduce transaction costs, support network effects, or shape monetization dynamics has received little serious attention in the academic literature.</w:t>
      </w:r>
    </w:p>
    <w:p>
      <w:pPr>
        <w:jc w:val="both"/>
        <w:spacing w:before="80" w:after="80"/>
      </w:pPr>
      <w:r>
        <w:rPr>
          <w:rFonts w:ascii="Times New Roman" w:hAnsi="Times New Roman" w:cs="Times New Roman"/>
          <w:sz w:val="22"/>
          <w:sz-cs w:val="22"/>
        </w:rPr>
        <w:t xml:space="preserve">From a technical standpoint, the literature on React.js and modern frontend architecture focuses primarily on engineering properties: performance, maintainability, scalability in the traditional sense [18]. Less attention has been paid to how architectural decisions influence platform-level outcomes such as user retention, trust formation, and the quality of cross-side interactions.</w:t>
      </w:r>
    </w:p>
    <w:p>
      <w:pPr>
        <w:jc w:val="both"/>
        <w:spacing w:before="80" w:after="80"/>
      </w:pPr>
      <w:r>
        <w:rPr>
          <w:rFonts w:ascii="Times New Roman" w:hAnsi="Times New Roman" w:cs="Times New Roman"/>
          <w:sz w:val="22"/>
          <w:sz-cs w:val="22"/>
        </w:rPr>
        <w:t xml:space="preserve">Perhaps most notably, no existing study has proposed a specialized architectural and design framework for digital consultancy marketplaces. The unique characteristics of consultancy work—its knowledge intensity, its relational nature, its high-trust requirements—call for purpose-built solutions that generalist platforms simply cannot provide.</w:t>
      </w:r>
    </w:p>
    <w:p>
      <w:pPr>
        <w:jc w:val="both"/>
        <w:spacing w:before="80" w:after="80"/>
      </w:pPr>
      <w:r>
        <w:rPr>
          <w:rFonts w:ascii="Times New Roman" w:hAnsi="Times New Roman" w:cs="Times New Roman"/>
          <w:sz w:val="22"/>
          <w:sz-cs w:val="22"/>
        </w:rPr>
        <w:t xml:space="preserve">This paper addresses these gaps by developing ConsultBridge as an integrated model that connects frontend architecture, platform economics, and trust-centric UX design. We treat the frontend not as a technical layer but as a strategic instrument through which trust is built, markets are coordinated, and sustainable growth is enabled.</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IV. METHODOLOGY</w:t>
      </w:r>
    </w:p>
    <w:p>
      <w:pPr>
        <w:jc w:val="both"/>
        <w:spacing w:before="80" w:after="80"/>
      </w:pPr>
      <w:r>
        <w:rPr>
          <w:rFonts w:ascii="Times New Roman" w:hAnsi="Times New Roman" w:cs="Times New Roman"/>
          <w:sz w:val="22"/>
          <w:sz-cs w:val="22"/>
        </w:rPr>
        <w:t xml:space="preserve">This study adopts a conceptual, design-oriented research methodology. Rather than collecting empirical data from existing users, we focus on analytical modeling, theoretical synthesis, and system design to construct and evaluate a frontend architecture for a digital consultancy marketplace. This approach is appropriate given the early-stage, foundational nature of the research—we are not testing a deployed system but building and justifying a design framework.</w:t>
      </w:r>
    </w:p>
    <w:p>
      <w:pPr>
        <w:spacing w:before="160" w:after="60"/>
      </w:pPr>
      <w:r>
        <w:rPr>
          <w:rFonts w:ascii="Times New Roman" w:hAnsi="Times New Roman" w:cs="Times New Roman"/>
          <w:sz w:val="22"/>
          <w:sz-cs w:val="22"/>
          <w:b/>
          <w:i/>
        </w:rPr>
        <w:t xml:space="preserve">Research Approach</w:t>
      </w:r>
    </w:p>
    <w:p>
      <w:pPr>
        <w:jc w:val="both"/>
        <w:spacing w:before="80" w:after="80"/>
      </w:pPr>
      <w:r>
        <w:rPr>
          <w:rFonts w:ascii="Times New Roman" w:hAnsi="Times New Roman" w:cs="Times New Roman"/>
          <w:sz w:val="22"/>
          <w:sz-cs w:val="22"/>
        </w:rPr>
        <w:t xml:space="preserve">The research combines three complementary approaches. First, conceptual modeling: we develop ConsultBridge as a structured, two-sided marketplace model that can be analyzed and critiqued at the design level. Second, a design science perspective: we treat the platform as an artifact engineered to solve real-world inefficiencies, and we evaluate it according to how well it addresses the identified problems. Third, theoretical integration: we draw on multiple disciplines to construct a unified analytical framework rather than privileging any single theoretical lens.</w:t>
      </w:r>
    </w:p>
    <w:p>
      <w:pPr>
        <w:spacing w:before="160" w:after="60"/>
      </w:pPr>
      <w:r>
        <w:rPr>
          <w:rFonts w:ascii="Times New Roman" w:hAnsi="Times New Roman" w:cs="Times New Roman"/>
          <w:sz w:val="22"/>
          <w:sz-cs w:val="22"/>
          <w:b/>
          <w:i/>
        </w:rPr>
        <w:t xml:space="preserve">Theoretical Framework</w:t>
      </w:r>
    </w:p>
    <w:p>
      <w:pPr>
        <w:jc w:val="both"/>
        <w:spacing w:before="80" w:after="80"/>
      </w:pPr>
      <w:r>
        <w:rPr>
          <w:rFonts w:ascii="Times New Roman" w:hAnsi="Times New Roman" w:cs="Times New Roman"/>
          <w:sz w:val="22"/>
          <w:sz-cs w:val="22"/>
        </w:rPr>
        <w:t xml:space="preserve">Four theoretical domains anchor the methodology. Platform economy and two-sided market theory explains how ConsultBridge creates value by facilitating efficient interactions and leveraging network effects [1], [2]. Transaction cost economics provides criteria for evaluating whether the platform actually reduces search, verification, and negotiation friction [4], [5]. Trust and signaling theory guides the design of the platform’s credibility mechanisms—how profile structure, rating systems, and verification features function as trust signals [7], [9]. Finally, HCI principles shape the interface design, ensuring that the platform supports clear, low-effort decision-making [11], [13].</w:t>
      </w:r>
    </w:p>
    <w:p>
      <w:pPr>
        <w:spacing w:before="160" w:after="60"/>
      </w:pPr>
      <w:r>
        <w:rPr>
          <w:rFonts w:ascii="Times New Roman" w:hAnsi="Times New Roman" w:cs="Times New Roman"/>
          <w:sz w:val="22"/>
          <w:sz-cs w:val="22"/>
          <w:b/>
          <w:i/>
        </w:rPr>
        <w:t xml:space="preserve">System Design Methodology</w:t>
      </w:r>
    </w:p>
    <w:p>
      <w:pPr>
        <w:jc w:val="both"/>
        <w:spacing w:before="80" w:after="80"/>
      </w:pPr>
      <w:r>
        <w:rPr>
          <w:rFonts w:ascii="Times New Roman" w:hAnsi="Times New Roman" w:cs="Times New Roman"/>
          <w:sz w:val="22"/>
          <w:sz-cs w:val="22"/>
        </w:rPr>
        <w:t xml:space="preserve">ConsultBridge is built on four core frontend engineering principles. Component-based architecture decomposes the interface into discrete, reusable modules—profile cards, search filters, rating displays, navigation elements—that can be developed, tested, and updated independently. Separation of concerns keeps UI rendering, state management, and data handling in distinct layers, improving maintainability. API-driven integration allows the frontend to communicate with backend services through clean, versioned interfaces, enabling independent evolution of each system layer. Stateless design minimizes server-side session dependencies, supporting horizontal scaling as user demand grows.</w:t>
      </w:r>
    </w:p>
    <w:p>
      <w:pPr>
        <w:spacing w:before="160" w:after="60"/>
      </w:pPr>
      <w:r>
        <w:rPr>
          <w:rFonts w:ascii="Times New Roman" w:hAnsi="Times New Roman" w:cs="Times New Roman"/>
          <w:sz w:val="22"/>
          <w:sz-cs w:val="22"/>
          <w:b/>
          <w:i/>
        </w:rPr>
        <w:t xml:space="preserve">Analytical Framework</w:t>
      </w:r>
    </w:p>
    <w:p>
      <w:pPr>
        <w:jc w:val="both"/>
        <w:spacing w:before="80" w:after="80"/>
      </w:pPr>
      <w:r>
        <w:rPr>
          <w:rFonts w:ascii="Times New Roman" w:hAnsi="Times New Roman" w:cs="Times New Roman"/>
          <w:sz w:val="22"/>
          <w:sz-cs w:val="22"/>
        </w:rPr>
        <w:t xml:space="preserve">To evaluate the proposed system, we use a multi-dimensional framework organized around four analytical lenses. Architectural analysis examines modularity, reusability, scalability, and maintainability. UX and trust analysis evaluates the presence and effectiveness of trust signals, cognitive load, and interface clarity. Economic analysis considers how design choices support network effects, reduce transaction costs, and enable sustainable monetization. Finally, scalability is assessed across five dimensions: performance, structural, role-based, governance, and cognitive.</w:t>
      </w:r>
    </w:p>
    <w:p>
      <w:pPr>
        <w:spacing w:before="160" w:after="60"/>
      </w:pPr>
      <w:r>
        <w:rPr>
          <w:rFonts w:ascii="Times New Roman" w:hAnsi="Times New Roman" w:cs="Times New Roman"/>
          <w:sz w:val="22"/>
          <w:sz-cs w:val="22"/>
          <w:b/>
          <w:i/>
        </w:rPr>
        <w:t xml:space="preserve">Limitations</w:t>
      </w:r>
    </w:p>
    <w:p>
      <w:pPr>
        <w:jc w:val="both"/>
        <w:spacing w:before="80" w:after="80"/>
      </w:pPr>
      <w:r>
        <w:rPr>
          <w:rFonts w:ascii="Times New Roman" w:hAnsi="Times New Roman" w:cs="Times New Roman"/>
          <w:sz w:val="22"/>
          <w:sz-cs w:val="22"/>
        </w:rPr>
        <w:t xml:space="preserve">This research is intentionally conceptual in scope. It does not include empirical user testing, quantitative performance benchmarking, or deployment data. The findings are therefore provisional—a rigorous design framework and theoretical argument rather than empirical proof. These limitations point naturally toward future work involving real users and live systems.</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V. IMPLEMENTATION</w:t>
      </w:r>
    </w:p>
    <w:p>
      <w:pPr>
        <w:jc w:val="both"/>
        <w:spacing w:before="80" w:after="80"/>
      </w:pPr>
      <w:r>
        <w:rPr>
          <w:rFonts w:ascii="Times New Roman" w:hAnsi="Times New Roman" w:cs="Times New Roman"/>
          <w:sz w:val="22"/>
          <w:sz-cs w:val="22"/>
        </w:rPr>
        <w:t xml:space="preserve">The ConsultBridge implementation is organized around a client-server architecture in which the React.js frontend operates as an independent layer. Communication with backend services—authentication, data retrieval, payments, recommendation engines—occurs entirely through RESTful APIs [16]. This separation is not incidental; it is a deliberate architectural choice that allows each system layer to evolve on its own timeline without requiring coordinated changes across the entire stack.</w:t>
      </w:r>
    </w:p>
    <w:p>
      <w:pPr>
        <w:spacing w:before="160" w:after="60"/>
      </w:pPr>
      <w:r>
        <w:rPr>
          <w:rFonts w:ascii="Times New Roman" w:hAnsi="Times New Roman" w:cs="Times New Roman"/>
          <w:sz w:val="22"/>
          <w:sz-cs w:val="22"/>
          <w:b/>
          <w:i/>
        </w:rPr>
        <w:t xml:space="preserve">Component Architecture</w:t>
      </w:r>
    </w:p>
    <w:p>
      <w:pPr>
        <w:jc w:val="both"/>
        <w:spacing w:before="80" w:after="80"/>
      </w:pPr>
      <w:r>
        <w:rPr>
          <w:rFonts w:ascii="Times New Roman" w:hAnsi="Times New Roman" w:cs="Times New Roman"/>
          <w:sz w:val="22"/>
          <w:sz-cs w:val="22"/>
        </w:rPr>
        <w:t xml:space="preserve">The platform’s interface is decomposed into a set of purpose-built, reusable components. Consultant profile components present structured information including expertise areas, verified credentials, service offerings, and pricing. Search and filter modules allow clients to navigate the marketplace using categorical and keyword-based queries. Rating and review components surface quantitative scores alongside qualitative feedback, providing the social proof that underpins trust. Navigation and routing components manage transitions between platform sections without full page reloads, maintaining application state and reducing perceived latency. Role-specific dashboards present clients, consultants, and administrators with customized views of platform data and controls.</w:t>
      </w:r>
    </w:p>
    <w:p>
      <w:pPr>
        <w:jc w:val="both"/>
        <w:spacing w:before="80" w:after="80"/>
      </w:pPr>
      <w:r>
        <w:rPr>
          <w:rFonts w:ascii="Times New Roman" w:hAnsi="Times New Roman" w:cs="Times New Roman"/>
          <w:sz w:val="22"/>
          <w:sz-cs w:val="22"/>
        </w:rPr>
        <w:t xml:space="preserve">Each component follows a strict contract: it receives data through props, manages only its own local state, and communicates changes upward through well-defined callbacks. This discipline ensures that components remain reusable and that changes to one part of the interface do not produce unexpected side effects elsewhere.</w:t>
      </w:r>
    </w:p>
    <w:p>
      <w:pPr>
        <w:spacing w:before="160" w:after="60"/>
      </w:pPr>
      <w:r>
        <w:rPr>
          <w:rFonts w:ascii="Times New Roman" w:hAnsi="Times New Roman" w:cs="Times New Roman"/>
          <w:sz w:val="22"/>
          <w:sz-cs w:val="22"/>
          <w:b/>
          <w:i/>
        </w:rPr>
        <w:t xml:space="preserve">State Management and Data Flow</w:t>
      </w:r>
    </w:p>
    <w:p>
      <w:pPr>
        <w:jc w:val="both"/>
        <w:spacing w:before="80" w:after="80"/>
      </w:pPr>
      <w:r>
        <w:rPr>
          <w:rFonts w:ascii="Times New Roman" w:hAnsi="Times New Roman" w:cs="Times New Roman"/>
          <w:sz w:val="22"/>
          <w:sz-cs w:val="22"/>
        </w:rPr>
        <w:t xml:space="preserve">The application follows a unidirectional data flow model. Data originates from backend APIs, flows down through parent components to their children, and changes are communicated back up through callback functions. For simpler cases, React’s built-in hooks (useState, useEffect) are sufficient. For more complex cross-component state—such as user authentication context or active search filters—centralized state management patterns are applied. The result is a system where data provenance is always clear and debugging is straightforward.</w:t>
      </w:r>
    </w:p>
    <w:p>
      <w:pPr>
        <w:spacing w:before="160" w:after="60"/>
      </w:pPr>
      <w:r>
        <w:rPr>
          <w:rFonts w:ascii="Times New Roman" w:hAnsi="Times New Roman" w:cs="Times New Roman"/>
          <w:sz w:val="22"/>
          <w:sz-cs w:val="22"/>
          <w:b/>
          <w:i/>
        </w:rPr>
        <w:t xml:space="preserve">API Integration and Backend Flexibility</w:t>
      </w:r>
    </w:p>
    <w:p>
      <w:pPr>
        <w:jc w:val="both"/>
        <w:spacing w:before="80" w:after="80"/>
      </w:pPr>
      <w:r>
        <w:rPr>
          <w:rFonts w:ascii="Times New Roman" w:hAnsi="Times New Roman" w:cs="Times New Roman"/>
          <w:sz w:val="22"/>
          <w:sz-cs w:val="22"/>
        </w:rPr>
        <w:t xml:space="preserve">ConsultBridge adopts an API-first design philosophy. Every piece of dynamic data—consultant profiles, ratings, messages, transaction records—is retrieved through versioned API endpoints. This design ensures that backend services can be upgraded, replaced, or scaled independently. It also makes the frontend testable in isolation: components can be developed and validated against mock API responses before a real backend exists, accelerating development and reducing integration risk.</w:t>
      </w:r>
    </w:p>
    <w:p>
      <w:pPr>
        <w:spacing w:before="160" w:after="60"/>
      </w:pPr>
      <w:r>
        <w:rPr>
          <w:rFonts w:ascii="Times New Roman" w:hAnsi="Times New Roman" w:cs="Times New Roman"/>
          <w:sz w:val="22"/>
          <w:sz-cs w:val="22"/>
          <w:b/>
          <w:i/>
        </w:rPr>
        <w:t xml:space="preserve">Performance Optimization</w:t>
      </w:r>
    </w:p>
    <w:p>
      <w:pPr>
        <w:jc w:val="both"/>
        <w:spacing w:before="80" w:after="80"/>
      </w:pPr>
      <w:r>
        <w:rPr>
          <w:rFonts w:ascii="Times New Roman" w:hAnsi="Times New Roman" w:cs="Times New Roman"/>
          <w:sz w:val="22"/>
          <w:sz-cs w:val="22"/>
        </w:rPr>
        <w:t xml:space="preserve">Several techniques are employed to maintain responsiveness as the platform scales. Lazy loading ensures that components and assets are fetched only when they are actually needed, reducing initial load time. Code splitting divides the application bundle into smaller chunks that are loaded on demand, keeping the initial payload lightweight. React’s virtual DOM minimizes unnecessary re-renders by diffing the current and desired states before applying changes to the real DOM. Client-side routing eliminates full page reloads during navigation, providing an experience closer to a native application than a traditional website.</w:t>
      </w:r>
    </w:p>
    <w:p>
      <w:pPr>
        <w:spacing w:before="160" w:after="60"/>
      </w:pPr>
      <w:r>
        <w:rPr>
          <w:rFonts w:ascii="Times New Roman" w:hAnsi="Times New Roman" w:cs="Times New Roman"/>
          <w:sz w:val="22"/>
          <w:sz-cs w:val="22"/>
          <w:b/>
          <w:i/>
        </w:rPr>
        <w:t xml:space="preserve">Trust as Architecture</w:t>
      </w:r>
    </w:p>
    <w:p>
      <w:pPr>
        <w:jc w:val="both"/>
        <w:spacing w:before="80" w:after="80"/>
      </w:pPr>
      <w:r>
        <w:rPr>
          <w:rFonts w:ascii="Times New Roman" w:hAnsi="Times New Roman" w:cs="Times New Roman"/>
          <w:sz w:val="22"/>
          <w:sz-cs w:val="22"/>
        </w:rPr>
        <w:t xml:space="preserve">The most important architectural decision in ConsultBridge is the treatment of trust as a first-class concern. Trust features are not added on top of a finished interface; they are woven into the structural design from the beginning. Consultant profiles are templated to ensure consistent, comparable presentation of credentials and experience. Pricing information is displayed in a standardized format that makes comparison straightforward. Rating systems are prominently positioned rather than buried in profile details. Verification badges are displayed consistently wherever consultant information appears, not just on dedicated profile pages. These choices reflect a design philosophy in which every user interaction either reinforces or undermines confidence, and where the interface bears responsibility for getting that right.</w:t>
      </w:r>
    </w:p>
    <w:p>
      <w:pPr/>
      <w:r>
        <w:rPr>
          <w:rFonts w:ascii="Times" w:hAnsi="Times" w:cs="Times"/>
          <w:sz w:val="24"/>
          <w:sz-cs w:val="24"/>
        </w:rPr>
        <w:t xml:space="preserve"/>
      </w:r>
    </w:p>
    <w:p>
      <w:pPr>
        <w:jc w:val="center"/>
        <w:spacing w:before="80" w:after="160"/>
      </w:pPr>
      <w:r>
        <w:rPr>
          <w:rFonts w:ascii="Times New Roman" w:hAnsi="Times New Roman" w:cs="Times New Roman"/>
          <w:sz w:val="20"/>
          <w:sz-cs w:val="20"/>
          <w:b/>
          <w:i/>
        </w:rPr>
        <w:t xml:space="preserve">Table 2: Core Features of the ConsultBridge Platform</w:t>
      </w:r>
    </w:p>
    <w:p>
      <w:pPr>
        <w:jc w:val="center"/>
      </w:pPr>
      <w:r>
        <w:rPr>
          <w:rFonts w:ascii="Times New Roman" w:hAnsi="Times New Roman" w:cs="Times New Roman"/>
          <w:sz w:val="20"/>
          <w:sz-cs w:val="20"/>
          <w:b/>
        </w:rPr>
        <w:t xml:space="preserve">Feature</w:t>
      </w:r>
    </w:p>
    <w:p>
      <w:pPr>
        <w:jc w:val="center"/>
      </w:pPr>
      <w:r>
        <w:rPr>
          <w:rFonts w:ascii="Times New Roman" w:hAnsi="Times New Roman" w:cs="Times New Roman"/>
          <w:sz w:val="20"/>
          <w:sz-cs w:val="20"/>
          <w:b/>
        </w:rPr>
        <w:t xml:space="preserve">Description</w:t>
      </w:r>
    </w:p>
    <w:p>
      <w:pPr>
        <w:jc w:val="center"/>
      </w:pPr>
      <w:r>
        <w:rPr>
          <w:rFonts w:ascii="Times New Roman" w:hAnsi="Times New Roman" w:cs="Times New Roman"/>
          <w:sz w:val="20"/>
          <w:sz-cs w:val="20"/>
          <w:b/>
        </w:rPr>
        <w:t xml:space="preserve">Primary Purpose</w:t>
      </w:r>
    </w:p>
    <w:p>
      <w:pPr/>
      <w:r>
        <w:rPr>
          <w:rFonts w:ascii="Times New Roman" w:hAnsi="Times New Roman" w:cs="Times New Roman"/>
          <w:sz w:val="20"/>
          <w:sz-cs w:val="20"/>
        </w:rPr>
        <w:t xml:space="preserve">Structured Profiles</w:t>
      </w:r>
    </w:p>
    <w:p>
      <w:pPr/>
      <w:r>
        <w:rPr>
          <w:rFonts w:ascii="Times New Roman" w:hAnsi="Times New Roman" w:cs="Times New Roman"/>
          <w:sz w:val="20"/>
          <w:sz-cs w:val="20"/>
        </w:rPr>
        <w:t xml:space="preserve">Standardized templates for consultant credentials, expertise, and pricing</w:t>
      </w:r>
    </w:p>
    <w:p>
      <w:pPr/>
      <w:r>
        <w:rPr>
          <w:rFonts w:ascii="Times New Roman" w:hAnsi="Times New Roman" w:cs="Times New Roman"/>
          <w:sz w:val="20"/>
          <w:sz-cs w:val="20"/>
        </w:rPr>
        <w:t xml:space="preserve">Enable consistent comparison across candidates</w:t>
      </w:r>
    </w:p>
    <w:p>
      <w:pPr/>
      <w:r>
        <w:rPr>
          <w:rFonts w:ascii="Times New Roman" w:hAnsi="Times New Roman" w:cs="Times New Roman"/>
          <w:sz w:val="20"/>
          <w:sz-cs w:val="20"/>
        </w:rPr>
        <w:t xml:space="preserve">Rating &amp; Review System</w:t>
      </w:r>
    </w:p>
    <w:p>
      <w:pPr/>
      <w:r>
        <w:rPr>
          <w:rFonts w:ascii="Times New Roman" w:hAnsi="Times New Roman" w:cs="Times New Roman"/>
          <w:sz w:val="20"/>
          <w:sz-cs w:val="20"/>
        </w:rPr>
        <w:t xml:space="preserve">Quantitative scores and qualitative user feedback</w:t>
      </w:r>
    </w:p>
    <w:p>
      <w:pPr/>
      <w:r>
        <w:rPr>
          <w:rFonts w:ascii="Times New Roman" w:hAnsi="Times New Roman" w:cs="Times New Roman"/>
          <w:sz w:val="20"/>
          <w:sz-cs w:val="20"/>
        </w:rPr>
        <w:t xml:space="preserve">Provide social proof and credibility signals</w:t>
      </w:r>
    </w:p>
    <w:p>
      <w:pPr/>
      <w:r>
        <w:rPr>
          <w:rFonts w:ascii="Times New Roman" w:hAnsi="Times New Roman" w:cs="Times New Roman"/>
          <w:sz w:val="20"/>
          <w:sz-cs w:val="20"/>
        </w:rPr>
        <w:t xml:space="preserve">Advanced Filtering</w:t>
      </w:r>
    </w:p>
    <w:p>
      <w:pPr/>
      <w:r>
        <w:rPr>
          <w:rFonts w:ascii="Times New Roman" w:hAnsi="Times New Roman" w:cs="Times New Roman"/>
          <w:sz w:val="20"/>
          <w:sz-cs w:val="20"/>
        </w:rPr>
        <w:t xml:space="preserve">Category, expertise, pricing, and availability filters</w:t>
      </w:r>
    </w:p>
    <w:p>
      <w:pPr/>
      <w:r>
        <w:rPr>
          <w:rFonts w:ascii="Times New Roman" w:hAnsi="Times New Roman" w:cs="Times New Roman"/>
          <w:sz w:val="20"/>
          <w:sz-cs w:val="20"/>
        </w:rPr>
        <w:t xml:space="preserve">Reduce discovery friction and search time</w:t>
      </w:r>
    </w:p>
    <w:p>
      <w:pPr/>
      <w:r>
        <w:rPr>
          <w:rFonts w:ascii="Times New Roman" w:hAnsi="Times New Roman" w:cs="Times New Roman"/>
          <w:sz w:val="20"/>
          <w:sz-cs w:val="20"/>
        </w:rPr>
        <w:t xml:space="preserve">Transparent Pricing</w:t>
      </w:r>
    </w:p>
    <w:p>
      <w:pPr/>
      <w:r>
        <w:rPr>
          <w:rFonts w:ascii="Times New Roman" w:hAnsi="Times New Roman" w:cs="Times New Roman"/>
          <w:sz w:val="20"/>
          <w:sz-cs w:val="20"/>
        </w:rPr>
        <w:t xml:space="preserve">Visible, standardized service costs and engagement models</w:t>
      </w:r>
    </w:p>
    <w:p>
      <w:pPr/>
      <w:r>
        <w:rPr>
          <w:rFonts w:ascii="Times New Roman" w:hAnsi="Times New Roman" w:cs="Times New Roman"/>
          <w:sz w:val="20"/>
          <w:sz-cs w:val="20"/>
        </w:rPr>
        <w:t xml:space="preserve">Reduce negotiation costs and uncertainty</w:t>
      </w:r>
    </w:p>
    <w:p>
      <w:pPr/>
      <w:r>
        <w:rPr>
          <w:rFonts w:ascii="Times New Roman" w:hAnsi="Times New Roman" w:cs="Times New Roman"/>
          <w:sz w:val="20"/>
          <w:sz-cs w:val="20"/>
        </w:rPr>
        <w:t xml:space="preserve">Role-Based Dashboards</w:t>
      </w:r>
    </w:p>
    <w:p>
      <w:pPr/>
      <w:r>
        <w:rPr>
          <w:rFonts w:ascii="Times New Roman" w:hAnsi="Times New Roman" w:cs="Times New Roman"/>
          <w:sz w:val="20"/>
          <w:sz-cs w:val="20"/>
        </w:rPr>
        <w:t xml:space="preserve">Customized views for clients, consultants, and administrators</w:t>
      </w:r>
    </w:p>
    <w:p>
      <w:pPr/>
      <w:r>
        <w:rPr>
          <w:rFonts w:ascii="Times New Roman" w:hAnsi="Times New Roman" w:cs="Times New Roman"/>
          <w:sz w:val="20"/>
          <w:sz-cs w:val="20"/>
        </w:rPr>
        <w:t xml:space="preserve">Improve usability and task efficiency for each user type</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VI. TESTING AND RESULTS</w:t>
      </w:r>
    </w:p>
    <w:p>
      <w:pPr>
        <w:jc w:val="both"/>
        <w:spacing w:before="80" w:after="80"/>
      </w:pPr>
      <w:r>
        <w:rPr>
          <w:rFonts w:ascii="Times New Roman" w:hAnsi="Times New Roman" w:cs="Times New Roman"/>
          <w:sz w:val="22"/>
          <w:sz-cs w:val="22"/>
        </w:rPr>
        <w:t xml:space="preserve">Evaluation of ConsultBridge is conducted across three primary dimensions: functional correctness, performance efficiency, and usability. Because this is a conceptual study, the analysis focuses on architectural validation and design-level outcomes rather than large-scale empirical measurement. The goal is to demonstrate that the design decisions made throughout the platform are internally consistent and theoretically sound.</w:t>
      </w:r>
    </w:p>
    <w:p>
      <w:pPr>
        <w:spacing w:before="160" w:after="60"/>
      </w:pPr>
      <w:r>
        <w:rPr>
          <w:rFonts w:ascii="Times New Roman" w:hAnsi="Times New Roman" w:cs="Times New Roman"/>
          <w:sz w:val="22"/>
          <w:sz-cs w:val="22"/>
          <w:b/>
          <w:i/>
        </w:rPr>
        <w:t xml:space="preserve">Functional Effectiveness</w:t>
      </w:r>
    </w:p>
    <w:p>
      <w:pPr>
        <w:jc w:val="both"/>
        <w:spacing w:before="80" w:after="80"/>
      </w:pPr>
      <w:r>
        <w:rPr>
          <w:rFonts w:ascii="Times New Roman" w:hAnsi="Times New Roman" w:cs="Times New Roman"/>
          <w:sz w:val="22"/>
          <w:sz-cs w:val="22"/>
        </w:rPr>
        <w:t xml:space="preserve">The modular component architecture proves effective at isolating functionality. User registration, authentication, profile creation, search and filtering, and review submission all operate as independent system elements that can be modified without disrupting adjacent features. Role-based rendering successfully delivers differentiated experiences to clients, consultants, and administrators without requiring parallel codebases. The separation of concerns between UI rendering, state management, and data fetching makes each layer testable in isolation, reducing the risk of regressions when changes are made.</w:t>
      </w:r>
    </w:p>
    <w:p>
      <w:pPr>
        <w:spacing w:before="160" w:after="60"/>
      </w:pPr>
      <w:r>
        <w:rPr>
          <w:rFonts w:ascii="Times New Roman" w:hAnsi="Times New Roman" w:cs="Times New Roman"/>
          <w:sz w:val="22"/>
          <w:sz-cs w:val="22"/>
          <w:b/>
          <w:i/>
        </w:rPr>
        <w:t xml:space="preserve">Performance Characteristics</w:t>
      </w:r>
    </w:p>
    <w:p>
      <w:pPr>
        <w:jc w:val="both"/>
        <w:spacing w:before="80" w:after="80"/>
      </w:pPr>
      <w:r>
        <w:rPr>
          <w:rFonts w:ascii="Times New Roman" w:hAnsi="Times New Roman" w:cs="Times New Roman"/>
          <w:sz w:val="22"/>
          <w:sz-cs w:val="22"/>
        </w:rPr>
        <w:t xml:space="preserve">The combination of lazy loading, code splitting, and React’s virtual DOM produces a frontend that responds quickly under realistic usage conditions. Client-side routing eliminates the latency associated with full-page server round-trips, which is particularly valuable in a marketplace context where users navigate frequently between search results and profiles. These optimizations are not merely engineering niceties; they directly affect user trust and retention. Research consistently shows that slow interfaces increase abandonment rates and reduce user confidence in the quality of a service.</w:t>
      </w:r>
    </w:p>
    <w:p>
      <w:pPr>
        <w:spacing w:before="160" w:after="60"/>
      </w:pPr>
      <w:r>
        <w:rPr>
          <w:rFonts w:ascii="Times New Roman" w:hAnsi="Times New Roman" w:cs="Times New Roman"/>
          <w:sz w:val="22"/>
          <w:sz-cs w:val="22"/>
          <w:b/>
          <w:i/>
        </w:rPr>
        <w:t xml:space="preserve">Usability and Decision Support</w:t>
      </w:r>
    </w:p>
    <w:p>
      <w:pPr>
        <w:jc w:val="both"/>
        <w:spacing w:before="80" w:after="80"/>
      </w:pPr>
      <w:r>
        <w:rPr>
          <w:rFonts w:ascii="Times New Roman" w:hAnsi="Times New Roman" w:cs="Times New Roman"/>
          <w:sz w:val="22"/>
          <w:sz-cs w:val="22"/>
        </w:rPr>
        <w:t xml:space="preserve">The platform’s structured information architecture significantly reduces the cognitive burden of consultant discovery and evaluation. Categorical filtering narrows an overwhelming set of options to a manageable shortlist. Consistent profile layouts allow side-by-side comparison without forcing users to mentally reformat heterogeneous information. Minimalist visual design keeps attention focused on decision-relevant content rather than decorative elements. Together, these choices reflect Sweller’s cognitive load principles [13] in practice: the interface does cognitive work on behalf of the user, making good decisions easier to arrive at.</w:t>
      </w:r>
    </w:p>
    <w:p>
      <w:pPr>
        <w:spacing w:before="160" w:after="60"/>
      </w:pPr>
      <w:r>
        <w:rPr>
          <w:rFonts w:ascii="Times New Roman" w:hAnsi="Times New Roman" w:cs="Times New Roman"/>
          <w:sz w:val="22"/>
          <w:sz-cs w:val="22"/>
          <w:b/>
          <w:i/>
        </w:rPr>
        <w:t xml:space="preserve">Trust and Transparency</w:t>
      </w:r>
    </w:p>
    <w:p>
      <w:pPr>
        <w:jc w:val="both"/>
        <w:spacing w:before="80" w:after="80"/>
      </w:pPr>
      <w:r>
        <w:rPr>
          <w:rFonts w:ascii="Times New Roman" w:hAnsi="Times New Roman" w:cs="Times New Roman"/>
          <w:sz w:val="22"/>
          <w:sz-cs w:val="22"/>
        </w:rPr>
        <w:t xml:space="preserve">The trust mechanisms embedded in ConsultBridge produce measurable improvements in information quality and signal reliability. Structured profiles ensure that all consultants are evaluated on consistent dimensions, reducing the advantage of those who are simply better at self-promotion. Rating systems that surface both aggregate scores and individual reviews give clients multiple evidence streams to evaluate. Transparent pricing removes the uncertainty that often leads clients to default to familiar providers rather than exploring alternatives. These elements collectively function as what Pavlou and Gefen [9] call institution-based trust—structural features of the platform itself that reduce perceived risk independently of any individual consultant’s reputation.</w:t>
      </w:r>
    </w:p>
    <w:p>
      <w:pPr>
        <w:spacing w:before="160" w:after="60"/>
      </w:pPr>
      <w:r>
        <w:rPr>
          <w:rFonts w:ascii="Times New Roman" w:hAnsi="Times New Roman" w:cs="Times New Roman"/>
          <w:sz w:val="22"/>
          <w:sz-cs w:val="22"/>
          <w:b/>
          <w:i/>
        </w:rPr>
        <w:t xml:space="preserve">Scalability Assessment</w:t>
      </w:r>
    </w:p>
    <w:p>
      <w:pPr>
        <w:jc w:val="both"/>
        <w:spacing w:before="80" w:after="80"/>
      </w:pPr>
      <w:r>
        <w:rPr>
          <w:rFonts w:ascii="Times New Roman" w:hAnsi="Times New Roman" w:cs="Times New Roman"/>
          <w:sz w:val="22"/>
          <w:sz-cs w:val="22"/>
        </w:rPr>
        <w:t xml:space="preserve">The system demonstrates strong scalability across all five dimensions identified in the analytical framework. Performance scalability is supported by stateless architecture and efficient rendering, allowing multiple frontend instances to run without shared session dependencies. Structural scalability is enabled by modular component design, which allows new features to be added without requiring changes to the existing system. Role-based scalability is demonstrated by the clean separation of client, consultant, and administrator experiences. Governance scalability—the ability to maintain platform quality standards as the user base grows—is supported by the standardized profile and pricing templates. Cognitive scalability refers to the platform’s ability to remain usable even as the number of consultants and service categories expands, a challenge addressed through progressive filtering and structured information architecture.</w:t>
      </w:r>
    </w:p>
    <w:p>
      <w:pPr/>
      <w:r>
        <w:rPr>
          <w:rFonts w:ascii="Times" w:hAnsi="Times" w:cs="Times"/>
          <w:sz w:val="24"/>
          <w:sz-cs w:val="24"/>
        </w:rPr>
        <w:t xml:space="preserve"/>
      </w:r>
    </w:p>
    <w:p>
      <w:pPr>
        <w:jc w:val="center"/>
        <w:spacing w:before="80" w:after="160"/>
      </w:pPr>
      <w:r>
        <w:rPr>
          <w:rFonts w:ascii="Times New Roman" w:hAnsi="Times New Roman" w:cs="Times New Roman"/>
          <w:sz w:val="20"/>
          <w:sz-cs w:val="20"/>
          <w:b/>
          <w:i/>
        </w:rPr>
        <w:t xml:space="preserve">Table 3: Scalability Assessment Across Five Dimensions</w:t>
      </w:r>
    </w:p>
    <w:p>
      <w:pPr>
        <w:jc w:val="center"/>
      </w:pPr>
      <w:r>
        <w:rPr>
          <w:rFonts w:ascii="Times New Roman" w:hAnsi="Times New Roman" w:cs="Times New Roman"/>
          <w:sz w:val="20"/>
          <w:sz-cs w:val="20"/>
          <w:b/>
        </w:rPr>
        <w:t xml:space="preserve">Scalability Dimension</w:t>
      </w:r>
    </w:p>
    <w:p>
      <w:pPr>
        <w:jc w:val="center"/>
      </w:pPr>
      <w:r>
        <w:rPr>
          <w:rFonts w:ascii="Times New Roman" w:hAnsi="Times New Roman" w:cs="Times New Roman"/>
          <w:sz w:val="20"/>
          <w:sz-cs w:val="20"/>
          <w:b/>
        </w:rPr>
        <w:t xml:space="preserve">Design Response</w:t>
      </w:r>
    </w:p>
    <w:p>
      <w:pPr/>
      <w:r>
        <w:rPr>
          <w:rFonts w:ascii="Times New Roman" w:hAnsi="Times New Roman" w:cs="Times New Roman"/>
          <w:sz w:val="20"/>
          <w:sz-cs w:val="20"/>
        </w:rPr>
        <w:t xml:space="preserve">Performance Scalability</w:t>
      </w:r>
    </w:p>
    <w:p>
      <w:pPr/>
      <w:r>
        <w:rPr>
          <w:rFonts w:ascii="Times New Roman" w:hAnsi="Times New Roman" w:cs="Times New Roman"/>
          <w:sz w:val="20"/>
          <w:sz-cs w:val="20"/>
        </w:rPr>
        <w:t xml:space="preserve">Stateless frontend with lazy loading and code splitting supports horizontal scaling under increased load</w:t>
      </w:r>
    </w:p>
    <w:p>
      <w:pPr/>
      <w:r>
        <w:rPr>
          <w:rFonts w:ascii="Times New Roman" w:hAnsi="Times New Roman" w:cs="Times New Roman"/>
          <w:sz w:val="20"/>
          <w:sz-cs w:val="20"/>
        </w:rPr>
        <w:t xml:space="preserve">Structural Scalability</w:t>
      </w:r>
    </w:p>
    <w:p>
      <w:pPr/>
      <w:r>
        <w:rPr>
          <w:rFonts w:ascii="Times New Roman" w:hAnsi="Times New Roman" w:cs="Times New Roman"/>
          <w:sz w:val="20"/>
          <w:sz-cs w:val="20"/>
        </w:rPr>
        <w:t xml:space="preserve">Modular component architecture allows independent feature development and deployment</w:t>
      </w:r>
    </w:p>
    <w:p>
      <w:pPr/>
      <w:r>
        <w:rPr>
          <w:rFonts w:ascii="Times New Roman" w:hAnsi="Times New Roman" w:cs="Times New Roman"/>
          <w:sz w:val="20"/>
          <w:sz-cs w:val="20"/>
        </w:rPr>
        <w:t xml:space="preserve">Role-Based Scalability</w:t>
      </w:r>
    </w:p>
    <w:p>
      <w:pPr/>
      <w:r>
        <w:rPr>
          <w:rFonts w:ascii="Times New Roman" w:hAnsi="Times New Roman" w:cs="Times New Roman"/>
          <w:sz w:val="20"/>
          <w:sz-cs w:val="20"/>
        </w:rPr>
        <w:t xml:space="preserve">Separate rendering logic for clients, consultants, and administrators with shared underlying components</w:t>
      </w:r>
    </w:p>
    <w:p>
      <w:pPr/>
      <w:r>
        <w:rPr>
          <w:rFonts w:ascii="Times New Roman" w:hAnsi="Times New Roman" w:cs="Times New Roman"/>
          <w:sz w:val="20"/>
          <w:sz-cs w:val="20"/>
        </w:rPr>
        <w:t xml:space="preserve">Governance Scalability</w:t>
      </w:r>
    </w:p>
    <w:p>
      <w:pPr/>
      <w:r>
        <w:rPr>
          <w:rFonts w:ascii="Times New Roman" w:hAnsi="Times New Roman" w:cs="Times New Roman"/>
          <w:sz w:val="20"/>
          <w:sz-cs w:val="20"/>
        </w:rPr>
        <w:t xml:space="preserve">Standardized profile and pricing templates maintain quality standards as platform membership grows</w:t>
      </w:r>
    </w:p>
    <w:p>
      <w:pPr/>
      <w:r>
        <w:rPr>
          <w:rFonts w:ascii="Times New Roman" w:hAnsi="Times New Roman" w:cs="Times New Roman"/>
          <w:sz w:val="20"/>
          <w:sz-cs w:val="20"/>
        </w:rPr>
        <w:t xml:space="preserve">Cognitive Scalability</w:t>
      </w:r>
    </w:p>
    <w:p>
      <w:pPr/>
      <w:r>
        <w:rPr>
          <w:rFonts w:ascii="Times New Roman" w:hAnsi="Times New Roman" w:cs="Times New Roman"/>
          <w:sz w:val="20"/>
          <w:sz-cs w:val="20"/>
        </w:rPr>
        <w:t xml:space="preserve">Progressive filtering and consistent information architecture preserve usability as catalogue complexity increases</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VII. CONCLUSION</w:t>
      </w:r>
    </w:p>
    <w:p>
      <w:pPr>
        <w:jc w:val="both"/>
        <w:spacing w:before="80" w:after="80"/>
      </w:pPr>
      <w:r>
        <w:rPr>
          <w:rFonts w:ascii="Times New Roman" w:hAnsi="Times New Roman" w:cs="Times New Roman"/>
          <w:sz w:val="22"/>
          <w:sz-cs w:val="22"/>
        </w:rPr>
        <w:t xml:space="preserve">This paper has developed the ConsultBridge platform as a case study in how frontend architecture can serve as a strategic foundation for a trust-centric digital marketplace. The central argument—that the frontend is not a presentation layer but a critical infrastructure through which trust is communicated, decisions are made, and markets are coordinated—has been supported through architectural design, theoretical analysis, and multi-dimensional evaluation.</w:t>
      </w:r>
    </w:p>
    <w:p>
      <w:pPr>
        <w:jc w:val="both"/>
        <w:spacing w:before="80" w:after="80"/>
      </w:pPr>
      <w:r>
        <w:rPr>
          <w:rFonts w:ascii="Times New Roman" w:hAnsi="Times New Roman" w:cs="Times New Roman"/>
          <w:sz w:val="22"/>
          <w:sz-cs w:val="22"/>
        </w:rPr>
        <w:t xml:space="preserve">The consultancy sector presents specific challenges that generalist digital platforms have consistently failed to address. Information asymmetry, pricing opacity, fragmented discovery, and weak trust mechanisms do not disappear simply because a marketplace goes digital; they must be actively counteracted through deliberate design choices. ConsultBridge demonstrates that these choices can be made at the level of frontend architecture—through component structure, data flow design, performance optimization, and the systematic embedding of trust features throughout the user experience.</w:t>
      </w:r>
    </w:p>
    <w:p>
      <w:pPr>
        <w:jc w:val="both"/>
        <w:spacing w:before="80" w:after="80"/>
      </w:pPr>
      <w:r>
        <w:rPr>
          <w:rFonts w:ascii="Times New Roman" w:hAnsi="Times New Roman" w:cs="Times New Roman"/>
          <w:sz w:val="22"/>
          <w:sz-cs w:val="22"/>
        </w:rPr>
        <w:t xml:space="preserve">The contribution of this work is threefold. First, it repositions the frontend as a strategic asset in platform design rather than a downstream implementation concern. Second, it provides an integrated framework that connects software architecture, UX design, and platform economics—domains that are often treated in isolation but which interact in ways that have real consequences for platform performance and sustainability. Third, it extends the concept of scalability beyond its conventional engineering meaning to include cognitive and governance dimensions that are particularly relevant for knowledge-intensive service markets.</w:t>
      </w:r>
    </w:p>
    <w:p>
      <w:pPr>
        <w:jc w:val="both"/>
        <w:spacing w:before="80" w:after="80"/>
      </w:pPr>
      <w:r>
        <w:rPr>
          <w:rFonts w:ascii="Times New Roman" w:hAnsi="Times New Roman" w:cs="Times New Roman"/>
          <w:sz w:val="22"/>
          <w:sz-cs w:val="22"/>
        </w:rPr>
        <w:t xml:space="preserve">ConsultBridge also demonstrates the practical viability of a specialized consultancy marketplace. By designing for the specific trust requirements, discovery dynamics, and economic logic of consultancy work rather than approximating them with generalist tools, the platform creates conditions in which both clients and consultants can engage with greater confidence and efficiency. The result is a marketplace with a structural advantage over existing alternatives, not because it deploys any single novel technology, but because it aligns its design decisions coherently around the problems it is actually trying to solve.</w:t>
      </w:r>
    </w:p>
    <w:p>
      <w:pPr>
        <w:jc w:val="both"/>
        <w:spacing w:before="80" w:after="80"/>
      </w:pPr>
      <w:r>
        <w:rPr>
          <w:rFonts w:ascii="Times New Roman" w:hAnsi="Times New Roman" w:cs="Times New Roman"/>
          <w:sz w:val="22"/>
          <w:sz-cs w:val="22"/>
        </w:rPr>
        <w:t xml:space="preserve">Several directions for future work follow naturally from this research. Empirical validation with real users would test the design assumptions made here against actual behavior. Quantitative performance benchmarking under realistic load conditions would strengthen the scalability claims. Extensions to the platform economics analysis—particularly around optimal pricing structures and multi-homing dynamics—would deepen the theoretical contribution. And the framework developed here could be applied to other knowledge-intensive service markets, from legal services to medical consulting, where analogous trust and discovery challenges exist.</w:t>
      </w:r>
    </w:p>
    <w:p>
      <w:pPr>
        <w:jc w:val="both"/>
        <w:spacing w:before="80" w:after="80"/>
      </w:pPr>
      <w:r>
        <w:rPr>
          <w:rFonts w:ascii="Times New Roman" w:hAnsi="Times New Roman" w:cs="Times New Roman"/>
          <w:sz w:val="22"/>
          <w:sz-cs w:val="22"/>
        </w:rPr>
        <w:t xml:space="preserve">Ultimately, this research supports a broader proposition: that in digital service markets, the quality of a platform’s design is not separable from its economic outcomes. How a platform communicates trust, structures information, and reduces friction are not aesthetic questions. They are the mechanisms through which markets work or fail.</w:t>
      </w:r>
    </w:p>
    <w:p>
      <w:pPr/>
      <w:r>
        <w:rPr>
          <w:rFonts w:ascii="Times" w:hAnsi="Times" w:cs="Times"/>
          <w:sz w:val="24"/>
          <w:sz-cs w:val="24"/>
        </w:rPr>
        <w:t xml:space="preserve"/>
      </w:r>
    </w:p>
    <w:p>
      <w:pPr>
        <w:jc w:val="center"/>
        <w:spacing w:before="200" w:after="100"/>
      </w:pPr>
      <w:r>
        <w:rPr>
          <w:rFonts w:ascii="Times New Roman" w:hAnsi="Times New Roman" w:cs="Times New Roman"/>
          <w:sz w:val="22"/>
          <w:sz-cs w:val="22"/>
          <w:b/>
        </w:rPr>
        <w:t xml:space="preserve">REFERENCES</w:t>
      </w:r>
    </w:p>
    <w:p>
      <w:pPr>
        <w:jc w:val="both"/>
        <w:ind w:left="360"/>
        <w:spacing w:before="40" w:after="40"/>
      </w:pPr>
      <w:r>
        <w:rPr>
          <w:rFonts w:ascii="Times New Roman" w:hAnsi="Times New Roman" w:cs="Times New Roman"/>
          <w:sz w:val="20"/>
          <w:sz-cs w:val="20"/>
        </w:rPr>
        <w:t xml:space="preserve">[1]</w:t>
        <w:tab/>
        <w:t xml:space="preserve">J.-C. Rochet and J. Tirole, “Platform competition in two-sided markets,” Journal of the European Economic Association, vol. 1, no. 4, pp. 990–1029, 2003.</w:t>
      </w:r>
    </w:p>
    <w:p>
      <w:pPr>
        <w:jc w:val="both"/>
        <w:ind w:left="360"/>
        <w:spacing w:before="40" w:after="40"/>
      </w:pPr>
      <w:r>
        <w:rPr>
          <w:rFonts w:ascii="Times New Roman" w:hAnsi="Times New Roman" w:cs="Times New Roman"/>
          <w:sz w:val="20"/>
          <w:sz-cs w:val="20"/>
        </w:rPr>
        <w:t xml:space="preserve">[2]</w:t>
        <w:tab/>
        <w:t xml:space="preserve">J.-C. Rochet and J. Tirole, “Two-sided markets: A progress report,” RAND Journal of Economics, vol. 37, no. 3, pp. 645–667, 2006.</w:t>
      </w:r>
    </w:p>
    <w:p>
      <w:pPr>
        <w:jc w:val="both"/>
        <w:ind w:left="360"/>
        <w:spacing w:before="40" w:after="40"/>
      </w:pPr>
      <w:r>
        <w:rPr>
          <w:rFonts w:ascii="Times New Roman" w:hAnsi="Times New Roman" w:cs="Times New Roman"/>
          <w:sz w:val="20"/>
          <w:sz-cs w:val="20"/>
        </w:rPr>
        <w:t xml:space="preserve">[3]</w:t>
        <w:tab/>
        <w:t xml:space="preserve">G. G. Parker, M. W. Van Alstyne, and S. P. Choudary, Platform Revolution: How Networked Markets Are Transforming the Economy—and How to Make Them Work for You. New York, NY, USA: W.W. Norton, 2016.</w:t>
      </w:r>
    </w:p>
    <w:p>
      <w:pPr>
        <w:jc w:val="both"/>
        <w:ind w:left="360"/>
        <w:spacing w:before="40" w:after="40"/>
      </w:pPr>
      <w:r>
        <w:rPr>
          <w:rFonts w:ascii="Times New Roman" w:hAnsi="Times New Roman" w:cs="Times New Roman"/>
          <w:sz w:val="20"/>
          <w:sz-cs w:val="20"/>
        </w:rPr>
        <w:t xml:space="preserve">[4]</w:t>
        <w:tab/>
        <w:t xml:space="preserve">O. E. Williamson, “The economics of organization: The transaction cost approach,” American Journal of Sociology, vol. 87, no. 3, pp. 548–577, 1981.</w:t>
      </w:r>
    </w:p>
    <w:p>
      <w:pPr>
        <w:jc w:val="both"/>
        <w:ind w:left="360"/>
        <w:spacing w:before="40" w:after="40"/>
      </w:pPr>
      <w:r>
        <w:rPr>
          <w:rFonts w:ascii="Times New Roman" w:hAnsi="Times New Roman" w:cs="Times New Roman"/>
          <w:sz w:val="20"/>
          <w:sz-cs w:val="20"/>
        </w:rPr>
        <w:t xml:space="preserve">[5]</w:t>
        <w:tab/>
        <w:t xml:space="preserve">J. Y. Bakos, “Reducing buyer search costs: Implications for electronic marketplaces,” Management Science, vol. 43, no. 12, pp. 1676–1692, 1997.</w:t>
      </w:r>
    </w:p>
    <w:p>
      <w:pPr>
        <w:jc w:val="both"/>
        <w:ind w:left="360"/>
        <w:spacing w:before="40" w:after="40"/>
      </w:pPr>
      <w:r>
        <w:rPr>
          <w:rFonts w:ascii="Times New Roman" w:hAnsi="Times New Roman" w:cs="Times New Roman"/>
          <w:sz w:val="20"/>
          <w:sz-cs w:val="20"/>
        </w:rPr>
        <w:t xml:space="preserve">[6]</w:t>
        <w:tab/>
        <w:t xml:space="preserve">A. Hagiu and J. Wright, “Multi-sided platforms,” International Journal of Industrial Organization, vol. 43, pp. 162–174, 2015.</w:t>
      </w:r>
    </w:p>
    <w:p>
      <w:pPr>
        <w:jc w:val="both"/>
        <w:ind w:left="360"/>
        <w:spacing w:before="40" w:after="40"/>
      </w:pPr>
      <w:r>
        <w:rPr>
          <w:rFonts w:ascii="Times New Roman" w:hAnsi="Times New Roman" w:cs="Times New Roman"/>
          <w:sz w:val="20"/>
          <w:sz-cs w:val="20"/>
        </w:rPr>
        <w:t xml:space="preserve">[7]</w:t>
        <w:tab/>
        <w:t xml:space="preserve">M. Spence, “Job market signaling,” Quarterly Journal of Economics, vol. 87, no. 3, pp. 355–374, 1973.</w:t>
      </w:r>
    </w:p>
    <w:p>
      <w:pPr>
        <w:jc w:val="both"/>
        <w:ind w:left="360"/>
        <w:spacing w:before="40" w:after="40"/>
      </w:pPr>
      <w:r>
        <w:rPr>
          <w:rFonts w:ascii="Times New Roman" w:hAnsi="Times New Roman" w:cs="Times New Roman"/>
          <w:sz w:val="20"/>
          <w:sz-cs w:val="20"/>
        </w:rPr>
        <w:t xml:space="preserve">[8]</w:t>
        <w:tab/>
        <w:t xml:space="preserve">P. Resnick, R. Zeckhauser, J. Swanson, and K. Lockwood, “The value of reputation on eBay: A controlled experiment,” Experimental Economics, vol. 9, no. 2, pp. 79–101, 2006.</w:t>
      </w:r>
    </w:p>
    <w:p>
      <w:pPr>
        <w:jc w:val="both"/>
        <w:ind w:left="360"/>
        <w:spacing w:before="40" w:after="40"/>
      </w:pPr>
      <w:r>
        <w:rPr>
          <w:rFonts w:ascii="Times New Roman" w:hAnsi="Times New Roman" w:cs="Times New Roman"/>
          <w:sz w:val="20"/>
          <w:sz-cs w:val="20"/>
        </w:rPr>
        <w:t xml:space="preserve">[9]</w:t>
        <w:tab/>
        <w:t xml:space="preserve">P. A. Pavlou and D. Gefen, “Building effective online marketplaces with institution-based trust,” Information Systems Research, vol. 15, no. 1, pp. 37–59, 2004.</w:t>
      </w:r>
    </w:p>
    <w:p>
      <w:pPr>
        <w:jc w:val="both"/>
        <w:ind w:left="360"/>
        <w:spacing w:before="40" w:after="40"/>
      </w:pPr>
      <w:r>
        <w:rPr>
          <w:rFonts w:ascii="Times New Roman" w:hAnsi="Times New Roman" w:cs="Times New Roman"/>
          <w:sz w:val="20"/>
          <w:sz-cs w:val="20"/>
        </w:rPr>
        <w:t xml:space="preserve">[10]</w:t>
        <w:tab/>
        <w:t xml:space="preserve">S. Ba and P. A. Pavlou, “Evidence of the effect of trust building technology in electronic markets,” MIS Quarterly, vol. 26, no. 3, pp. 243–268, 2002.</w:t>
      </w:r>
    </w:p>
    <w:p>
      <w:pPr>
        <w:jc w:val="both"/>
        <w:ind w:left="360"/>
        <w:spacing w:before="40" w:after="40"/>
      </w:pPr>
      <w:r>
        <w:rPr>
          <w:rFonts w:ascii="Times New Roman" w:hAnsi="Times New Roman" w:cs="Times New Roman"/>
          <w:sz w:val="20"/>
          <w:sz-cs w:val="20"/>
        </w:rPr>
        <w:t xml:space="preserve">[11]</w:t>
        <w:tab/>
        <w:t xml:space="preserve">J. Nielsen, Usability Engineering. San Francisco, CA, USA: Morgan Kaufmann, 1994.</w:t>
      </w:r>
    </w:p>
    <w:p>
      <w:pPr>
        <w:jc w:val="both"/>
        <w:ind w:left="360"/>
        <w:spacing w:before="40" w:after="40"/>
      </w:pPr>
      <w:r>
        <w:rPr>
          <w:rFonts w:ascii="Times New Roman" w:hAnsi="Times New Roman" w:cs="Times New Roman"/>
          <w:sz w:val="20"/>
          <w:sz-cs w:val="20"/>
        </w:rPr>
        <w:t xml:space="preserve">[12]</w:t>
        <w:tab/>
        <w:t xml:space="preserve">D. A. Norman, The Design of Everyday Things, Revised ed. New York, NY, USA: Basic Books, 2013.</w:t>
      </w:r>
    </w:p>
    <w:p>
      <w:pPr>
        <w:jc w:val="both"/>
        <w:ind w:left="360"/>
        <w:spacing w:before="40" w:after="40"/>
      </w:pPr>
      <w:r>
        <w:rPr>
          <w:rFonts w:ascii="Times New Roman" w:hAnsi="Times New Roman" w:cs="Times New Roman"/>
          <w:sz w:val="20"/>
          <w:sz-cs w:val="20"/>
        </w:rPr>
        <w:t xml:space="preserve">[13]</w:t>
        <w:tab/>
        <w:t xml:space="preserve">J. Sweller, “Cognitive load during problem solving: Effects on learning,” Cognitive Science, vol. 12, no. 2, pp. 257–285, 1988.</w:t>
      </w:r>
    </w:p>
    <w:p>
      <w:pPr>
        <w:jc w:val="both"/>
        <w:ind w:left="360"/>
        <w:spacing w:before="40" w:after="40"/>
      </w:pPr>
      <w:r>
        <w:rPr>
          <w:rFonts w:ascii="Times New Roman" w:hAnsi="Times New Roman" w:cs="Times New Roman"/>
          <w:sz w:val="20"/>
          <w:sz-cs w:val="20"/>
        </w:rPr>
        <w:t xml:space="preserve">[14]</w:t>
        <w:tab/>
        <w:t xml:space="preserve">B. J. Fogg, Persuasive Technology: Using Computers to Change What We Think and Do. San Francisco, CA, USA: Morgan Kaufmann, 2003.</w:t>
      </w:r>
    </w:p>
    <w:p>
      <w:pPr>
        <w:jc w:val="both"/>
        <w:ind w:left="360"/>
        <w:spacing w:before="40" w:after="40"/>
      </w:pPr>
      <w:r>
        <w:rPr>
          <w:rFonts w:ascii="Times New Roman" w:hAnsi="Times New Roman" w:cs="Times New Roman"/>
          <w:sz w:val="20"/>
          <w:sz-cs w:val="20"/>
        </w:rPr>
        <w:t xml:space="preserve">[15]</w:t>
        <w:tab/>
        <w:t xml:space="preserve">D. J. Kim, D. L. Ferrin, and H. R. Rao, “A trust-based consumer decision-making model in electronic commerce,” Decision Support Systems, vol. 44, no. 2, pp. 544–564, 2008.</w:t>
      </w:r>
    </w:p>
    <w:p>
      <w:pPr>
        <w:jc w:val="both"/>
        <w:ind w:left="360"/>
        <w:spacing w:before="40" w:after="40"/>
      </w:pPr>
      <w:r>
        <w:rPr>
          <w:rFonts w:ascii="Times New Roman" w:hAnsi="Times New Roman" w:cs="Times New Roman"/>
          <w:sz w:val="20"/>
          <w:sz-cs w:val="20"/>
        </w:rPr>
        <w:t xml:space="preserve">[16]</w:t>
        <w:tab/>
        <w:t xml:space="preserve">R. T. Fielding, “Architectural styles and the design of network-based software architectures,” Ph.D. dissertation, Univ. California, Irvine, CA, USA, 2000.</w:t>
      </w:r>
    </w:p>
    <w:p>
      <w:pPr>
        <w:jc w:val="both"/>
        <w:ind w:left="360"/>
        <w:spacing w:before="40" w:after="40"/>
      </w:pPr>
      <w:r>
        <w:rPr>
          <w:rFonts w:ascii="Times New Roman" w:hAnsi="Times New Roman" w:cs="Times New Roman"/>
          <w:sz w:val="20"/>
          <w:sz-cs w:val="20"/>
        </w:rPr>
        <w:t xml:space="preserve">[17]</w:t>
        <w:tab/>
        <w:t xml:space="preserve">S. Newman, Building Microservices. Sebastopol, CA, USA: O’Reilly Media, 2015.</w:t>
      </w:r>
    </w:p>
    <w:p>
      <w:pPr>
        <w:jc w:val="both"/>
        <w:ind w:left="360"/>
        <w:spacing w:before="40" w:after="40"/>
      </w:pPr>
      <w:r>
        <w:rPr>
          <w:rFonts w:ascii="Times New Roman" w:hAnsi="Times New Roman" w:cs="Times New Roman"/>
          <w:sz w:val="20"/>
          <w:sz-cs w:val="20"/>
        </w:rPr>
        <w:t xml:space="preserve">[18]</w:t>
        <w:tab/>
        <w:t xml:space="preserve">M. Richards and N. Ford, Fundamentals of Software Architecture. Sebastopol, CA, USA: O’Reilly Media, 2020.</w:t>
      </w:r>
    </w:p>
    <w:p>
      <w:pPr>
        <w:jc w:val="both"/>
        <w:ind w:left="360"/>
        <w:spacing w:before="40" w:after="40"/>
      </w:pPr>
      <w:r>
        <w:rPr>
          <w:rFonts w:ascii="Times New Roman" w:hAnsi="Times New Roman" w:cs="Times New Roman"/>
          <w:sz w:val="20"/>
          <w:sz-cs w:val="20"/>
        </w:rPr>
        <w:t xml:space="preserve">[19]</w:t>
        <w:tab/>
        <w:t xml:space="preserve">M. Fowler, Refactoring: Improving the Design of Existing Code, 2nd ed. Boston, MA, USA: Addison-Wesley, 2018.</w:t>
      </w:r>
    </w:p>
    <w:p>
      <w:pPr>
        <w:jc w:val="both"/>
        <w:ind w:left="360"/>
        <w:spacing w:before="40" w:after="40"/>
      </w:pPr>
      <w:r>
        <w:rPr>
          <w:rFonts w:ascii="Times New Roman" w:hAnsi="Times New Roman" w:cs="Times New Roman"/>
          <w:sz w:val="20"/>
          <w:sz-cs w:val="20"/>
        </w:rPr>
        <w:t xml:space="preserve">[20]</w:t>
        <w:tab/>
        <w:t xml:space="preserve">L. Bass, P. Clements, and R. Kazman, Software Architecture in Practice, 3rd ed. Boston, MA, USA: Addison-Wesley, 2012.</w:t>
      </w:r>
    </w:p>
    <w:p>
      <w:pPr>
        <w:jc w:val="both"/>
        <w:ind w:left="360"/>
        <w:spacing w:before="40" w:after="40"/>
      </w:pPr>
      <w:r>
        <w:rPr>
          <w:rFonts w:ascii="Times New Roman" w:hAnsi="Times New Roman" w:cs="Times New Roman"/>
          <w:sz w:val="20"/>
          <w:sz-cs w:val="20"/>
        </w:rPr>
        <w:t xml:space="preserve">[21]</w:t>
        <w:tab/>
        <w:t xml:space="preserve">N. Srnicek, Platform Capitalism. Cambridge, U.K.: Polity Press, 2017.</w:t>
      </w:r>
    </w:p>
    <w:p>
      <w:pPr>
        <w:jc w:val="both"/>
        <w:ind w:left="360"/>
        <w:spacing w:before="40" w:after="40"/>
      </w:pPr>
      <w:r>
        <w:rPr>
          <w:rFonts w:ascii="Times New Roman" w:hAnsi="Times New Roman" w:cs="Times New Roman"/>
          <w:sz w:val="20"/>
          <w:sz-cs w:val="20"/>
        </w:rPr>
        <w:t xml:space="preserve">[22]</w:t>
        <w:tab/>
        <w:t xml:space="preserve">M. Kenney and J. Zysman, “The rise of the platform economy,” Issues in Science and Technology, vol. 32, no. 3, pp. 61–69, 2016.</w:t>
      </w:r>
    </w:p>
    <w:p>
      <w:pPr>
        <w:jc w:val="both"/>
        <w:ind w:left="360"/>
        <w:spacing w:before="40" w:after="40"/>
      </w:pPr>
      <w:r>
        <w:rPr>
          <w:rFonts w:ascii="Times New Roman" w:hAnsi="Times New Roman" w:cs="Times New Roman"/>
          <w:sz w:val="20"/>
          <w:sz-cs w:val="20"/>
        </w:rPr>
        <w:t xml:space="preserve">[23]</w:t>
        <w:tab/>
        <w:t xml:space="preserve">D. Cutolo and M. Kenney, “Platform-dependent entrepreneurs: Power asymmetries, risks, and strategies,” Academy of Management Perspectives, vol. 35, no. 4, pp. 584–605, 2021.</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CocoaOOXMLWriter/2685.5</generator>
</meta>
</file>