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1C82" w14:textId="4F40FB2D" w:rsidR="001340CE" w:rsidRPr="001340CE" w:rsidRDefault="001340CE" w:rsidP="001340CE">
      <w:pPr>
        <w:jc w:val="center"/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</w:pPr>
      <w:r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Лабораторная работа №67</w:t>
      </w:r>
    </w:p>
    <w:p w14:paraId="39915861" w14:textId="77777777" w:rsidR="001340CE" w:rsidRPr="000117B9" w:rsidRDefault="001340CE" w:rsidP="001340CE">
      <w:pPr>
        <w:rPr>
          <w:rFonts w:ascii="Rubik" w:hAnsi="Rubik" w:cs="Rubik"/>
          <w:b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1. </w:t>
      </w:r>
      <w:r w:rsidRPr="000117B9">
        <w:rPr>
          <w:rFonts w:ascii="Rubik" w:hAnsi="Rubik" w:cs="Rubik"/>
          <w:bCs/>
          <w:color w:val="222222"/>
          <w:sz w:val="20"/>
          <w:szCs w:val="20"/>
          <w:shd w:val="clear" w:color="auto" w:fill="FFFFFF"/>
        </w:rPr>
        <w:t>Внутренним фотоэффектом</w:t>
      </w:r>
      <w:r w:rsidRPr="000117B9">
        <w:rPr>
          <w:rFonts w:ascii="Rubik" w:hAnsi="Rubik" w:cs="Rubik"/>
          <w:color w:val="222222"/>
          <w:sz w:val="20"/>
          <w:szCs w:val="20"/>
          <w:shd w:val="clear" w:color="auto" w:fill="FFFFFF"/>
        </w:rPr>
        <w:t> называется перераспределение электронов по энергетическим состояниям в твердых и жидких полупроводниках и диэлектриках, происходящее под действием излучений. Он проявляется в изменении концентрации носителей зарядов в среде и приводит к возникновению фотопроводимости или вентильного </w:t>
      </w:r>
      <w:r w:rsidRPr="000117B9">
        <w:rPr>
          <w:rFonts w:ascii="Rubik" w:hAnsi="Rubik" w:cs="Rubik"/>
          <w:bCs/>
          <w:color w:val="222222"/>
          <w:sz w:val="20"/>
          <w:szCs w:val="20"/>
          <w:shd w:val="clear" w:color="auto" w:fill="FFFFFF"/>
        </w:rPr>
        <w:t>фотоэффекта</w:t>
      </w:r>
      <w:r w:rsidRPr="000117B9">
        <w:rPr>
          <w:rFonts w:ascii="Rubik" w:hAnsi="Rubik" w:cs="Rubik"/>
          <w:color w:val="222222"/>
          <w:sz w:val="20"/>
          <w:szCs w:val="20"/>
          <w:shd w:val="clear" w:color="auto" w:fill="FFFFFF"/>
        </w:rPr>
        <w:t>.</w:t>
      </w:r>
    </w:p>
    <w:p w14:paraId="17F86113" w14:textId="77777777" w:rsidR="001340CE" w:rsidRPr="000117B9" w:rsidRDefault="001340CE" w:rsidP="001340CE">
      <w:pPr>
        <w:rPr>
          <w:rFonts w:ascii="Rubik" w:hAnsi="Rubik" w:cs="Rubik"/>
          <w:b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2. </w:t>
      </w:r>
      <w:r w:rsidRPr="000117B9">
        <w:rPr>
          <w:rFonts w:ascii="Rubik" w:hAnsi="Rubik" w:cs="Rubik"/>
          <w:bCs/>
          <w:color w:val="222222"/>
          <w:sz w:val="20"/>
          <w:szCs w:val="20"/>
          <w:shd w:val="clear" w:color="auto" w:fill="FFFFFF"/>
        </w:rPr>
        <w:t>Вентильный фотоэффект</w:t>
      </w:r>
      <w:r w:rsidRPr="000117B9">
        <w:rPr>
          <w:rFonts w:ascii="Rubik" w:hAnsi="Rubik" w:cs="Rubik"/>
          <w:color w:val="222222"/>
          <w:sz w:val="20"/>
          <w:szCs w:val="20"/>
          <w:shd w:val="clear" w:color="auto" w:fill="FFFFFF"/>
        </w:rPr>
        <w:t> является разновидностью внутреннего </w:t>
      </w:r>
      <w:r w:rsidRPr="000117B9">
        <w:rPr>
          <w:rFonts w:ascii="Rubik" w:hAnsi="Rubik" w:cs="Rubik"/>
          <w:bCs/>
          <w:color w:val="222222"/>
          <w:sz w:val="20"/>
          <w:szCs w:val="20"/>
          <w:shd w:val="clear" w:color="auto" w:fill="FFFFFF"/>
        </w:rPr>
        <w:t>фотоэффекта</w:t>
      </w:r>
      <w:r w:rsidRPr="000117B9">
        <w:rPr>
          <w:rFonts w:ascii="Rubik" w:hAnsi="Rubik" w:cs="Rubik"/>
          <w:color w:val="222222"/>
          <w:sz w:val="20"/>
          <w:szCs w:val="20"/>
          <w:shd w:val="clear" w:color="auto" w:fill="FFFFFF"/>
        </w:rPr>
        <w:t>, – это возникновение ЭДС при освещении контакта двух разных полупроводников или полупроводника и металла</w:t>
      </w:r>
    </w:p>
    <w:p w14:paraId="2EB0E10F" w14:textId="77777777" w:rsidR="001340CE" w:rsidRPr="000117B9" w:rsidRDefault="001340CE" w:rsidP="001340CE">
      <w:pPr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3. </w:t>
      </w:r>
      <w:r w:rsidRPr="000117B9">
        <w:rPr>
          <w:rFonts w:ascii="Rubik" w:hAnsi="Rubik" w:cs="Rubik"/>
          <w:sz w:val="20"/>
          <w:szCs w:val="20"/>
        </w:rPr>
        <w:t xml:space="preserve">Квант света, если его энергия </w:t>
      </w:r>
      <w:r w:rsidRPr="000117B9">
        <w:rPr>
          <w:rFonts w:ascii="Times New Roman" w:hAnsi="Times New Roman" w:cs="Times New Roman"/>
          <w:sz w:val="20"/>
          <w:szCs w:val="20"/>
        </w:rPr>
        <w:t>ℎ</w:t>
      </w:r>
      <w:r w:rsidRPr="000117B9">
        <w:rPr>
          <w:rFonts w:ascii="Rubik" w:hAnsi="Rubik" w:cs="Rubik"/>
          <w:sz w:val="20"/>
          <w:szCs w:val="20"/>
          <w:lang w:val="en-US"/>
        </w:rPr>
        <w:t>v</w:t>
      </w:r>
      <w:r w:rsidRPr="000117B9">
        <w:rPr>
          <w:rFonts w:ascii="Rubik" w:hAnsi="Rubik" w:cs="Rubik"/>
          <w:sz w:val="20"/>
          <w:szCs w:val="20"/>
        </w:rPr>
        <w:t xml:space="preserve"> превышает ширину запрещенной зоны ∆</w:t>
      </w:r>
      <w:r w:rsidRPr="000117B9">
        <w:rPr>
          <w:rFonts w:ascii="Rubik" w:hAnsi="Rubik" w:cs="Rubik"/>
          <w:sz w:val="20"/>
          <w:szCs w:val="20"/>
          <w:lang w:val="en-US"/>
        </w:rPr>
        <w:t>E</w:t>
      </w:r>
      <w:r w:rsidRPr="000117B9">
        <w:rPr>
          <w:rFonts w:ascii="Rubik" w:hAnsi="Rubik" w:cs="Rubik"/>
          <w:sz w:val="20"/>
          <w:szCs w:val="20"/>
        </w:rPr>
        <w:t>, поглощается одним из электронов валентной зоны, который в результате переходит в свободную зону (рис. 1, a). При этом возникает дополнительная пара носителей тока – электрон в зоне проводимости и дырка в валентной зоне, вследствие чего проводимость полупроводника увеличивается, а сопротивление уменьшается. Это явление называется фотопроводимостью, и именно оно лежит в основе действия фотосопротивлений</w:t>
      </w:r>
    </w:p>
    <w:p w14:paraId="52B6B70B" w14:textId="77777777" w:rsidR="001340CE" w:rsidRPr="000117B9" w:rsidRDefault="001340CE" w:rsidP="001340CE">
      <w:pPr>
        <w:jc w:val="center"/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noProof/>
          <w:sz w:val="20"/>
          <w:szCs w:val="20"/>
          <w:lang w:eastAsia="ru-RU"/>
        </w:rPr>
        <w:drawing>
          <wp:inline distT="0" distB="0" distL="0" distR="0" wp14:anchorId="589D687A" wp14:editId="29BDE8F6">
            <wp:extent cx="940210" cy="1885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926" cy="19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FC7C" w14:textId="77777777" w:rsidR="001340CE" w:rsidRPr="000117B9" w:rsidRDefault="001340CE" w:rsidP="001340CE">
      <w:pPr>
        <w:rPr>
          <w:rFonts w:ascii="Rubik" w:hAnsi="Rubik" w:cs="Rubik"/>
          <w:b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4. </w:t>
      </w:r>
      <w:r w:rsidRPr="000117B9">
        <w:rPr>
          <w:rFonts w:ascii="Rubik" w:hAnsi="Rubik" w:cs="Rubik"/>
          <w:iCs/>
          <w:sz w:val="20"/>
          <w:szCs w:val="20"/>
          <w:shd w:val="clear" w:color="auto" w:fill="FFFFFF"/>
        </w:rPr>
        <w:t>Спектральная чувствительность</w:t>
      </w:r>
      <w:r w:rsidRPr="000117B9">
        <w:rPr>
          <w:rFonts w:ascii="Rubik" w:hAnsi="Rubik" w:cs="Rubik"/>
          <w:sz w:val="20"/>
          <w:szCs w:val="20"/>
          <w:shd w:val="clear" w:color="auto" w:fill="FFFFFF"/>
        </w:rPr>
        <w:t> характеризует силу тока, возникающую под действием излучений в узком интервале длин волн</w:t>
      </w:r>
    </w:p>
    <w:p w14:paraId="761AF291" w14:textId="77777777" w:rsidR="001340CE" w:rsidRPr="000117B9" w:rsidRDefault="001340CE" w:rsidP="001340CE">
      <w:pPr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5. </w:t>
      </w:r>
      <w:r w:rsidRPr="000117B9">
        <w:rPr>
          <w:rFonts w:ascii="Rubik" w:hAnsi="Rubik" w:cs="Rubik"/>
          <w:sz w:val="20"/>
          <w:szCs w:val="20"/>
        </w:rPr>
        <w:t xml:space="preserve">Для получения спектральной характеристики фотодиода на него при помощи монохроматора направляют свет одинаковой интенсивности, но разной длины волны и измеряют соответствующее значение фототока. На практике интенсивность источника света различна для разных длин волн: если перед монохроматором установить лампочку накаливания и вращать барабан, то интенсивность выходящего света будет неодинаковой. </w:t>
      </w:r>
      <w:r w:rsidRPr="000117B9">
        <w:rPr>
          <w:rFonts w:ascii="Rubik" w:hAnsi="Rubik" w:cs="Rubik"/>
          <w:color w:val="000000"/>
          <w:sz w:val="20"/>
          <w:szCs w:val="20"/>
        </w:rPr>
        <w:t xml:space="preserve">Для сведения к одинаковой интенсивности пользуются поправочным коэффициентом </w:t>
      </w:r>
      <m:oMath>
        <m:sSub>
          <m:sSubPr>
            <m:ctrlPr>
              <w:rPr>
                <w:rFonts w:ascii="Cambria Math" w:hAnsi="Cambria Math" w:cs="Rubik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Rubik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Rubik"/>
                <w:sz w:val="24"/>
                <w:szCs w:val="24"/>
                <w:lang w:val="en-US"/>
              </w:rPr>
              <m:t>λ</m:t>
            </m:r>
          </m:sub>
        </m:sSub>
      </m:oMath>
      <w:r w:rsidRPr="000117B9">
        <w:rPr>
          <w:rFonts w:ascii="Rubik" w:hAnsi="Rubik" w:cs="Rubik"/>
          <w:sz w:val="20"/>
          <w:szCs w:val="20"/>
        </w:rPr>
        <w:t>.</w:t>
      </w:r>
    </w:p>
    <w:p w14:paraId="02D8967F" w14:textId="77777777" w:rsidR="001340CE" w:rsidRPr="000117B9" w:rsidRDefault="001340CE" w:rsidP="001340CE">
      <w:pPr>
        <w:rPr>
          <w:rFonts w:ascii="Rubik" w:hAnsi="Rubik" w:cs="Rubik"/>
          <w:noProof/>
          <w:sz w:val="20"/>
          <w:szCs w:val="20"/>
          <w:lang w:eastAsia="ru-RU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6. </w:t>
      </w:r>
      <w:r w:rsidRPr="000117B9">
        <w:rPr>
          <w:rFonts w:ascii="Rubik" w:hAnsi="Rubik" w:cs="Rubik"/>
          <w:sz w:val="20"/>
          <w:szCs w:val="20"/>
        </w:rPr>
        <w:t>Потому что величина фототока существенно зависит от длины волны падающего света, что, в свою очередь, влияет на чувствительность фотоэлемента</w:t>
      </w:r>
      <w:r w:rsidRPr="000117B9">
        <w:rPr>
          <w:rFonts w:ascii="Rubik" w:hAnsi="Rubik" w:cs="Rubik"/>
          <w:noProof/>
          <w:sz w:val="24"/>
          <w:szCs w:val="24"/>
          <w:lang w:eastAsia="ru-RU"/>
        </w:rPr>
        <w:t xml:space="preserve"> </w:t>
      </w:r>
      <m:oMath>
        <m:r>
          <w:rPr>
            <w:rFonts w:ascii="Cambria Math" w:hAnsi="Cambria Math" w:cs="Rubik"/>
            <w:noProof/>
            <w:sz w:val="24"/>
            <w:szCs w:val="24"/>
            <w:lang w:eastAsia="ru-RU"/>
          </w:rPr>
          <m:t>γ</m:t>
        </m:r>
        <m:d>
          <m:dPr>
            <m:ctrlPr>
              <w:rPr>
                <w:rFonts w:ascii="Cambria Math" w:hAnsi="Cambria Math" w:cs="Rubik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 w:cs="Rubik"/>
                <w:noProof/>
                <w:sz w:val="24"/>
                <w:szCs w:val="24"/>
                <w:lang w:eastAsia="ru-RU"/>
              </w:rPr>
              <m:t>λ</m:t>
            </m:r>
          </m:e>
        </m:d>
        <m:r>
          <w:rPr>
            <w:rFonts w:ascii="Cambria Math" w:hAnsi="Cambria Math" w:cs="Rubik"/>
            <w:noProof/>
            <w:sz w:val="24"/>
            <w:szCs w:val="24"/>
            <w:lang w:eastAsia="ru-RU"/>
          </w:rPr>
          <m:t xml:space="preserve">= </m:t>
        </m:r>
        <m:f>
          <m:fPr>
            <m:ctrlPr>
              <w:rPr>
                <w:rFonts w:ascii="Cambria Math" w:hAnsi="Cambria Math" w:cs="Rubik"/>
                <w:i/>
                <w:noProof/>
                <w:sz w:val="24"/>
                <w:szCs w:val="24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 w:cs="Rubik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Rubik"/>
                    <w:noProof/>
                    <w:sz w:val="24"/>
                    <w:szCs w:val="24"/>
                    <w:lang w:eastAsia="ru-RU"/>
                  </w:rPr>
                  <m:t>i</m:t>
                </m:r>
              </m:e>
              <m:sub>
                <m:r>
                  <w:rPr>
                    <w:rFonts w:ascii="Cambria Math" w:hAnsi="Cambria Math" w:cs="Rubik"/>
                    <w:noProof/>
                    <w:sz w:val="24"/>
                    <w:szCs w:val="24"/>
                    <w:lang w:eastAsia="ru-RU"/>
                  </w:rPr>
                  <m:t>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Rubik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Rubik"/>
                    <w:noProof/>
                    <w:sz w:val="24"/>
                    <w:szCs w:val="24"/>
                    <w:lang w:eastAsia="ru-RU"/>
                  </w:rPr>
                  <m:t>Ф</m:t>
                </m:r>
              </m:e>
              <m:sub>
                <m:r>
                  <w:rPr>
                    <w:rFonts w:ascii="Cambria Math" w:hAnsi="Cambria Math" w:cs="Rubik"/>
                    <w:noProof/>
                    <w:sz w:val="24"/>
                    <w:szCs w:val="24"/>
                    <w:lang w:eastAsia="ru-RU"/>
                  </w:rPr>
                  <m:t>λ</m:t>
                </m:r>
              </m:sub>
            </m:sSub>
          </m:den>
        </m:f>
      </m:oMath>
    </w:p>
    <w:p w14:paraId="4A123651" w14:textId="77777777" w:rsidR="001340CE" w:rsidRPr="000117B9" w:rsidRDefault="001340CE" w:rsidP="001340CE">
      <w:pPr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7. </w:t>
      </w:r>
      <w:r w:rsidRPr="000117B9">
        <w:rPr>
          <w:rFonts w:ascii="Rubik" w:hAnsi="Rubik" w:cs="Rubik"/>
          <w:color w:val="202122"/>
          <w:sz w:val="20"/>
          <w:szCs w:val="20"/>
          <w:shd w:val="clear" w:color="auto" w:fill="FFFFFF"/>
        </w:rPr>
        <w:t>Она определяется со стороны больших длин волн </w:t>
      </w:r>
      <w:r w:rsidRPr="000117B9">
        <w:rPr>
          <w:rFonts w:ascii="Rubik" w:hAnsi="Rubik" w:cs="Rubik"/>
          <w:sz w:val="20"/>
          <w:szCs w:val="20"/>
          <w:shd w:val="clear" w:color="auto" w:fill="FFFFFF"/>
        </w:rPr>
        <w:t>шириной запрещённой зоны</w:t>
      </w:r>
      <w:r w:rsidRPr="000117B9">
        <w:rPr>
          <w:rFonts w:ascii="Rubik" w:hAnsi="Rubik" w:cs="Rubik"/>
          <w:color w:val="202122"/>
          <w:sz w:val="20"/>
          <w:szCs w:val="20"/>
          <w:shd w:val="clear" w:color="auto" w:fill="FFFFFF"/>
        </w:rPr>
        <w:t>, при малых длинах волн большим показателем поглощения и увеличения влияния поверхностной рекомбинации носителей заряда с уменьшением длины волны квантов света. То есть коротковолновая граница чувствительности зависит от толщины базы и от скорости поверхностной рекомбинации.</w:t>
      </w:r>
    </w:p>
    <w:p w14:paraId="37BA9367" w14:textId="77777777" w:rsidR="001340CE" w:rsidRDefault="001340CE" w:rsidP="001340CE">
      <w:pPr>
        <w:rPr>
          <w:rFonts w:ascii="Rubik" w:hAnsi="Rubik" w:cs="Rubik"/>
          <w:color w:val="1D1D1B"/>
          <w:sz w:val="20"/>
          <w:szCs w:val="20"/>
          <w:shd w:val="clear" w:color="auto" w:fill="FFFFFF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8. </w:t>
      </w:r>
      <w:r w:rsidRPr="000117B9">
        <w:rPr>
          <w:rStyle w:val="a3"/>
          <w:rFonts w:ascii="Rubik" w:hAnsi="Rubik" w:cs="Rubik"/>
          <w:color w:val="1D1D1B"/>
          <w:sz w:val="20"/>
          <w:szCs w:val="20"/>
          <w:shd w:val="clear" w:color="auto" w:fill="FFFFFF"/>
        </w:rPr>
        <w:t>Красная граница фотоэффекта</w:t>
      </w:r>
      <w:r w:rsidRPr="000117B9">
        <w:rPr>
          <w:rFonts w:ascii="Rubik" w:hAnsi="Rubik" w:cs="Rubik"/>
          <w:color w:val="1D1D1B"/>
          <w:sz w:val="20"/>
          <w:szCs w:val="20"/>
          <w:shd w:val="clear" w:color="auto" w:fill="FFFFFF"/>
        </w:rPr>
        <w:t xml:space="preserve"> – это минимальная частота или максимальная длина волны света излучения, при которой еще возможен внешний фотоэффект. </w:t>
      </w:r>
      <m:oMath>
        <m:f>
          <m:fPr>
            <m:ctrlPr>
              <w:rPr>
                <w:rFonts w:ascii="Cambria Math" w:hAnsi="Cambria Math" w:cs="Rubik"/>
                <w:i/>
                <w:color w:val="1D1D1B"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Rubik"/>
                <w:color w:val="1D1D1B"/>
                <w:sz w:val="24"/>
                <w:szCs w:val="24"/>
                <w:shd w:val="clear" w:color="auto" w:fill="FFFFFF"/>
              </w:rPr>
              <m:t>hc</m:t>
            </m:r>
          </m:num>
          <m:den>
            <m:sSub>
              <m:sSubPr>
                <m:ctrlPr>
                  <w:rPr>
                    <w:rFonts w:ascii="Cambria Math" w:hAnsi="Cambria Math" w:cs="Rubik"/>
                    <w:i/>
                    <w:color w:val="1D1D1B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Rubik"/>
                    <w:color w:val="1D1D1B"/>
                    <w:sz w:val="24"/>
                    <w:szCs w:val="24"/>
                    <w:shd w:val="clear" w:color="auto" w:fill="FFFFFF"/>
                  </w:rPr>
                  <m:t>λ</m:t>
                </m:r>
              </m:e>
              <m:sub>
                <m:r>
                  <w:rPr>
                    <w:rFonts w:ascii="Cambria Math" w:hAnsi="Cambria Math" w:cs="Rubik"/>
                    <w:color w:val="1D1D1B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den>
        </m:f>
        <m:r>
          <w:rPr>
            <w:rFonts w:ascii="Cambria Math" w:hAnsi="Cambria Math" w:cs="Rubik"/>
            <w:color w:val="1D1D1B"/>
            <w:sz w:val="24"/>
            <w:szCs w:val="24"/>
            <w:shd w:val="clear" w:color="auto" w:fill="FFFFFF"/>
          </w:rPr>
          <m:t>=∆E</m:t>
        </m:r>
      </m:oMath>
    </w:p>
    <w:p w14:paraId="0BB595F6" w14:textId="77777777" w:rsidR="001340CE" w:rsidRPr="000117B9" w:rsidRDefault="001340CE" w:rsidP="001340CE">
      <w:pPr>
        <w:rPr>
          <w:rFonts w:ascii="Rubik" w:hAnsi="Rubik" w:cs="Rubik"/>
          <w:color w:val="1D1D1B"/>
          <w:sz w:val="20"/>
          <w:szCs w:val="20"/>
          <w:shd w:val="clear" w:color="auto" w:fill="FFFFFF"/>
        </w:rPr>
      </w:pPr>
      <w:r w:rsidRPr="000117B9">
        <w:rPr>
          <w:rFonts w:ascii="Rubik" w:hAnsi="Rubik" w:cs="Rubik"/>
          <w:sz w:val="20"/>
          <w:szCs w:val="20"/>
        </w:rPr>
        <w:t xml:space="preserve">где </w:t>
      </w:r>
      <w:r w:rsidRPr="000117B9">
        <w:rPr>
          <w:rFonts w:ascii="Times New Roman" w:hAnsi="Times New Roman" w:cs="Times New Roman"/>
          <w:sz w:val="20"/>
          <w:szCs w:val="20"/>
        </w:rPr>
        <w:t>ℎ</w:t>
      </w:r>
      <w:r w:rsidRPr="000117B9">
        <w:rPr>
          <w:rFonts w:ascii="Rubik" w:hAnsi="Rubik" w:cs="Rubik"/>
          <w:sz w:val="20"/>
          <w:szCs w:val="20"/>
        </w:rPr>
        <w:t xml:space="preserve"> - постоянная Планка; с – скорость распространения света в вакууме; </w:t>
      </w:r>
      <m:oMath>
        <m:sSub>
          <m:sSubPr>
            <m:ctrlPr>
              <w:rPr>
                <w:rFonts w:ascii="Cambria Math" w:hAnsi="Cambria Math" w:cs="Rubik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Rubik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cs="Rubik"/>
                <w:sz w:val="20"/>
                <w:szCs w:val="20"/>
              </w:rPr>
              <m:t>0</m:t>
            </m:r>
          </m:sub>
        </m:sSub>
      </m:oMath>
      <w:r w:rsidRPr="000117B9">
        <w:rPr>
          <w:rFonts w:ascii="Rubik" w:hAnsi="Rubik" w:cs="Rubik"/>
          <w:sz w:val="20"/>
          <w:szCs w:val="20"/>
        </w:rPr>
        <w:t>– максимальная длина волны, при которой еще возможен фотоэффект (красная граница фотоэффекта);</w:t>
      </w:r>
      <w:r w:rsidRPr="00FC4EAD">
        <w:rPr>
          <w:rFonts w:ascii="Rubik" w:hAnsi="Rubik" w:cs="Rubik"/>
          <w:sz w:val="20"/>
          <w:szCs w:val="20"/>
        </w:rPr>
        <w:t xml:space="preserve"> </w:t>
      </w:r>
      <m:oMath>
        <m:r>
          <w:rPr>
            <w:rFonts w:ascii="Cambria Math" w:hAnsi="Cambria Math" w:cs="Rubik"/>
            <w:sz w:val="20"/>
            <w:szCs w:val="20"/>
          </w:rPr>
          <m:t>∆</m:t>
        </m:r>
        <m:r>
          <w:rPr>
            <w:rFonts w:ascii="Cambria Math" w:hAnsi="Cambria Math" w:cs="Rubik"/>
            <w:sz w:val="20"/>
            <w:szCs w:val="20"/>
            <w:lang w:val="en-US"/>
          </w:rPr>
          <m:t>E</m:t>
        </m:r>
      </m:oMath>
      <w:r w:rsidRPr="000117B9">
        <w:rPr>
          <w:rFonts w:ascii="Rubik" w:hAnsi="Rubik" w:cs="Rubik"/>
          <w:sz w:val="20"/>
          <w:szCs w:val="20"/>
        </w:rPr>
        <w:t>– ширина запрещенной зоны.</w:t>
      </w:r>
    </w:p>
    <w:p w14:paraId="5046B30B" w14:textId="77777777" w:rsidR="001340CE" w:rsidRDefault="001340CE" w:rsidP="001340CE">
      <w:pPr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lastRenderedPageBreak/>
        <w:t xml:space="preserve">9. </w:t>
      </w:r>
      <w:r w:rsidRPr="000117B9">
        <w:rPr>
          <w:rFonts w:ascii="Rubik" w:hAnsi="Rubik" w:cs="Rubik"/>
          <w:sz w:val="20"/>
          <w:szCs w:val="20"/>
        </w:rPr>
        <w:t>Для вентильного фотоэффекта красная граница также определяется соотношением (2), но в этом случае в правую часть нужно подставить минимальное из значений</w:t>
      </w:r>
      <w:r w:rsidRPr="000117B9">
        <w:rPr>
          <w:rFonts w:ascii="Rubik" w:hAnsi="Rubik" w:cs="Rubik"/>
        </w:rPr>
        <w:t xml:space="preserve"> </w:t>
      </w:r>
      <m:oMath>
        <m:r>
          <w:rPr>
            <w:rFonts w:ascii="Cambria Math" w:hAnsi="Cambria Math" w:cs="Rubik"/>
          </w:rPr>
          <m:t>(∆</m:t>
        </m:r>
        <m:sSub>
          <m:sSubPr>
            <m:ctrlPr>
              <w:rPr>
                <w:rFonts w:ascii="Cambria Math" w:hAnsi="Cambria Math" w:cs="Rubik"/>
                <w:i/>
              </w:rPr>
            </m:ctrlPr>
          </m:sSubPr>
          <m:e>
            <m:r>
              <w:rPr>
                <w:rFonts w:ascii="Cambria Math" w:hAnsi="Cambria Math" w:cs="Rubik"/>
              </w:rPr>
              <m:t>E</m:t>
            </m:r>
          </m:e>
          <m:sub>
            <m:r>
              <w:rPr>
                <w:rFonts w:ascii="Cambria Math" w:hAnsi="Cambria Math" w:cs="Rubik"/>
              </w:rPr>
              <m:t>n</m:t>
            </m:r>
          </m:sub>
        </m:sSub>
        <m:r>
          <w:rPr>
            <w:rFonts w:ascii="Cambria Math" w:hAnsi="Cambria Math" w:cs="Rubik"/>
          </w:rPr>
          <m:t>, ∆</m:t>
        </m:r>
        <m:sSub>
          <m:sSubPr>
            <m:ctrlPr>
              <w:rPr>
                <w:rFonts w:ascii="Cambria Math" w:hAnsi="Cambria Math" w:cs="Rubik"/>
                <w:i/>
              </w:rPr>
            </m:ctrlPr>
          </m:sSubPr>
          <m:e>
            <m:r>
              <w:rPr>
                <w:rFonts w:ascii="Cambria Math" w:hAnsi="Cambria Math" w:cs="Rubik"/>
              </w:rPr>
              <m:t>E</m:t>
            </m:r>
          </m:e>
          <m:sub>
            <m:r>
              <w:rPr>
                <w:rFonts w:ascii="Cambria Math" w:hAnsi="Cambria Math" w:cs="Rubik"/>
              </w:rPr>
              <m:t>p</m:t>
            </m:r>
          </m:sub>
        </m:sSub>
        <m:r>
          <w:rPr>
            <w:rFonts w:ascii="Cambria Math" w:hAnsi="Cambria Math" w:cs="Rubik"/>
          </w:rPr>
          <m:t>)</m:t>
        </m:r>
      </m:oMath>
      <w:r w:rsidRPr="000117B9">
        <w:rPr>
          <w:rFonts w:ascii="Rubik" w:hAnsi="Rubik" w:cs="Rubik"/>
        </w:rPr>
        <w:t>,</w:t>
      </w:r>
      <w:r w:rsidRPr="000117B9">
        <w:rPr>
          <w:rFonts w:ascii="Rubik" w:hAnsi="Rubik" w:cs="Rubik"/>
          <w:sz w:val="20"/>
          <w:szCs w:val="20"/>
        </w:rPr>
        <w:t xml:space="preserve"> характеризующих данный p-n переход.</w:t>
      </w:r>
    </w:p>
    <w:p w14:paraId="434F7B12" w14:textId="77777777" w:rsidR="001340CE" w:rsidRDefault="001340CE" w:rsidP="001340CE">
      <w:pPr>
        <w:rPr>
          <w:rFonts w:ascii="Rubik" w:hAnsi="Rubik" w:cs="Rubik"/>
          <w:sz w:val="20"/>
          <w:szCs w:val="20"/>
        </w:rPr>
      </w:pPr>
    </w:p>
    <w:p w14:paraId="5B3145B8" w14:textId="77777777" w:rsidR="001340CE" w:rsidRPr="000117B9" w:rsidRDefault="001340CE" w:rsidP="001340CE">
      <w:pPr>
        <w:rPr>
          <w:rFonts w:ascii="Rubik" w:hAnsi="Rubik" w:cs="Rubik"/>
          <w:b/>
          <w:sz w:val="20"/>
          <w:szCs w:val="20"/>
        </w:rPr>
      </w:pPr>
    </w:p>
    <w:p w14:paraId="0C4C7811" w14:textId="77777777" w:rsidR="001340CE" w:rsidRPr="00FC4EAD" w:rsidRDefault="001340CE" w:rsidP="001340CE">
      <w:pPr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b/>
          <w:sz w:val="20"/>
          <w:szCs w:val="20"/>
        </w:rPr>
        <w:t xml:space="preserve">10. </w:t>
      </w:r>
      <w:r w:rsidRPr="000117B9">
        <w:rPr>
          <w:rFonts w:ascii="Rubik" w:hAnsi="Rubik" w:cs="Rubik"/>
          <w:sz w:val="20"/>
          <w:szCs w:val="20"/>
        </w:rPr>
        <w:t>Так как ширина запрещенной зоны определяется соотношением (2) (</w:t>
      </w:r>
      <m:oMath>
        <m:r>
          <w:rPr>
            <w:rFonts w:ascii="Cambria Math" w:hAnsi="Cambria Math" w:cs="Rubik"/>
            <w:sz w:val="20"/>
            <w:szCs w:val="20"/>
          </w:rPr>
          <m:t>∆E</m:t>
        </m:r>
      </m:oMath>
      <w:r w:rsidRPr="000117B9">
        <w:rPr>
          <w:rFonts w:ascii="Rubik" w:hAnsi="Rubik" w:cs="Rubik"/>
          <w:sz w:val="20"/>
          <w:szCs w:val="20"/>
        </w:rPr>
        <w:t>– ширина запрещенной зоны), у первого полупроводника она больше.</w:t>
      </w:r>
    </w:p>
    <w:p w14:paraId="6CA6DDF1" w14:textId="77777777" w:rsidR="001340CE" w:rsidRPr="000117B9" w:rsidRDefault="001340CE" w:rsidP="001340CE">
      <w:pPr>
        <w:rPr>
          <w:rFonts w:ascii="Rubik" w:hAnsi="Rubik" w:cs="Rubik"/>
          <w:sz w:val="20"/>
          <w:szCs w:val="20"/>
        </w:rPr>
      </w:pPr>
      <w:r w:rsidRPr="000117B9">
        <w:rPr>
          <w:rFonts w:ascii="Rubik" w:hAnsi="Rubik" w:cs="Rubik"/>
          <w:noProof/>
          <w:color w:val="FF0000"/>
          <w:sz w:val="20"/>
          <w:szCs w:val="20"/>
          <w:lang w:eastAsia="ru-RU"/>
        </w:rPr>
        <w:drawing>
          <wp:inline distT="0" distB="0" distL="0" distR="0" wp14:anchorId="759EFAA2" wp14:editId="6F020DD0">
            <wp:extent cx="3000226" cy="3219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10" cy="32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79C3" w14:textId="6AF3B080" w:rsidR="00D847F3" w:rsidRPr="001340CE" w:rsidRDefault="00D847F3" w:rsidP="00D847F3">
      <w:pPr>
        <w:jc w:val="center"/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</w:pPr>
      <w:r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Лабораторная работа №</w:t>
      </w:r>
      <w:r>
        <w:rPr>
          <w:rFonts w:ascii="Rubik" w:eastAsia="Noto Sans CJK SC Regular" w:hAnsi="Rubik" w:cs="Rubik"/>
          <w:b/>
          <w:bCs/>
          <w:kern w:val="2"/>
          <w:sz w:val="20"/>
          <w:szCs w:val="20"/>
          <w:lang w:eastAsia="zh-CN" w:bidi="hi-IN"/>
        </w:rPr>
        <w:t>73-1</w:t>
      </w:r>
    </w:p>
    <w:p w14:paraId="0BEAEBE8" w14:textId="6ECC52E4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>
        <w:rPr>
          <w:rFonts w:cstheme="minorHAnsi"/>
          <w:b/>
        </w:rPr>
        <w:t xml:space="preserve">1. 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 xml:space="preserve">Если подключить к p-n-переходу источник внешнего напряжения таким образом, чтобы плюс был приложен к области полупроводника n-типа, а минус – к области полупроводника p-типа (такое включение называют обратным, рис. 1.4), то обедненный слой расширяется, так как под воздействием внешнего напряжения электроны и дырки смещаются от p-n-перехода в разные стороны. При этом высота потенциального барьера также возрастает и становится равной </w:t>
      </w:r>
      <w:proofErr w:type="spellStart"/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jк</w:t>
      </w:r>
      <w:proofErr w:type="spellEnd"/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+ u (рис. 1.5), поскольку напряжение внешнего смещения включено согласно контактной разности потенциалов.</w:t>
      </w:r>
    </w:p>
    <w:p w14:paraId="4E68EB5D" w14:textId="16F9AA3D" w:rsidR="00D847F3" w:rsidRDefault="00D847F3" w:rsidP="00D847F3">
      <w:pPr>
        <w:shd w:val="clear" w:color="auto" w:fill="FFFFFF"/>
        <w:spacing w:after="45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ru-RU"/>
        </w:rPr>
      </w:pPr>
      <w:r>
        <w:rPr>
          <w:rFonts w:cstheme="minorHAnsi"/>
          <w:noProof/>
          <w:lang w:eastAsia="ru-RU"/>
        </w:rPr>
        <w:lastRenderedPageBreak/>
        <w:drawing>
          <wp:inline distT="0" distB="0" distL="0" distR="0" wp14:anchorId="44548034" wp14:editId="294353FC">
            <wp:extent cx="329565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1E96" w14:textId="77777777" w:rsidR="00D847F3" w:rsidRPr="00D847F3" w:rsidRDefault="00D847F3" w:rsidP="00D847F3">
      <w:pPr>
        <w:shd w:val="clear" w:color="auto" w:fill="FFFFFF"/>
        <w:spacing w:after="450" w:line="240" w:lineRule="auto"/>
        <w:textAlignment w:val="baseline"/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Так как напряжение внешнего источника прикладывается встречно контактной разности потенциалов, то потенциальный барьер снижается на величину </w:t>
      </w:r>
      <w:r w:rsidRPr="00D847F3">
        <w:rPr>
          <w:rFonts w:ascii="Rubik" w:hAnsi="Rubik" w:cs="Rubik"/>
          <w:i/>
          <w:iCs/>
          <w:color w:val="202122"/>
          <w:sz w:val="20"/>
          <w:szCs w:val="20"/>
        </w:rPr>
        <w:t>u</w:t>
      </w:r>
    </w:p>
    <w:p w14:paraId="6AE12526" w14:textId="2C34AE88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>
        <w:rPr>
          <w:rFonts w:cstheme="minorHAnsi"/>
          <w:b/>
        </w:rPr>
        <w:t xml:space="preserve">2. 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Вольтамперная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 xml:space="preserve"> характеристика состоит как бы из двух ветвей: прямая ветвь, в правой верхней части, соответствует прямому (пропускному) току через диод, и обратная ветвь, в левой нижней части, соответствующая обратному (закрытому) току через диод.</w:t>
      </w:r>
    </w:p>
    <w:p w14:paraId="5A5B0B8E" w14:textId="178DC866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Прямая ветвь идет круто вверх, прижимаясь к вертикальной оси, и характеризует быстрый рост прямого тока через диод с увеличением прямого напряжения.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br/>
        <w:t xml:space="preserve">Обратная ветвь идет почти параллельно горизонтальной оси и характеризует медленный рост обратного тока. Чем круче к вертикальной оси прямая ветвь и чем ближе 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к горизонтальной обратной ветви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, тем лучше выпрямительные свойства диода.</w:t>
      </w:r>
    </w:p>
    <w:p w14:paraId="64A7CB68" w14:textId="1DAA53A5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>
        <w:rPr>
          <w:rFonts w:cstheme="minorHAnsi"/>
          <w:b/>
        </w:rPr>
        <w:t>3.</w:t>
      </w:r>
      <w:r>
        <w:rPr>
          <w:rFonts w:cstheme="minorHAnsi"/>
          <w:b/>
        </w:rPr>
        <w:t xml:space="preserve"> 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Полупроводниковые диоды имеют меньшие размеры и меньшее энергопотребление, но также имеют зависимость характеристик от температуры и меньшую устойчивость к перегрузкам.</w:t>
      </w:r>
    </w:p>
    <w:p w14:paraId="0D08BEFC" w14:textId="7E0231BC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>
        <w:rPr>
          <w:rFonts w:cstheme="minorHAnsi"/>
          <w:b/>
        </w:rPr>
        <w:t xml:space="preserve">4. 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Пусть первоначально имеется N изолированных атомов какого-либо вещества. Пока атомы изолированы друг от друга, они имеют полностью совпадающие схемы энергетических уровней. Заполнение уровней электронами осуществляется в каждом атоме независимо от заполнения аналогичных уровней в других атомах. По мере сближения атомов между ними возникает все усиливающееся взаимодействие, которое приводит к изменению положения уровней. Вместо одинакового для всех N атомов уровня возникают N очень близких, но не совпадающих уровней. Таким образом, каждый уровень атома расщепляется в кристалле на N густо расположенных уровней, образующих полосу или зону.</w:t>
      </w:r>
    </w:p>
    <w:p w14:paraId="6E3B4950" w14:textId="348ABDC4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>
        <w:rPr>
          <w:rFonts w:cstheme="minorHAnsi"/>
          <w:b/>
        </w:rPr>
        <w:t xml:space="preserve">5. </w:t>
      </w: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Последняя свободная зона разрешенных энергий для электронов в твердом теле, расположенная над полностью заполненной зоной, называется зоной проводимости.</w:t>
      </w:r>
    </w:p>
    <w:p w14:paraId="73786CAF" w14:textId="77777777" w:rsidR="00D847F3" w:rsidRPr="00D847F3" w:rsidRDefault="00D847F3" w:rsidP="00D847F3">
      <w:pPr>
        <w:rPr>
          <w:rFonts w:ascii="Rubik" w:hAnsi="Rubik" w:cs="Rubik"/>
          <w:color w:val="202122"/>
          <w:sz w:val="20"/>
          <w:szCs w:val="20"/>
          <w:shd w:val="clear" w:color="auto" w:fill="FFFFFF"/>
        </w:rPr>
      </w:pPr>
      <w:r w:rsidRPr="00D847F3">
        <w:rPr>
          <w:rFonts w:ascii="Rubik" w:hAnsi="Rubik" w:cs="Rubik"/>
          <w:color w:val="202122"/>
          <w:sz w:val="20"/>
          <w:szCs w:val="20"/>
          <w:shd w:val="clear" w:color="auto" w:fill="FFFFFF"/>
        </w:rPr>
        <w:t>Зона разрешенных энергий, расположенная под зоной проводимости, называется валентной зоной.</w:t>
      </w:r>
    </w:p>
    <w:p w14:paraId="4693009C" w14:textId="77777777" w:rsidR="00946943" w:rsidRDefault="00946943">
      <w:bookmarkStart w:id="0" w:name="_GoBack"/>
      <w:bookmarkEnd w:id="0"/>
    </w:p>
    <w:sectPr w:rsidR="00946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Noto Sans CJK SC Regular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F7"/>
    <w:rsid w:val="001340CE"/>
    <w:rsid w:val="008B46F7"/>
    <w:rsid w:val="00946943"/>
    <w:rsid w:val="00D847F3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9ED3"/>
  <w15:chartTrackingRefBased/>
  <w15:docId w15:val="{E75D536A-9593-4FE0-9C69-80053D39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0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340CE"/>
    <w:rPr>
      <w:i/>
      <w:iCs/>
    </w:rPr>
  </w:style>
  <w:style w:type="paragraph" w:styleId="a4">
    <w:name w:val="Normal (Web)"/>
    <w:basedOn w:val="a"/>
    <w:uiPriority w:val="99"/>
    <w:semiHidden/>
    <w:unhideWhenUsed/>
    <w:rsid w:val="00D84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2020-06-04T04:37:00Z</dcterms:created>
  <dcterms:modified xsi:type="dcterms:W3CDTF">2020-06-04T04:49:00Z</dcterms:modified>
</cp:coreProperties>
</file>