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D9E25" w14:textId="77777777" w:rsidR="00AF4142" w:rsidRDefault="0073350E">
      <w:pPr>
        <w:spacing w:after="240"/>
        <w:jc w:val="center"/>
      </w:pPr>
      <w:r>
        <w:rPr>
          <w:b/>
          <w:bCs/>
          <w:sz w:val="28"/>
          <w:szCs w:val="28"/>
        </w:rPr>
        <w:t>Corporate Governance as a Club Good:</w:t>
      </w:r>
    </w:p>
    <w:p w14:paraId="1148D5EC" w14:textId="77777777" w:rsidR="00AF4142" w:rsidRDefault="0073350E">
      <w:pPr>
        <w:spacing w:after="240"/>
        <w:jc w:val="center"/>
      </w:pPr>
      <w:r>
        <w:rPr>
          <w:b/>
          <w:bCs/>
          <w:sz w:val="28"/>
          <w:szCs w:val="28"/>
        </w:rPr>
        <w:t>The Shareholder Rights Movement’s Category Error</w:t>
      </w:r>
    </w:p>
    <w:p w14:paraId="32438877" w14:textId="77777777" w:rsidR="00AF4142" w:rsidRDefault="0073350E">
      <w:pPr>
        <w:spacing w:after="480"/>
        <w:jc w:val="center"/>
      </w:pPr>
      <w:r>
        <w:t>Seth C. Oranburg*</w:t>
      </w:r>
    </w:p>
    <w:p w14:paraId="63D70CE1" w14:textId="77777777" w:rsidR="00AF4142" w:rsidRDefault="0073350E">
      <w:pPr>
        <w:pStyle w:val="Heading1"/>
      </w:pPr>
      <w:r>
        <w:t>ABSTRACT</w:t>
      </w:r>
    </w:p>
    <w:p w14:paraId="4C15F0CC" w14:textId="77777777" w:rsidR="00AF4142" w:rsidRDefault="0073350E">
      <w:pPr>
        <w:spacing w:line="480" w:lineRule="auto"/>
        <w:jc w:val="both"/>
      </w:pPr>
      <w:r>
        <w:t xml:space="preserve">For thirty years, every major corporate governance reform has rested on a single premise: that governance quality increases with shareholder participation. Proxy access, say-on-pay, expanded oversight duties under </w:t>
      </w:r>
      <w:r>
        <w:rPr>
          <w:i/>
          <w:iCs/>
        </w:rPr>
        <w:t>Caremark</w:t>
      </w:r>
      <w:r>
        <w:t xml:space="preserve">, and mandatory institutional voting all follow the same logic — open the club to more members and the institution improves. This Article demonstrates that the premise is wrong. Corporate governance is not a public good, to which the maxim "more access, better outcomes" properly applies. It is a club good in the sense identified by James Buchanan: excludable, </w:t>
      </w:r>
      <w:proofErr w:type="spellStart"/>
      <w:r>
        <w:t>nonrivalrous</w:t>
      </w:r>
      <w:proofErr w:type="spellEnd"/>
      <w:r>
        <w:t xml:space="preserve"> up to a point of congestion, and productive of positive externalities whose value depends on maintaining appropriate membership constraints. Treating a club good as a public good does not improve it. It congests and degrades it. The evidence confirms the prediction: CEO compensation has nearly doubled since say-on-pay's enactment, proxy advisory firms now control over ninety percent of a market that the mandatory voting regime created, and passive index funds holding twenty-one percent of the equity market deploy fifteen governance professionals to monitor thirteen thousand companies. The shareholder rights movement empowered intermediaries, not shareholders. This Article develops the club-good framework for corporate governance, shows how it explains the movement's documented failures, and derives doctrinal implications: the business judgment rule functions as the excludability protection on which governance quality depends, and reforms that erode it do not improve governance — they congest it.</w:t>
      </w:r>
    </w:p>
    <w:p w14:paraId="00C3B2E1" w14:textId="77777777" w:rsidR="00AF4142" w:rsidRDefault="0073350E">
      <w:pPr>
        <w:pStyle w:val="Heading1"/>
      </w:pPr>
      <w:r>
        <w:lastRenderedPageBreak/>
        <w:t>INTRODUCTION</w:t>
      </w:r>
    </w:p>
    <w:p w14:paraId="6EB2235F" w14:textId="77777777" w:rsidR="00AF4142" w:rsidRDefault="0073350E">
      <w:pPr>
        <w:spacing w:line="480" w:lineRule="auto"/>
        <w:jc w:val="both"/>
      </w:pPr>
      <w:r>
        <w:t xml:space="preserve">Corporate governance is a club good. For thirty years, Congress, the Securities and Exchange Commission, and Delaware's judiciary have proceeded on the opposite assumption — that governance behaves like a public good, improving as access expands. That category error has produced the shareholder rights movement's central paradox: each reform designed to empower shareholders has instead transferred governance authority to intermediaries less qualified and less motivated to exercise it. The claim is not that boards should be insulated from all review; entire fairness doctrine and core </w:t>
      </w:r>
      <w:r>
        <w:rPr>
          <w:i/>
          <w:iCs/>
        </w:rPr>
        <w:t>Caremark</w:t>
      </w:r>
      <w:r>
        <w:t xml:space="preserve"> liability enforce the quality criteria on which governance depends. The claim is that the business judgment rule and related deference doctrines function as the excludability protection of a club good — the institutional mechanism that maintains governance quality by constraining participation to actors capable of governing well. Reforms that erode that protection do not democratize governance. They congest and degrade it.</w:t>
      </w:r>
    </w:p>
    <w:p w14:paraId="4303F836" w14:textId="77777777" w:rsidR="00AF4142" w:rsidRDefault="0073350E">
      <w:pPr>
        <w:spacing w:line="480" w:lineRule="auto"/>
        <w:ind w:firstLine="720"/>
        <w:jc w:val="both"/>
      </w:pPr>
      <w:r>
        <w:t>The empirical record makes this concrete. Say-on-pay, the Dodd-Frank Act's flagship governance reform, was designed to discipline executive compensation by giving shareholders a formal voice.</w:t>
      </w:r>
      <w:r>
        <w:rPr>
          <w:rStyle w:val="FootnoteReference"/>
        </w:rPr>
        <w:footnoteReference w:id="1"/>
      </w:r>
      <w:r>
        <w:t xml:space="preserve"> Median S&amp;P 500 CEO compensation was approximately $7.5 million when the provision took effect in 2011; by 2024, it had reached $17 million, a 127% increase over thirteen years.</w:t>
      </w:r>
      <w:r>
        <w:rPr>
          <w:rStyle w:val="FootnoteReference"/>
        </w:rPr>
        <w:footnoteReference w:id="2"/>
      </w:r>
      <w:r>
        <w:t xml:space="preserve"> Say-on-pay vote failure rates have never exceeded four percent in any year since enactment, meaning shareholders approve the overwhelming </w:t>
      </w:r>
      <w:r>
        <w:lastRenderedPageBreak/>
        <w:t>majority of packages presented to them.</w:t>
      </w:r>
      <w:r>
        <w:rPr>
          <w:rStyle w:val="FootnoteReference"/>
        </w:rPr>
        <w:footnoteReference w:id="3"/>
      </w:r>
      <w:r>
        <w:t xml:space="preserve"> The mechanism that was supposed to constrain compensation has instead ratified it at historically elevated levels. A reform premised on participation produced a result indistinguishable from the absence of reform.</w:t>
      </w:r>
    </w:p>
    <w:p w14:paraId="0A5608DC" w14:textId="77777777" w:rsidR="00AF4142" w:rsidRDefault="0073350E">
      <w:pPr>
        <w:spacing w:line="480" w:lineRule="auto"/>
        <w:ind w:firstLine="720"/>
        <w:jc w:val="both"/>
      </w:pPr>
      <w:r>
        <w:t>The mandatory institutional voting regime — which the SEC created in 2003 to ensure that institutional investors vote client shares in clients' best interests — produced an outcome more structurally perverse.</w:t>
      </w:r>
      <w:r>
        <w:rPr>
          <w:rStyle w:val="FootnoteReference"/>
        </w:rPr>
        <w:footnoteReference w:id="4"/>
      </w:r>
      <w:r>
        <w:t xml:space="preserve"> Unable to evaluate thousands of portfolio companies individually, institutional investors outsourced their voting obligations to proxy advisory firms. Two firms, Institutional Shareholder Services (ISS) and Glass Lewis, now control over ninety percent of the proxy advisory market.</w:t>
      </w:r>
      <w:r>
        <w:rPr>
          <w:rStyle w:val="FootnoteReference"/>
        </w:rPr>
        <w:footnoteReference w:id="5"/>
      </w:r>
      <w:r>
        <w:t xml:space="preserve"> Robo-voting — in which institutional investors automatically implement proxy advisor recommendations without independent review — grew from seven percent of ISS customers in 2007 to twenty-three percent by 2021.</w:t>
      </w:r>
      <w:r>
        <w:rPr>
          <w:rStyle w:val="FootnoteReference"/>
        </w:rPr>
        <w:footnoteReference w:id="6"/>
      </w:r>
      <w:r>
        <w:t xml:space="preserve"> A regime designed to empower dispersed shareholders created a private governance </w:t>
      </w:r>
      <w:r>
        <w:lastRenderedPageBreak/>
        <w:t>duopoly accountable to no one. That is not a marginal unintended consequence. That is the opposite of the stated purpose.</w:t>
      </w:r>
    </w:p>
    <w:p w14:paraId="219EA036" w14:textId="77777777" w:rsidR="00AF4142" w:rsidRDefault="0073350E">
      <w:pPr>
        <w:spacing w:line="480" w:lineRule="auto"/>
        <w:ind w:firstLine="720"/>
        <w:jc w:val="both"/>
      </w:pPr>
      <w:r>
        <w:t xml:space="preserve">Club-good theory explains why these outcomes were predictable. Buchanan demonstrated in 1965 that club goods — excludable, </w:t>
      </w:r>
      <w:proofErr w:type="spellStart"/>
      <w:r>
        <w:t>nonrivalrous</w:t>
      </w:r>
      <w:proofErr w:type="spellEnd"/>
      <w:r>
        <w:t xml:space="preserve"> up to a congestion threshold, and valuable precisely because membership constraints maintain quality — occupy a middle ground between private and public goods.</w:t>
      </w:r>
      <w:r>
        <w:rPr>
          <w:rStyle w:val="FootnoteReference"/>
        </w:rPr>
        <w:footnoteReference w:id="7"/>
      </w:r>
      <w:r>
        <w:t xml:space="preserve"> Corporate governance fits this definition: the board's statutory authority under section 141(a) is the excludability mechanism, judicial deference under the business judgment rule is the institutional protection that keeps that mechanism credible, and reforms that weaken either admit poorly incentivized participants whose mass produces congestion rather than accountability.</w:t>
      </w:r>
      <w:r>
        <w:rPr>
          <w:rStyle w:val="FootnoteReference"/>
        </w:rPr>
        <w:footnoteReference w:id="8"/>
      </w:r>
    </w:p>
    <w:p w14:paraId="5D750B9C" w14:textId="77777777" w:rsidR="00AF4142" w:rsidRDefault="0073350E">
      <w:pPr>
        <w:spacing w:line="480" w:lineRule="auto"/>
        <w:ind w:firstLine="720"/>
        <w:jc w:val="both"/>
      </w:pPr>
      <w:r>
        <w:t xml:space="preserve">Part I traces the shareholder rights movement's major reforms and identifies the implicit theory driving them: that governance is a public good to which more access produces better outcomes. Part II presents the evidence of failure across four domains: executive compensation, proxy advisor concentration, passive fund governance quality, and </w:t>
      </w:r>
      <w:r>
        <w:rPr>
          <w:i/>
          <w:iCs/>
        </w:rPr>
        <w:t>Caremark</w:t>
      </w:r>
      <w:r>
        <w:t xml:space="preserve"> compliance outcomes. Part III develops the club-good framework, defining the excludability mechanism, identifying the congestion dynamics the movement's reforms produced, and explaining why these dynamics generate the failures Part II documents. Part IV applies the club-good explanation to each major reform. Part V derives doctrinal implications: what the club-good framework means for the business judgment rule, </w:t>
      </w:r>
      <w:r>
        <w:rPr>
          <w:i/>
          <w:iCs/>
        </w:rPr>
        <w:t>Caremark</w:t>
      </w:r>
      <w:r>
        <w:t xml:space="preserve">'s trajectory, the Delaware-Texas competition, and the standard courts and legislatures should </w:t>
      </w:r>
      <w:r>
        <w:lastRenderedPageBreak/>
        <w:t>apply when evaluating governance reforms. Part VI addresses three significant objections: that the framework enables entrenchment, that it neglects accountability, and that the empirical evidence is more contested than the analysis suggests.</w:t>
      </w:r>
    </w:p>
    <w:p w14:paraId="6E4B5143" w14:textId="77777777" w:rsidR="00AF4142" w:rsidRDefault="0073350E">
      <w:pPr>
        <w:spacing w:line="480" w:lineRule="auto"/>
        <w:ind w:firstLine="720"/>
        <w:jc w:val="both"/>
      </w:pPr>
      <w:r>
        <w:t xml:space="preserve">This Article makes three contributions. First, it reconceptualizes corporate governance within Buchanan's economic theory of clubs — a framework that has illuminated private legal systems, common-pool resources, and network goods but has not previously been applied to corporate governance. Second, it explains thirty years of documented reform failures as predictable consequences of a category error: treating a club good as a public good </w:t>
      </w:r>
      <w:proofErr w:type="gramStart"/>
      <w:r>
        <w:t>produces</w:t>
      </w:r>
      <w:proofErr w:type="gramEnd"/>
      <w:r>
        <w:t xml:space="preserve"> congestion, not accountability. Third, it derives a concrete doctrinal standard — the distinction between membership-criteria enforcement and participation-induced congestion — that courts and regulators can apply when evaluating governance reforms.</w:t>
      </w:r>
    </w:p>
    <w:p w14:paraId="5A795F44" w14:textId="77777777" w:rsidR="00AF4142" w:rsidRDefault="0073350E">
      <w:pPr>
        <w:spacing w:line="480" w:lineRule="auto"/>
        <w:ind w:firstLine="720"/>
        <w:jc w:val="both"/>
      </w:pPr>
      <w:r>
        <w:t xml:space="preserve">Relative to existing literature, the club-good framework occupies distinctive ground. Board-primacy theorists, most prominently Bainbridge, defend judicial deference as a necessary condition for effective board governance but do not explain why some expansions of review (entire fairness, core </w:t>
      </w:r>
      <w:r>
        <w:rPr>
          <w:i/>
          <w:iCs/>
        </w:rPr>
        <w:t>Caremark</w:t>
      </w:r>
      <w:r>
        <w:t xml:space="preserve">) improve governance quality while others degrade it. Shareholder-empowerment theorists, most prominently Bebchuk, identify real agency costs in board-centric governance but prescribe participation expansion that three decades of evidence have failed to vindicate. The club-good framework accounts for both insights: governance quality requires excludability (Bainbridge is right about the mechanism), but excludability requires membership criteria that screen out self-dealing </w:t>
      </w:r>
      <w:r>
        <w:lastRenderedPageBreak/>
        <w:t>and utter oversight failure (Bebchuk is right about the problem). What the framework rejects is the assumption, common to the shareholder rights movement, that the corrective for agency costs is expanded participation rather than enforced quality standards.</w:t>
      </w:r>
    </w:p>
    <w:p w14:paraId="7D488B24" w14:textId="77777777" w:rsidR="00AF4142" w:rsidRDefault="0073350E">
      <w:pPr>
        <w:spacing w:line="480" w:lineRule="auto"/>
        <w:ind w:firstLine="720"/>
        <w:jc w:val="both"/>
      </w:pPr>
      <w:r>
        <w:t>Delaware's 2024 legislative response to the post-</w:t>
      </w:r>
      <w:r>
        <w:rPr>
          <w:i/>
          <w:iCs/>
        </w:rPr>
        <w:t>Tornetta</w:t>
      </w:r>
      <w:r>
        <w:t xml:space="preserve"> corporate anxiety illustrates the practical stakes. When Chancellor Kathaleen St. Jude McCormick rescinded Elon Musk's $55.8 billion compensation package in January 2024 and subsequently rejected shareholder ratification of the same package, firms including Tesla, Dropbox, and TripAdvisor reincorporated out of Delaware, and the Delaware legislature enacted Senate Bill 21, the most significant overhaul of the General Corporation Law in decades, restoring predictability to the controlling stockholder regime.</w:t>
      </w:r>
      <w:r>
        <w:rPr>
          <w:rStyle w:val="FootnoteReference"/>
        </w:rPr>
        <w:footnoteReference w:id="9"/>
      </w:r>
      <w:r>
        <w:t xml:space="preserve"> Texas responded by enacting Senate Bill 29, which codified the business judgment rule by statute — a direct competitive bid for incorporation business on the specific dimension of board deference.</w:t>
      </w:r>
      <w:r>
        <w:rPr>
          <w:rStyle w:val="FootnoteReference"/>
        </w:rPr>
        <w:footnoteReference w:id="10"/>
      </w:r>
      <w:r>
        <w:t xml:space="preserve"> States are competing not on shareholder rights but on the reliability of excludability protection. The market for corporate governance is, in club-good terms, a competition over who provides the better institutional structure for producing governance quality. The shareholder rights movement has spent thirty years weakening that structure. The club-good framework shows </w:t>
      </w:r>
      <w:proofErr w:type="gramStart"/>
      <w:r>
        <w:t>why, and</w:t>
      </w:r>
      <w:proofErr w:type="gramEnd"/>
      <w:r>
        <w:t xml:space="preserve"> shows what to do instead.</w:t>
      </w:r>
    </w:p>
    <w:p w14:paraId="630EE34E" w14:textId="77777777" w:rsidR="00AF4142" w:rsidRDefault="0073350E">
      <w:pPr>
        <w:pStyle w:val="Heading1"/>
      </w:pPr>
      <w:r>
        <w:t>THE SHAREHOLDER RIGHTS MOVEMENT AND ITS PREMISE</w:t>
      </w:r>
    </w:p>
    <w:p w14:paraId="4D331182" w14:textId="77777777" w:rsidR="00AF4142" w:rsidRDefault="0073350E">
      <w:pPr>
        <w:pStyle w:val="Heading2"/>
      </w:pPr>
      <w:r>
        <w:lastRenderedPageBreak/>
        <w:t>The Reforms and Their Logic</w:t>
      </w:r>
    </w:p>
    <w:p w14:paraId="3B3390D4" w14:textId="77777777" w:rsidR="00AF4142" w:rsidRDefault="0073350E">
      <w:pPr>
        <w:spacing w:line="480" w:lineRule="auto"/>
        <w:jc w:val="both"/>
      </w:pPr>
      <w:r>
        <w:t xml:space="preserve">The shareholder rights movement encompasses a generation of statutory, regulatory, and judicial developments that share a common architecture: identify a domain of corporate decision-making previously reserved to the </w:t>
      </w:r>
      <w:proofErr w:type="gramStart"/>
      <w:r>
        <w:t>board, and</w:t>
      </w:r>
      <w:proofErr w:type="gramEnd"/>
      <w:r>
        <w:t xml:space="preserve"> introduce a mechanism for shareholder participation. The movement's major institutional expressions fall into three categories.</w:t>
      </w:r>
    </w:p>
    <w:p w14:paraId="4447DE5F" w14:textId="77777777" w:rsidR="00AF4142" w:rsidRDefault="0073350E">
      <w:pPr>
        <w:spacing w:line="480" w:lineRule="auto"/>
        <w:ind w:firstLine="720"/>
        <w:jc w:val="both"/>
      </w:pPr>
      <w:r>
        <w:t>Congress legislated two foundational reforms. The Sarbanes-Oxley Act of 2002, enacted in the immediate aftermath of the Enron and WorldCom collapses, imposed internal control attestation requirements under section 404 and restricted the board's ability to delegate certain financial oversight functions.</w:t>
      </w:r>
      <w:r>
        <w:rPr>
          <w:rStyle w:val="FootnoteReference"/>
        </w:rPr>
        <w:footnoteReference w:id="11"/>
      </w:r>
      <w:r>
        <w:t xml:space="preserve"> The Dodd-Frank Wall Street Reform and Consumer Protection Act of 2010 required public companies to hold non-binding shareholder votes on executive compensation — say-on-pay — at least once every three years, and authorized the SEC to adopt proxy access rules enabling shareholders to nominate directors through company proxy materials.</w:t>
      </w:r>
      <w:r>
        <w:rPr>
          <w:rStyle w:val="FootnoteReference"/>
        </w:rPr>
        <w:footnoteReference w:id="12"/>
      </w:r>
    </w:p>
    <w:p w14:paraId="142AB5AF" w14:textId="77777777" w:rsidR="00AF4142" w:rsidRDefault="0073350E">
      <w:pPr>
        <w:spacing w:line="480" w:lineRule="auto"/>
        <w:ind w:firstLine="720"/>
        <w:jc w:val="both"/>
      </w:pPr>
      <w:r>
        <w:t>The SEC extended the movement through rulemaking and guidance. In 2003, the Commission adopted rules requiring registered investment advisers to implement proxy voting policies and to vote client shares in clients' best interests, effectively mandating that institutional investors exercise votes they had previously allowed to lapse.</w:t>
      </w:r>
      <w:r>
        <w:rPr>
          <w:rStyle w:val="FootnoteReference"/>
        </w:rPr>
        <w:footnoteReference w:id="13"/>
      </w:r>
      <w:r>
        <w:t xml:space="preserve"> Although the Commission's 2010 attempt to adopt a mandatory proxy access rule was vacated by the </w:t>
      </w:r>
      <w:r>
        <w:lastRenderedPageBreak/>
        <w:t>D.C. Circuit, shareholder-adopted proxy access bylaws proliferated through private ordering, and by 2019 a majority of S&amp;P 500 companies had adopted some form of proxy access provision.</w:t>
      </w:r>
      <w:r>
        <w:rPr>
          <w:rStyle w:val="FootnoteReference"/>
        </w:rPr>
        <w:footnoteReference w:id="14"/>
      </w:r>
    </w:p>
    <w:p w14:paraId="4588C5E1" w14:textId="77777777" w:rsidR="00AF4142" w:rsidRDefault="0073350E">
      <w:pPr>
        <w:spacing w:line="480" w:lineRule="auto"/>
        <w:ind w:firstLine="720"/>
        <w:jc w:val="both"/>
      </w:pPr>
      <w:r>
        <w:t xml:space="preserve">Delaware's Court of Chancery expanded the movement's judicial component. The </w:t>
      </w:r>
      <w:r>
        <w:rPr>
          <w:i/>
          <w:iCs/>
        </w:rPr>
        <w:t>Caremark</w:t>
      </w:r>
      <w:r>
        <w:t xml:space="preserve"> decision of 1996 had established that directors owe a duty to implement systems capable of monitoring corporate compliance with law, though Chancellor Allen characterized claims under this doctrine as "possibly the most difficult theory in corporation law upon which a plaintiff might hope to win a judgment."</w:t>
      </w:r>
      <w:r>
        <w:rPr>
          <w:rStyle w:val="FootnoteReference"/>
        </w:rPr>
        <w:footnoteReference w:id="15"/>
      </w:r>
      <w:r>
        <w:t xml:space="preserve"> The subsequent decades transformed </w:t>
      </w:r>
      <w:r>
        <w:rPr>
          <w:i/>
          <w:iCs/>
        </w:rPr>
        <w:t>Caremark</w:t>
      </w:r>
      <w:r>
        <w:t xml:space="preserve"> from a near-impossible claim into an active litigation category. </w:t>
      </w:r>
      <w:r>
        <w:rPr>
          <w:i/>
          <w:iCs/>
        </w:rPr>
        <w:t>Marchand v. Barnhill</w:t>
      </w:r>
      <w:r>
        <w:t xml:space="preserve"> in 2019 revitalized oversight duties by establishing that boards of companies operating in highly regulated industries bear heightened obligations to monitor mission-critical risks.</w:t>
      </w:r>
      <w:r>
        <w:rPr>
          <w:rStyle w:val="FootnoteReference"/>
        </w:rPr>
        <w:footnoteReference w:id="16"/>
      </w:r>
      <w:r>
        <w:t xml:space="preserve"> Later decisions extended the doctrine to financial reporting integrity, aircraft safety, and human capital management.</w:t>
      </w:r>
      <w:r>
        <w:rPr>
          <w:rStyle w:val="FootnoteReference"/>
        </w:rPr>
        <w:footnoteReference w:id="17"/>
      </w:r>
      <w:r>
        <w:t xml:space="preserve"> By 2024, the number of viable </w:t>
      </w:r>
      <w:r>
        <w:rPr>
          <w:i/>
          <w:iCs/>
        </w:rPr>
        <w:t>Caremark</w:t>
      </w:r>
      <w:r>
        <w:t xml:space="preserve"> claims had risen sharply, and leading corporate law firms were warning directors that </w:t>
      </w:r>
      <w:r>
        <w:lastRenderedPageBreak/>
        <w:t>the doctrine's expansion risked making them personal guarantors of corporate compliance.</w:t>
      </w:r>
      <w:r>
        <w:rPr>
          <w:rStyle w:val="FootnoteReference"/>
        </w:rPr>
        <w:footnoteReference w:id="18"/>
      </w:r>
    </w:p>
    <w:p w14:paraId="2B1C1145" w14:textId="77777777" w:rsidR="00AF4142" w:rsidRDefault="0073350E">
      <w:pPr>
        <w:pStyle w:val="Heading2"/>
      </w:pPr>
      <w:r>
        <w:t>The Implicit Theory: Governance as a Public Good</w:t>
      </w:r>
    </w:p>
    <w:p w14:paraId="6ECF574F" w14:textId="77777777" w:rsidR="00AF4142" w:rsidRDefault="0073350E">
      <w:pPr>
        <w:spacing w:line="480" w:lineRule="auto"/>
        <w:jc w:val="both"/>
      </w:pPr>
      <w:r>
        <w:t>No single document articulates the premise underlying these reforms, but it is discernible from structure. Each major intervention follows the same logic: a domain of corporate decision-making is identified as inadequately governed, and the proposed correction is to introduce more participants — shareholders voting on compensation, institutional investors required to vote their shares, directors required to monitor compliance more actively and face liability for failure. The governance deficit is treated as a problem of insufficient participation, and the solution is expanded access.</w:t>
      </w:r>
    </w:p>
    <w:p w14:paraId="23556A56" w14:textId="77777777" w:rsidR="00AF4142" w:rsidRDefault="0073350E">
      <w:pPr>
        <w:spacing w:line="480" w:lineRule="auto"/>
        <w:ind w:firstLine="720"/>
        <w:jc w:val="both"/>
      </w:pPr>
      <w:r>
        <w:t xml:space="preserve">This is the logic of a public good. National defense is the canonical public good: it is non-excludable (benefits flow to everyone regardless of contribution), </w:t>
      </w:r>
      <w:proofErr w:type="spellStart"/>
      <w:r>
        <w:t>nonrivalrous</w:t>
      </w:r>
      <w:proofErr w:type="spellEnd"/>
      <w:r>
        <w:t xml:space="preserve"> (one person's protection does not diminish another's), and subject to chronic undersupply at market equilibrium precisely because no private actor can capture sufficient benefit to justify the full cost of provision.</w:t>
      </w:r>
      <w:r>
        <w:rPr>
          <w:rStyle w:val="FootnoteReference"/>
        </w:rPr>
        <w:footnoteReference w:id="19"/>
      </w:r>
      <w:r>
        <w:t xml:space="preserve"> The standard corrective is mandatory contribution through taxation. Analogously, the shareholder rights movement treats governance as a resource </w:t>
      </w:r>
      <w:r>
        <w:lastRenderedPageBreak/>
        <w:t>whose benefits flow to all shareholders and whose quality increases as participation expands. Mandatory voting requirements, compulsory say-on-pay, and expanded oversight duties function as the taxation mechanism — forcing contributions to the governance commons from participants who would otherwise free-ride.</w:t>
      </w:r>
    </w:p>
    <w:p w14:paraId="1EDD29A7" w14:textId="77777777" w:rsidR="00AF4142" w:rsidRDefault="0073350E">
      <w:pPr>
        <w:spacing w:line="480" w:lineRule="auto"/>
        <w:ind w:firstLine="720"/>
        <w:jc w:val="both"/>
      </w:pPr>
      <w:r>
        <w:t>The analogy to public goods is wrong, for reasons the next Part develops. But it is worth pausing to note how deep the assumption runs. When Congress debated say-on-pay, the question was not whether shareholder voting on compensation would improve governance; the premise was that shareholders are the appropriate governors of executive pay and that their voice had been wrongly excluded.</w:t>
      </w:r>
      <w:r>
        <w:rPr>
          <w:rStyle w:val="FootnoteReference"/>
        </w:rPr>
        <w:footnoteReference w:id="20"/>
      </w:r>
      <w:r>
        <w:t xml:space="preserve"> When the SEC mandated institutional investor voting, the premise was that more voting produces better outcomes and that the previous pattern of non-voting was a governance deficit to be corrected.</w:t>
      </w:r>
      <w:r>
        <w:rPr>
          <w:rStyle w:val="FootnoteReference"/>
        </w:rPr>
        <w:footnoteReference w:id="21"/>
      </w:r>
      <w:r>
        <w:t xml:space="preserve"> When the Court of Chancery expanded </w:t>
      </w:r>
      <w:r>
        <w:rPr>
          <w:i/>
          <w:iCs/>
        </w:rPr>
        <w:t>Caremark</w:t>
      </w:r>
      <w:r>
        <w:t>, the premise was that closer judicial supervision of board conduct improves the quality of directorial oversight.</w:t>
      </w:r>
      <w:r>
        <w:rPr>
          <w:rStyle w:val="FootnoteReference"/>
        </w:rPr>
        <w:footnoteReference w:id="22"/>
      </w:r>
      <w:r>
        <w:t xml:space="preserve"> In each case, the intervention rested on the same unstated assumption: governance is a good that improves as access expands.</w:t>
      </w:r>
    </w:p>
    <w:p w14:paraId="2593BF4A" w14:textId="77777777" w:rsidR="00AF4142" w:rsidRDefault="0073350E">
      <w:pPr>
        <w:pStyle w:val="Heading1"/>
      </w:pPr>
      <w:r>
        <w:t>THE EVIDENCE OF FAILURE</w:t>
      </w:r>
    </w:p>
    <w:p w14:paraId="301E48A2" w14:textId="77777777" w:rsidR="00AF4142" w:rsidRDefault="0073350E">
      <w:pPr>
        <w:pStyle w:val="Heading2"/>
      </w:pPr>
      <w:r>
        <w:t>Say-on-Pay and the Compensation Paradox</w:t>
      </w:r>
    </w:p>
    <w:p w14:paraId="14D54506" w14:textId="77777777" w:rsidR="00AF4142" w:rsidRDefault="0073350E">
      <w:pPr>
        <w:spacing w:line="480" w:lineRule="auto"/>
        <w:jc w:val="both"/>
      </w:pPr>
      <w:r>
        <w:lastRenderedPageBreak/>
        <w:t>Say-on-pay's record on its own stated terms is definitive. The provision was designed to give shareholders a voice in executive compensation, with the expectation that this voice would constrain compensation growth by subjecting excessive packages to public disapproval and board accountability.</w:t>
      </w:r>
      <w:r>
        <w:rPr>
          <w:rStyle w:val="FootnoteReference"/>
        </w:rPr>
        <w:footnoteReference w:id="23"/>
      </w:r>
      <w:r>
        <w:t xml:space="preserve"> Median S&amp;P 500 CEO total direct compensation was approximately $7.5 million in 2008.</w:t>
      </w:r>
      <w:r>
        <w:rPr>
          <w:rStyle w:val="FootnoteReference"/>
        </w:rPr>
        <w:footnoteReference w:id="24"/>
      </w:r>
      <w:r>
        <w:t xml:space="preserve"> By 2011, when say-on-pay took effect, it had risen to approximately $9 million following the financial-crisis recovery. By 2024, it reached $17 million — a 127% increase over the period of say-on-pay's operation.</w:t>
      </w:r>
      <w:r>
        <w:rPr>
          <w:rStyle w:val="FootnoteReference"/>
        </w:rPr>
        <w:footnoteReference w:id="25"/>
      </w:r>
      <w:r>
        <w:t xml:space="preserve"> CEO-to-median-worker pay ratios reached 285-to-1 at S&amp;P 500 companies by 2024.</w:t>
      </w:r>
      <w:r>
        <w:rPr>
          <w:rStyle w:val="FootnoteReference"/>
        </w:rPr>
        <w:footnoteReference w:id="26"/>
      </w:r>
    </w:p>
    <w:p w14:paraId="54C5A64F" w14:textId="77777777" w:rsidR="00AF4142" w:rsidRDefault="0073350E">
      <w:pPr>
        <w:spacing w:line="480" w:lineRule="auto"/>
        <w:ind w:firstLine="720"/>
        <w:jc w:val="both"/>
      </w:pPr>
      <w:r>
        <w:t xml:space="preserve">This increase occurred despite, or plausibly because of, the say-on-pay mechanism. Academic analysis of say-on-pay's effects finds no evidence of reduced compensation growth. Fisch, Palia, and Solomon conclude that say-on-pay votes primarily reflect shareholder dissatisfaction with firm performance rather than compensation levels, and that the </w:t>
      </w:r>
      <w:r>
        <w:lastRenderedPageBreak/>
        <w:t>provision has failed to constrain CEO pay. Subsequent analysis finds that say-on-pay compressed compensation toward ISS-approved templates without reducing market median levels — standardization rather than restraint.</w:t>
      </w:r>
      <w:r>
        <w:rPr>
          <w:rStyle w:val="FootnoteReference"/>
        </w:rPr>
        <w:footnoteReference w:id="27"/>
      </w:r>
    </w:p>
    <w:p w14:paraId="3D8A0834" w14:textId="77777777" w:rsidR="00AF4142" w:rsidRDefault="0073350E">
      <w:pPr>
        <w:spacing w:line="480" w:lineRule="auto"/>
        <w:ind w:firstLine="720"/>
        <w:jc w:val="both"/>
      </w:pPr>
      <w:r>
        <w:t xml:space="preserve">The structural explanation is straightforward: say-on-pay votes fail at a rate below four percent even in peak years, meaning shareholders approve </w:t>
      </w:r>
      <w:proofErr w:type="gramStart"/>
      <w:r>
        <w:t>the overwhelming majority of</w:t>
      </w:r>
      <w:proofErr w:type="gramEnd"/>
      <w:r>
        <w:t xml:space="preserve"> compensation packages submitted to them.</w:t>
      </w:r>
      <w:r>
        <w:rPr>
          <w:rStyle w:val="FootnoteReference"/>
        </w:rPr>
        <w:footnoteReference w:id="28"/>
      </w:r>
      <w:r>
        <w:t xml:space="preserve"> Boards with near-certain approval in hand face no marginal incentive to constrain packages. Shareholders, confronting a binary vote on a package already negotiated and presented, have no mechanism to propose alternative structures. The result is theatrical accountability: a formal voting process with a near-certain predetermined outcome, consuming governance resources without producing governance accountability.</w:t>
      </w:r>
    </w:p>
    <w:p w14:paraId="7369951E" w14:textId="77777777" w:rsidR="00AF4142" w:rsidRDefault="0073350E">
      <w:pPr>
        <w:spacing w:line="480" w:lineRule="auto"/>
        <w:ind w:firstLine="720"/>
        <w:jc w:val="both"/>
      </w:pPr>
      <w:r>
        <w:t xml:space="preserve">The deeper problem is who is voting. Institutional investors collectively hold </w:t>
      </w:r>
      <w:proofErr w:type="gramStart"/>
      <w:r>
        <w:t>the majority of</w:t>
      </w:r>
      <w:proofErr w:type="gramEnd"/>
      <w:r>
        <w:t xml:space="preserve"> large public company shares. The three largest — BlackRock, Vanguard, and State Street — each deploy between fifteen and twenty governance professionals to cover thirteen thousand to fourteen thousand portfolio companies.</w:t>
      </w:r>
      <w:r>
        <w:rPr>
          <w:rStyle w:val="FootnoteReference"/>
        </w:rPr>
        <w:footnoteReference w:id="29"/>
      </w:r>
      <w:r>
        <w:t xml:space="preserve"> A single governance analyst </w:t>
      </w:r>
      <w:r>
        <w:lastRenderedPageBreak/>
        <w:t>at a major index fund is responsible for evaluating the compensation practices of approximately seven hundred to nine hundred companies annually.</w:t>
      </w:r>
      <w:r>
        <w:rPr>
          <w:rStyle w:val="FootnoteReference"/>
        </w:rPr>
        <w:footnoteReference w:id="30"/>
      </w:r>
      <w:r>
        <w:t xml:space="preserve"> Genuine evaluation of firm-specific compensation structure at that coverage ratio is not possible. The practical result is reliance on ISS and Glass Lewis recommendations, which apply standardized criteria across the portfolio without firm-specific adaptation. Say-on-pay did not transfer compensation governance from boards to shareholders. It transferred compensation governance from boards to proxy advisory firms.</w:t>
      </w:r>
    </w:p>
    <w:p w14:paraId="348AA51F" w14:textId="77777777" w:rsidR="00AF4142" w:rsidRDefault="0073350E">
      <w:pPr>
        <w:pStyle w:val="Heading2"/>
      </w:pPr>
      <w:r>
        <w:t>Mandatory Institutional Voting and the Proxy Advisor Duopoly</w:t>
      </w:r>
    </w:p>
    <w:p w14:paraId="45ED6E74" w14:textId="77777777" w:rsidR="00AF4142" w:rsidRDefault="0073350E">
      <w:pPr>
        <w:spacing w:line="480" w:lineRule="auto"/>
        <w:jc w:val="both"/>
      </w:pPr>
      <w:r>
        <w:t>The SEC's 2003 rule requiring investment advisers to vote client shares in clients' best interests was motivated by concern that institutional investors were allowing conflicts of interest to corrupt their voting decisions, or simply not voting.</w:t>
      </w:r>
      <w:r>
        <w:rPr>
          <w:rStyle w:val="FootnoteReference"/>
        </w:rPr>
        <w:footnoteReference w:id="31"/>
      </w:r>
      <w:r>
        <w:t xml:space="preserve"> The regulation's premise was that institutional investor participation in governance would improve it. The outcome was the creation of the ISS-Glass Lewis duopoly.</w:t>
      </w:r>
    </w:p>
    <w:p w14:paraId="40B329F6" w14:textId="77777777" w:rsidR="00AF4142" w:rsidRDefault="0073350E">
      <w:pPr>
        <w:spacing w:line="480" w:lineRule="auto"/>
        <w:ind w:firstLine="720"/>
        <w:jc w:val="both"/>
      </w:pPr>
      <w:r>
        <w:t>Unable to evaluate each portfolio company's proposals independently, institutional investors sought third-party voting recommendations to satisfy their fiduciary obligation to vote. ISS and Glass Lewis captured this demand. By 2021, the two firms collectively controlled over ninety percent of the proxy advisory market.</w:t>
      </w:r>
      <w:r>
        <w:rPr>
          <w:rStyle w:val="FootnoteReference"/>
        </w:rPr>
        <w:footnoteReference w:id="32"/>
      </w:r>
      <w:r>
        <w:t xml:space="preserve"> Robo-voting — automatic implementation of proxy advisor recommendations without independent review — grew from seven percent of ISS customers in 2007 to twenty-three percent by 2021.</w:t>
      </w:r>
      <w:r>
        <w:rPr>
          <w:rStyle w:val="FootnoteReference"/>
        </w:rPr>
        <w:footnoteReference w:id="33"/>
      </w:r>
      <w:r>
        <w:t xml:space="preserve"> Research documents that ISS recommendations exert substantial influence on compensation design: </w:t>
      </w:r>
      <w:r>
        <w:lastRenderedPageBreak/>
        <w:t>companies likely to receive negative ISS recommendations restructured their compensation plans to align with ISS criteria, producing convergence toward ISS-approved templates rather than firm-specific optimization.</w:t>
      </w:r>
      <w:r>
        <w:rPr>
          <w:rStyle w:val="FootnoteReference"/>
        </w:rPr>
        <w:footnoteReference w:id="34"/>
      </w:r>
    </w:p>
    <w:p w14:paraId="345DA9B2" w14:textId="77777777" w:rsidR="00AF4142" w:rsidRDefault="0073350E">
      <w:pPr>
        <w:spacing w:line="480" w:lineRule="auto"/>
        <w:ind w:firstLine="720"/>
        <w:jc w:val="both"/>
      </w:pPr>
      <w:r>
        <w:t>The proxy advisor duopoly is a governance structure with no parallel in the regulatory architecture that created it. ISS and Glass Lewis are private firms, answerable to no regulator, subject to no disclosure requirements comparable to those imposed on the public companies they evaluate, and operating under acknowledged conflicts of interest in markets for consulting services they sell to the companies they rate.</w:t>
      </w:r>
      <w:r>
        <w:rPr>
          <w:rStyle w:val="FootnoteReference"/>
        </w:rPr>
        <w:footnoteReference w:id="35"/>
      </w:r>
      <w:r>
        <w:t xml:space="preserve"> The SEC's mandatory voting rule was intended to ensure that institutional investors govern portfolio companies in clients' interests. Instead, it delegated effective governance authority over corporate America to two unaccountable private firms. This is the precise opposite of dispersed shareholder empowerment.</w:t>
      </w:r>
    </w:p>
    <w:p w14:paraId="0843D7A7" w14:textId="77777777" w:rsidR="00AF4142" w:rsidRDefault="0073350E">
      <w:pPr>
        <w:pStyle w:val="Heading2"/>
      </w:pPr>
      <w:r>
        <w:t>Passive Indexing and the Governance Vacuum</w:t>
      </w:r>
    </w:p>
    <w:p w14:paraId="2DB4C7CF" w14:textId="77777777" w:rsidR="00AF4142" w:rsidRDefault="0073350E">
      <w:pPr>
        <w:spacing w:line="480" w:lineRule="auto"/>
        <w:jc w:val="both"/>
      </w:pPr>
      <w:r>
        <w:t>The mandatory voting regime coincided with — and interacted perversely with — the rise of passive index investing. Index funds grew from approximately three percent of equity market value in 2000 to twenty-one percent by 2020.</w:t>
      </w:r>
      <w:r>
        <w:rPr>
          <w:rStyle w:val="FootnoteReference"/>
        </w:rPr>
        <w:footnoteReference w:id="36"/>
      </w:r>
      <w:r>
        <w:t xml:space="preserve"> BlackRock, Vanguard, and State </w:t>
      </w:r>
      <w:r>
        <w:lastRenderedPageBreak/>
        <w:t>Street together hold between twenty and twenty-five percent of every S&amp;P 500 company.</w:t>
      </w:r>
      <w:r>
        <w:rPr>
          <w:rStyle w:val="FootnoteReference"/>
        </w:rPr>
        <w:footnoteReference w:id="37"/>
      </w:r>
      <w:r>
        <w:t xml:space="preserve"> The economic logic of index investing, however, destroys the incentive to govern. A fund tracking the S&amp;P 500 cannot sell an underperforming portfolio company without abandoning its index mandate. The fund must hold its shares regardless of governance quality. And because the fund holds every company in the index, the benefit of improving governance at any single firm accrues to the fund only in proportion to that firm's weight in the index — often a fraction of a percent.</w:t>
      </w:r>
      <w:r>
        <w:rPr>
          <w:rStyle w:val="FootnoteReference"/>
        </w:rPr>
        <w:footnoteReference w:id="38"/>
      </w:r>
      <w:r>
        <w:t xml:space="preserve"> The marginal benefit of active governance engagement at a single firm, for an index fund manager, is infinitesimal. The mandatory voting rule forced these actors to vote anyway.</w:t>
      </w:r>
    </w:p>
    <w:p w14:paraId="0B621523" w14:textId="77777777" w:rsidR="00AF4142" w:rsidRDefault="0073350E">
      <w:pPr>
        <w:spacing w:line="480" w:lineRule="auto"/>
        <w:ind w:firstLine="720"/>
        <w:jc w:val="both"/>
      </w:pPr>
      <w:r>
        <w:t>The predictable result is documented in the academic literature. Passive funds vote with management on contested proposals more than half the time, apply ISS recommendations mechanically rather than evaluating firm-specific circumstances, and devote governance resources far below what genuine stewardship would require.</w:t>
      </w:r>
      <w:r>
        <w:rPr>
          <w:rStyle w:val="FootnoteReference"/>
        </w:rPr>
        <w:footnoteReference w:id="39"/>
      </w:r>
      <w:r>
        <w:t xml:space="preserve"> Higher quasi-indexer ownership correlates with lower corporate investment and weaker governance outcomes, suggesting that the mandatory governance activity of index funds produces distortions rather than the stewardship the regime contemplated.</w:t>
      </w:r>
      <w:r>
        <w:rPr>
          <w:rStyle w:val="FootnoteReference"/>
        </w:rPr>
        <w:footnoteReference w:id="40"/>
      </w:r>
      <w:r>
        <w:t xml:space="preserve"> The evidence is not uncontested: Ap</w:t>
      </w:r>
      <w:r>
        <w:lastRenderedPageBreak/>
        <w:t>pel, Gormley, and Keim find that passive fund ownership is associated with more independent boards and removal of takeover defenses. But these are precisely the standardized, portfolio-wide governance interventions the club-good framework predicts — they improve governance along dimensions that ISS criteria reward without requiring the firm-specific judgment that constitutes governance quality. Board independence is a structural input, not a performance output; its increase is consistent with governance congestion as defined here.</w:t>
      </w:r>
    </w:p>
    <w:p w14:paraId="4CD19763" w14:textId="77777777" w:rsidR="00AF4142" w:rsidRDefault="0073350E">
      <w:pPr>
        <w:spacing w:line="480" w:lineRule="auto"/>
        <w:ind w:firstLine="720"/>
        <w:jc w:val="both"/>
      </w:pPr>
      <w:r>
        <w:t>When the SEC required institutional investors to vote, it required participants whose institutional design produces governance-indifference to exercise governance authority. The result is governance in form without governance in function.</w:t>
      </w:r>
    </w:p>
    <w:p w14:paraId="1FA9893C" w14:textId="77777777" w:rsidR="00AF4142" w:rsidRDefault="0073350E">
      <w:pPr>
        <w:pStyle w:val="Heading2"/>
      </w:pPr>
      <w:r>
        <w:t>Caremark Expansion and the Compliance Non-Effect</w:t>
      </w:r>
    </w:p>
    <w:p w14:paraId="46027539" w14:textId="77777777" w:rsidR="00AF4142" w:rsidRDefault="0073350E">
      <w:pPr>
        <w:spacing w:line="480" w:lineRule="auto"/>
        <w:jc w:val="both"/>
      </w:pPr>
      <w:r>
        <w:rPr>
          <w:i/>
          <w:iCs/>
        </w:rPr>
        <w:t>Caremark</w:t>
      </w:r>
      <w:r>
        <w:t xml:space="preserve"> has expanded substantially since Chancellor Allen's original 1996 formulation, and the expansion has produced an active body of litigation with a negligible documented deterrent effect. The number of </w:t>
      </w:r>
      <w:r>
        <w:rPr>
          <w:i/>
          <w:iCs/>
        </w:rPr>
        <w:t>Caremark</w:t>
      </w:r>
      <w:r>
        <w:t xml:space="preserve"> cases that survived motions to dismiss grew from roughly one between 1997 and 2000 to nineteen between 2021 and mid-2024.</w:t>
      </w:r>
      <w:r>
        <w:rPr>
          <w:rStyle w:val="FootnoteReference"/>
        </w:rPr>
        <w:footnoteReference w:id="41"/>
      </w:r>
      <w:r>
        <w:t xml:space="preserve"> Delaware's Court of Chancery has extended oversight duties to regulatory compliance in mission-critical industries, financial reporting integrity, product safety, and human capital management.</w:t>
      </w:r>
      <w:r>
        <w:rPr>
          <w:rStyle w:val="FootnoteReference"/>
        </w:rPr>
        <w:footnoteReference w:id="42"/>
      </w:r>
    </w:p>
    <w:p w14:paraId="6757EEE9" w14:textId="77777777" w:rsidR="00AF4142" w:rsidRDefault="0073350E">
      <w:pPr>
        <w:spacing w:line="480" w:lineRule="auto"/>
        <w:ind w:firstLine="720"/>
        <w:jc w:val="both"/>
      </w:pPr>
      <w:r>
        <w:lastRenderedPageBreak/>
        <w:t xml:space="preserve">Yet scholars who have studied </w:t>
      </w:r>
      <w:r>
        <w:rPr>
          <w:i/>
          <w:iCs/>
        </w:rPr>
        <w:t>Caremark</w:t>
      </w:r>
      <w:r>
        <w:t>'s effect on actual corporate compliance find no evidence that the doctrine has reduced corporate misconduct.</w:t>
      </w:r>
      <w:r>
        <w:rPr>
          <w:rStyle w:val="FootnoteReference"/>
        </w:rPr>
        <w:footnoteReference w:id="43"/>
      </w:r>
      <w:r>
        <w:t xml:space="preserve"> The liability standard — "sustained or systematic failure" to implement adequate oversight systems — remains extremely difficult to satisfy, and the practical consequence of </w:t>
      </w:r>
      <w:r>
        <w:rPr>
          <w:i/>
          <w:iCs/>
        </w:rPr>
        <w:t>Caremark</w:t>
      </w:r>
      <w:r>
        <w:t xml:space="preserve"> expansion has been increased compliance spending rather than improved compliance outcomes.</w:t>
      </w:r>
    </w:p>
    <w:p w14:paraId="33754D5E" w14:textId="77777777" w:rsidR="00AF4142" w:rsidRDefault="0073350E">
      <w:pPr>
        <w:spacing w:line="480" w:lineRule="auto"/>
        <w:ind w:firstLine="720"/>
        <w:jc w:val="both"/>
      </w:pPr>
      <w:r>
        <w:t>The displacement is measurable. Boards devote more time to compliance committee meetings, companies hire more compliance officers, and directors spend more board meeting time on regulatory monitoring.</w:t>
      </w:r>
      <w:r>
        <w:rPr>
          <w:rStyle w:val="FootnoteReference"/>
        </w:rPr>
        <w:footnoteReference w:id="44"/>
      </w:r>
      <w:r>
        <w:t xml:space="preserve"> Whether this activity reduces misconduct is undemonstrated. What is demonstrated is that it displaces other uses of director time and attention — specifically, the strategic oversight that justifies the business judgment rule's protection of board decisions about business matters.</w:t>
      </w:r>
    </w:p>
    <w:p w14:paraId="3625D821" w14:textId="77777777" w:rsidR="00AF4142" w:rsidRDefault="0073350E">
      <w:pPr>
        <w:spacing w:line="480" w:lineRule="auto"/>
        <w:ind w:firstLine="720"/>
        <w:jc w:val="both"/>
      </w:pPr>
      <w:r>
        <w:t xml:space="preserve">The sum of these four failures is not incidental. Each reform rested on the same premise — that governance improves as participation expands — and each produced a result that premise cannot explain: more voting produced less governance (proxy advisors, passive funds); more shareholder voice produced higher executive compensation; more </w:t>
      </w:r>
      <w:r>
        <w:lastRenderedPageBreak/>
        <w:t>judicial oversight of director conduct produced no measurable compliance improvement. A different theoretical premise is needed, and the next Part provides one.</w:t>
      </w:r>
    </w:p>
    <w:p w14:paraId="64E140AE" w14:textId="77777777" w:rsidR="00AF4142" w:rsidRDefault="0073350E">
      <w:pPr>
        <w:pStyle w:val="Heading1"/>
      </w:pPr>
      <w:r>
        <w:t>CORPORATE GOVERNANCE AS A CLUB GOOD</w:t>
      </w:r>
    </w:p>
    <w:p w14:paraId="307B331F" w14:textId="77777777" w:rsidR="00AF4142" w:rsidRDefault="0073350E">
      <w:pPr>
        <w:pStyle w:val="Heading2"/>
      </w:pPr>
      <w:r>
        <w:t>Buchanan's Framework: Excludability, Nonrivalry, and Congestion</w:t>
      </w:r>
    </w:p>
    <w:p w14:paraId="0164F2EC" w14:textId="77777777" w:rsidR="00AF4142" w:rsidRDefault="0073350E">
      <w:pPr>
        <w:spacing w:line="480" w:lineRule="auto"/>
        <w:jc w:val="both"/>
      </w:pPr>
      <w:r>
        <w:t xml:space="preserve">James Buchanan's 1965 article </w:t>
      </w:r>
      <w:r>
        <w:rPr>
          <w:i/>
          <w:iCs/>
        </w:rPr>
        <w:t>An Economic Theory of Clubs</w:t>
      </w:r>
      <w:r>
        <w:t xml:space="preserve"> identified a category of goods that fits neither the private good nor the public good model.</w:t>
      </w:r>
      <w:r>
        <w:rPr>
          <w:rStyle w:val="FootnoteReference"/>
        </w:rPr>
        <w:footnoteReference w:id="45"/>
      </w:r>
      <w:r>
        <w:t xml:space="preserve"> Private goods are excludable (you can prevent non-payers from consuming them) and rivalrous (one person's consumption reduces what is available to others). Public goods are non-excludable and </w:t>
      </w:r>
      <w:proofErr w:type="spellStart"/>
      <w:r>
        <w:t>nonrivalrous</w:t>
      </w:r>
      <w:proofErr w:type="spellEnd"/>
      <w:r>
        <w:t xml:space="preserve">. Club goods occupy an intermediate position: they are excludable — the club can deny access to non-members — but </w:t>
      </w:r>
      <w:proofErr w:type="spellStart"/>
      <w:r>
        <w:t>nonrivalrous</w:t>
      </w:r>
      <w:proofErr w:type="spellEnd"/>
      <w:r>
        <w:t xml:space="preserve"> up to a threshold of congestion, beyond which additional members degrade the good's quality for everyone.</w:t>
      </w:r>
    </w:p>
    <w:p w14:paraId="18C8063A" w14:textId="77777777" w:rsidR="00AF4142" w:rsidRDefault="0073350E">
      <w:pPr>
        <w:spacing w:line="480" w:lineRule="auto"/>
        <w:ind w:firstLine="720"/>
        <w:jc w:val="both"/>
      </w:pPr>
      <w:r>
        <w:t>Buchanan's canonical example is a swimming pool. The pool can exclude non-members through a locked gate. Multiple swimmers do not diminish each other's enjoyment — nonrivalry holds. But beyond an optimal membership size, crowding degrades the experience: lanes are shared, wait times increase, water quality declines. The optimal club size balances the sharing benefits of additional members against the congestion costs they impose.</w:t>
      </w:r>
      <w:r>
        <w:rPr>
          <w:rStyle w:val="FootnoteReference"/>
        </w:rPr>
        <w:footnoteReference w:id="46"/>
      </w:r>
      <w:r>
        <w:t xml:space="preserve"> Crucially, the club's ability to maintain quality depends on its ability to manage its own membership. A club that cannot exclude cannot prevent congestion. An institution prevented from managing its membership size will be crowded to the point of degradation.</w:t>
      </w:r>
    </w:p>
    <w:p w14:paraId="4CA3A547" w14:textId="77777777" w:rsidR="00AF4142" w:rsidRDefault="0073350E">
      <w:pPr>
        <w:spacing w:line="480" w:lineRule="auto"/>
        <w:ind w:firstLine="720"/>
        <w:jc w:val="both"/>
      </w:pPr>
      <w:r>
        <w:lastRenderedPageBreak/>
        <w:t>The value of a well-functioning club good extends beyond its members. Lisa Bernstein's study of the New York Diamond Dealers Club documents how the bourse's private legal system — enforced through the credible threat of worldwide ostracism — generates positive externalities throughout the diamond supply chain.</w:t>
      </w:r>
      <w:r>
        <w:rPr>
          <w:rStyle w:val="FootnoteReference"/>
        </w:rPr>
        <w:footnoteReference w:id="47"/>
      </w:r>
      <w:r>
        <w:t xml:space="preserve"> Buyers, retailers, and consumers who never set foot on the bourse floor benefit from the supply chain integrity the club's governance produces. If anyone who possessed diamonds could trade on the bourse, the ostracism mechanism would lose credibility — who could be meaningfully excluded? — and the supply chain benefits would vanish. The club's value to non-members depends entirely on the club's ability to manage its membership.</w:t>
      </w:r>
    </w:p>
    <w:p w14:paraId="3D0881B4" w14:textId="77777777" w:rsidR="00AF4142" w:rsidRDefault="0073350E">
      <w:pPr>
        <w:pStyle w:val="Heading2"/>
      </w:pPr>
      <w:r>
        <w:t>The Institutional Structure of the Governance Club</w:t>
      </w:r>
    </w:p>
    <w:p w14:paraId="0A649DA7" w14:textId="77777777" w:rsidR="00AF4142" w:rsidRDefault="0073350E">
      <w:pPr>
        <w:spacing w:line="480" w:lineRule="auto"/>
        <w:jc w:val="both"/>
      </w:pPr>
      <w:r>
        <w:t xml:space="preserve">Public company governance is a club good by Buchanan's criteria. Share ownership is the entry mechanism: purchasing shares admits an investor to the bundle of governance rights that Delaware law and federal securities regulation attach to equity ownership. Multiple shareholders exercising those rights simultaneously do not diminish each other's access to the ballot — governance rights are </w:t>
      </w:r>
      <w:proofErr w:type="spellStart"/>
      <w:r>
        <w:t>nonrivalrous</w:t>
      </w:r>
      <w:proofErr w:type="spellEnd"/>
      <w:r>
        <w:t xml:space="preserve"> in this sense. But when the shareholder base expands beyond an optimal composition — when it fills with participants who lack the incentive or information to govern effectively — governance quality degrades for everyone, including shareholders who would otherwise govern well.</w:t>
      </w:r>
    </w:p>
    <w:p w14:paraId="5100B92D" w14:textId="77777777" w:rsidR="00AF4142" w:rsidRDefault="0073350E">
      <w:pPr>
        <w:spacing w:line="480" w:lineRule="auto"/>
        <w:ind w:firstLine="720"/>
        <w:jc w:val="both"/>
      </w:pPr>
      <w:r>
        <w:t>The positive externalities of public company governance extend well beyond shareholders. Stock prices aggregate dispersed information and produce signals that guide econ</w:t>
      </w:r>
      <w:r>
        <w:lastRenderedPageBreak/>
        <w:t>omy-wide capital allocation — a benefit accruing to investors, creditors, suppliers, customers, and communities who never participate in governance.</w:t>
      </w:r>
      <w:r>
        <w:rPr>
          <w:rStyle w:val="FootnoteReference"/>
        </w:rPr>
        <w:footnoteReference w:id="48"/>
      </w:r>
      <w:r>
        <w:t xml:space="preserve"> Mandatory disclosure by one firm informs competitors, customers, and suppliers, reducing their information costs in ways the disclosing firm cannot charge for.</w:t>
      </w:r>
      <w:r>
        <w:rPr>
          <w:rStyle w:val="FootnoteReference"/>
        </w:rPr>
        <w:footnoteReference w:id="49"/>
      </w:r>
      <w:r>
        <w:t xml:space="preserve"> Public company governance standards influence private company behavior by establishing norms and benchmarks against which private firms are evaluated by employees, lenders, and counterparties.</w:t>
      </w:r>
      <w:r>
        <w:rPr>
          <w:rStyle w:val="FootnoteReference"/>
        </w:rPr>
        <w:footnoteReference w:id="50"/>
      </w:r>
      <w:r>
        <w:t xml:space="preserve"> These externalities give non-shareholders a stake in the quality of public company governance — a stake they cannot protect through the governance mechanism itself, since they are not club members.</w:t>
      </w:r>
    </w:p>
    <w:p w14:paraId="23CCE551" w14:textId="77777777" w:rsidR="00AF4142" w:rsidRDefault="0073350E">
      <w:pPr>
        <w:spacing w:line="480" w:lineRule="auto"/>
        <w:ind w:firstLine="720"/>
        <w:jc w:val="both"/>
      </w:pPr>
      <w:r>
        <w:t>The parallel to the diamond bourse is exact. Non-member beneficiaries of governance externalities — employees whose pension funds depend on market price integrity, creditors whose loan terms reflect governance-quality signals, communities whose tax base depends on the longevity of local employers — cannot participate in governance decisions and cannot compensate firms for producing governance quality. Governance externalities are undersupplied at market equilibrium for the same reason bourse supply chain benefits would be undersupplied if the bourse were abolished: producers cannot capture the full social value of their output.</w:t>
      </w:r>
      <w:r>
        <w:rPr>
          <w:rStyle w:val="FootnoteReference"/>
        </w:rPr>
        <w:footnoteReference w:id="51"/>
      </w:r>
      <w:r>
        <w:t xml:space="preserve"> The club structure, by maintaining governance quality </w:t>
      </w:r>
      <w:r>
        <w:lastRenderedPageBreak/>
        <w:t>through membership constraints, produces externalities the market alone would not generate.</w:t>
      </w:r>
    </w:p>
    <w:p w14:paraId="06861278" w14:textId="77777777" w:rsidR="00AF4142" w:rsidRDefault="0073350E">
      <w:pPr>
        <w:pStyle w:val="Heading2"/>
      </w:pPr>
      <w:r>
        <w:t>The Excludability Mechanism: Board Authority and Judicial Deference</w:t>
      </w:r>
    </w:p>
    <w:p w14:paraId="607F485A" w14:textId="77777777" w:rsidR="00AF4142" w:rsidRDefault="0073350E">
      <w:pPr>
        <w:spacing w:line="480" w:lineRule="auto"/>
        <w:jc w:val="both"/>
      </w:pPr>
      <w:r>
        <w:t>A club good's quality depends on the credibility of its excludability mechanism. For the diamond bourse, that mechanism is ostracism — credible only if the worldwide network of bourses will enforce exclusion of expelled members. For cable television, that mechanism is signal encryption — credible only while the technology prevents unauthorized access. For public company governance, the excludability mechanism is the legal framework that vests management authority in the board and limits the circumstances under which shareholders and courts can override board decisions.</w:t>
      </w:r>
    </w:p>
    <w:p w14:paraId="0E079ED5" w14:textId="77777777" w:rsidR="00AF4142" w:rsidRDefault="0073350E">
      <w:pPr>
        <w:spacing w:line="480" w:lineRule="auto"/>
        <w:ind w:firstLine="720"/>
        <w:jc w:val="both"/>
      </w:pPr>
      <w:r>
        <w:t>Delaware section 141(a) is the foundation: "The business and affairs of every corporation organized under this chapter shall be managed by or under the direction of a board of directors."</w:t>
      </w:r>
      <w:r>
        <w:rPr>
          <w:rStyle w:val="FootnoteReference"/>
        </w:rPr>
        <w:footnoteReference w:id="52"/>
      </w:r>
      <w:r>
        <w:t xml:space="preserve"> This provision does not merely authorize board management. It establishes the board as the decision-making institution of the corporation and excludes shareholders from day-to-day governance. Shareholders elect directors, approve fundamental transactions, and vote on charter amendments — a defined set of reserved matters — but do not manage. The board makes business decisions; shareholders evaluate boards, not decisions.</w:t>
      </w:r>
    </w:p>
    <w:p w14:paraId="556507B3" w14:textId="77777777" w:rsidR="00AF4142" w:rsidRDefault="0073350E">
      <w:pPr>
        <w:spacing w:line="480" w:lineRule="auto"/>
        <w:ind w:firstLine="720"/>
        <w:jc w:val="both"/>
      </w:pPr>
      <w:r>
        <w:t xml:space="preserve">Judicial deference to board decisions — the business judgment rule — is the institutional protection that makes this excludability credible. Without deference, every board decision is subject to judicial second-guessing, and the board's management authority is </w:t>
      </w:r>
      <w:r>
        <w:lastRenderedPageBreak/>
        <w:t>hostage to post hoc rationalization of whatever any disappointed shareholder finds objectionable. Stephen Bainbridge characterizes the rule as an "abstention doctrine": courts simply refuse to review the merits of board decisions made in good faith by disinterested directors with adequate information.</w:t>
      </w:r>
      <w:r>
        <w:rPr>
          <w:rStyle w:val="FootnoteReference"/>
        </w:rPr>
        <w:footnoteReference w:id="53"/>
      </w:r>
      <w:r>
        <w:t xml:space="preserve"> Abstention is the operative mechanism. By declining to review board decisions on the merits, courts preserve the board's effective authority to make them. The business judgment rule does not merely allocate litigation risk. It maintains the institutional architecture on which governance quality depends.</w:t>
      </w:r>
    </w:p>
    <w:p w14:paraId="1FE55251" w14:textId="77777777" w:rsidR="00AF4142" w:rsidRDefault="0073350E">
      <w:pPr>
        <w:pStyle w:val="Heading2"/>
      </w:pPr>
      <w:r>
        <w:t>Congestion: What Membership Expansion Produces</w:t>
      </w:r>
    </w:p>
    <w:p w14:paraId="3B93C3AB" w14:textId="77777777" w:rsidR="00AF4142" w:rsidRDefault="0073350E">
      <w:pPr>
        <w:spacing w:line="480" w:lineRule="auto"/>
        <w:jc w:val="both"/>
      </w:pPr>
      <w:r>
        <w:t>Congestion in a governance club does not resemble congestion in a swimming pool: more participants do not literally crowd each other out. Governance congestion is a quality phenomenon. When governance participants expand to include actors who lack the incentive to govern attentively, the quality of governance decisions declines even if the formal process of voting continues undisturbed. A board that must justify every business decision to an audience of passive fund managers following ISS recommendations, activist hedge funds seeking short-term extraction, and retail shareholders submitting proposals with three percent support does not govern the same way as a board that can make decisions within the protected space that board authority and judicial deference create.</w:t>
      </w:r>
    </w:p>
    <w:p w14:paraId="2EC65395" w14:textId="77777777" w:rsidR="00AF4142" w:rsidRDefault="0073350E">
      <w:pPr>
        <w:spacing w:line="480" w:lineRule="auto"/>
        <w:ind w:firstLine="720"/>
        <w:jc w:val="both"/>
      </w:pPr>
      <w:r>
        <w:t>The mechanism is well-documented. Passive index funds with seventeen governance professionals covering thirteen thousand companies cannot evaluate firm-specific governance circumstances.</w:t>
      </w:r>
      <w:r>
        <w:rPr>
          <w:rStyle w:val="FootnoteReference"/>
        </w:rPr>
        <w:footnoteReference w:id="54"/>
      </w:r>
      <w:r>
        <w:t xml:space="preserve"> They apply standardized criteria developed for portfolio-wide </w:t>
      </w:r>
      <w:r>
        <w:lastRenderedPageBreak/>
        <w:t>application to each individual firm regardless of the firm's industry, competitive position, or strategic situation. Boards that want to avoid negative ISS recommendations must structure their governance practices to conform to ISS criteria rather than to firm-specific optimality. Activist hedge funds pursuing governance interventions at a subset of portfolio companies improve outcomes at targeted firms in some studies but impose governance distortions on non-targeted firms whose boards preemptively alter strategy to avoid becoming targets.</w:t>
      </w:r>
      <w:r>
        <w:rPr>
          <w:rStyle w:val="FootnoteReference"/>
        </w:rPr>
        <w:footnoteReference w:id="55"/>
      </w:r>
      <w:r>
        <w:t xml:space="preserve"> Retail shareholders who submit Rule 14a-8 proposals pursue their own agendas, which may have no relationship to firm value maximization.</w:t>
      </w:r>
    </w:p>
    <w:p w14:paraId="09815A84" w14:textId="77777777" w:rsidR="00AF4142" w:rsidRDefault="0073350E">
      <w:pPr>
        <w:spacing w:line="480" w:lineRule="auto"/>
        <w:ind w:firstLine="720"/>
        <w:jc w:val="both"/>
      </w:pPr>
      <w:r>
        <w:t>The result is governance congestion: an excess of governance participation by actors who lack the information or incentive to govern well, which degrades the quality of governance decisions for all participants including those capable of governing attentively. The shareholder rights movement has systematically increased this congestion by (1) mandating participation by institutional investors who lack the incentive to engage meaningfully, (2) giving shareholders formal voice over matters — executive compensation — for which the diffuse shareholder collective lacks the information and deliberative structure to govern effectively, and (3) expanding judicial oversight in ways that require boards to direct attention to compliance theater rather than value creation. Each intervention added congested members to the governance club while weakening the excludability mechanism that kept governance quality intact.</w:t>
      </w:r>
    </w:p>
    <w:p w14:paraId="427A3632" w14:textId="77777777" w:rsidR="00AF4142" w:rsidRDefault="0073350E">
      <w:pPr>
        <w:pStyle w:val="Heading1"/>
      </w:pPr>
      <w:r>
        <w:lastRenderedPageBreak/>
        <w:t>THE CLUB-GOOD EXPLANATION FOR MOVEMENT FAILURE</w:t>
      </w:r>
    </w:p>
    <w:p w14:paraId="657DF780" w14:textId="77777777" w:rsidR="00AF4142" w:rsidRDefault="0073350E">
      <w:pPr>
        <w:pStyle w:val="Heading2"/>
      </w:pPr>
      <w:r>
        <w:t>Say-on-Pay as Excludability Reduction</w:t>
      </w:r>
    </w:p>
    <w:p w14:paraId="2C8CD373" w14:textId="77777777" w:rsidR="00AF4142" w:rsidRDefault="0073350E">
      <w:pPr>
        <w:spacing w:line="480" w:lineRule="auto"/>
        <w:jc w:val="both"/>
      </w:pPr>
      <w:r>
        <w:t>Say-on-pay reduced the board's excludability from one specific governance domain: the setting of executive compensation. Before Dodd-Frank, boards set compensation with advice from compensation committees, independent advisors, and — for controlling stockholder transactions — entire fairness review if required. Shareholders had no direct voice. The Dodd-Frank provision introduced shareholders into compensation governance through a mandatory advisory vote, eliminating the board's ability to exclude shareholders from compensation decisions as a category.</w:t>
      </w:r>
    </w:p>
    <w:p w14:paraId="3198B679" w14:textId="77777777" w:rsidR="00AF4142" w:rsidRDefault="0073350E">
      <w:pPr>
        <w:spacing w:line="480" w:lineRule="auto"/>
        <w:ind w:firstLine="720"/>
        <w:jc w:val="both"/>
      </w:pPr>
      <w:r>
        <w:t xml:space="preserve">The club-good framework predicts the result. Compensation governance moved from a small, expert, information-rich group (the board and compensation committee with access to firm-specific data, competitive benchmarking, and legal counsel) to a large, diffuse, information-poor group (the institutional shareholder collective, filtered through ISS and Glass Lewis criteria). Quality degraded. Not because shareholders are unintelligent, but because the governance structure shifted from one optimized for firm-specific expertise to one optimized for portfolio-wide standardization. ISS compensation criteria are designed for application across thousands of companies; they cannot be tailored to the strategic circumstances of any </w:t>
      </w:r>
      <w:proofErr w:type="gramStart"/>
      <w:r>
        <w:t>particular firm</w:t>
      </w:r>
      <w:proofErr w:type="gramEnd"/>
      <w:r>
        <w:t>. Boards conforming to ISS criteria optimize for ISS approval, not for firm performance. CEO pay continued rising because the structure that produced say-on-pay — widespread institutional approval of packages recommended by ISS for approval — creates no check on compensation growth, only a check on compensation structures that deviate from ISS templates.</w:t>
      </w:r>
    </w:p>
    <w:p w14:paraId="4A9D15AD" w14:textId="77777777" w:rsidR="00AF4142" w:rsidRDefault="0073350E">
      <w:pPr>
        <w:pStyle w:val="Heading2"/>
      </w:pPr>
      <w:r>
        <w:t>Mandatory Voting as Congestion</w:t>
      </w:r>
    </w:p>
    <w:p w14:paraId="07555FE6" w14:textId="77777777" w:rsidR="00AF4142" w:rsidRDefault="0073350E">
      <w:pPr>
        <w:spacing w:line="480" w:lineRule="auto"/>
        <w:jc w:val="both"/>
      </w:pPr>
      <w:r>
        <w:lastRenderedPageBreak/>
        <w:t>The SEC's 2003 mandatory voting rule admitted a new class of governance participants — institutional investors who would not otherwise have voted — without regard to whether those participants were positioned to exercise governance authority effectively. The rule did not distinguish between institutions with the resources and incentives to govern attentively and institutions whose economic model renders governance engagement contrary to their interests. Index funds governed by a fiduciary obligation to track an index, precluded from selling underperforming companies, and economically indifferent to the governance quality of any single portfolio firm were required to vote the same way as active managers for whom firm-specific governance directly affects fund returns.</w:t>
      </w:r>
    </w:p>
    <w:p w14:paraId="714CAA0E" w14:textId="77777777" w:rsidR="00AF4142" w:rsidRDefault="0073350E">
      <w:pPr>
        <w:spacing w:line="480" w:lineRule="auto"/>
        <w:ind w:firstLine="720"/>
        <w:jc w:val="both"/>
      </w:pPr>
      <w:r>
        <w:t xml:space="preserve">The proxy advisor duopoly is the market's solution to the congestion this rule created. Mandatory but </w:t>
      </w:r>
      <w:proofErr w:type="spellStart"/>
      <w:r>
        <w:t>unexercisable</w:t>
      </w:r>
      <w:proofErr w:type="spellEnd"/>
      <w:r>
        <w:t xml:space="preserve"> voting authority created demand for governance coordination services, and ISS and Glass Lewis captured that demand. The duopoly is not a market failure — it is a club structure that emerged spontaneously to manage the congestion that the mandatory voting rule produced. ISS and Glass Lewis function as a private governance club: they establish membership criteria (compliance with ISS Governance Quality Scores and Glass Lewis criteria), create excludability (firms that refuse engagement face negative recommendations), and manage the governance decisions of their institutional clients through coordinated voting. The problem is that this emergent club was created by accident, serves the interests of its principals (institutional investors seeking liability protection from the mandatory voting rule) rather than shareholders or firms, and operates without the legal framework that makes other club governance structures legitimate.</w:t>
      </w:r>
    </w:p>
    <w:p w14:paraId="2524E16F" w14:textId="77777777" w:rsidR="00AF4142" w:rsidRDefault="0073350E">
      <w:pPr>
        <w:pStyle w:val="Heading2"/>
      </w:pPr>
      <w:r>
        <w:t>The Diamond Bourse and Other Paradigm Cases</w:t>
      </w:r>
    </w:p>
    <w:p w14:paraId="12E92D07" w14:textId="77777777" w:rsidR="00AF4142" w:rsidRDefault="0073350E">
      <w:pPr>
        <w:spacing w:line="480" w:lineRule="auto"/>
        <w:jc w:val="both"/>
      </w:pPr>
      <w:r>
        <w:lastRenderedPageBreak/>
        <w:t>Effective governance clubs across institutional domains share the structure that public company governance possessed before the shareholder rights movement dismantled it. The diamond bourse is the paradigm. The New York Diamond Dealers Club governs roughly $14 billion in annual diamond trade through a system of oral contracts, internal arbitration, and the credible threat of worldwide ostracism.</w:t>
      </w:r>
      <w:r>
        <w:rPr>
          <w:rStyle w:val="FootnoteReference"/>
        </w:rPr>
        <w:footnoteReference w:id="56"/>
      </w:r>
      <w:r>
        <w:t xml:space="preserve"> </w:t>
      </w:r>
      <w:proofErr w:type="gramStart"/>
      <w:r>
        <w:t>Non-members</w:t>
      </w:r>
      <w:proofErr w:type="gramEnd"/>
      <w:r>
        <w:t xml:space="preserve"> cannot access the trading floor. The governance quality the club produces — supply chain integrity, price transparency, fraud deterrence — extends to buyers, retailers, and consumers who never participate in club governance. That externality production depends entirely on the credibility of the exclusion mechanism: the bourse's value as a guarantee of counterparty reliability disappears if anyone with diamonds can participate.</w:t>
      </w:r>
    </w:p>
    <w:p w14:paraId="167126E2" w14:textId="77777777" w:rsidR="00AF4142" w:rsidRDefault="0073350E">
      <w:pPr>
        <w:spacing w:line="480" w:lineRule="auto"/>
        <w:ind w:firstLine="720"/>
        <w:jc w:val="both"/>
      </w:pPr>
      <w:r>
        <w:t>Stock exchanges before demutualization operated on the same structure. NYSE seat ownership was the excludability mechanism; seat-holders paid for access to the trading network and could be expelled for rule violations. The exchange's governance of trading practices produced market integrity externalities — price discovery, fraud deterrence, settlement reliability — that benefited investors who never purchased a seat. Those externalities depended on the exchange's ability to enforce its rules through expulsion.</w:t>
      </w:r>
    </w:p>
    <w:p w14:paraId="0DED6E91" w14:textId="77777777" w:rsidR="00AF4142" w:rsidRDefault="0073350E">
      <w:pPr>
        <w:spacing w:line="480" w:lineRule="auto"/>
        <w:ind w:firstLine="720"/>
        <w:jc w:val="both"/>
      </w:pPr>
      <w:r>
        <w:t xml:space="preserve">Private equity governance offers a contemporaneous comparison. PE firms govern portfolio companies through concentrated ownership, expert engagement, and the practical </w:t>
      </w:r>
      <w:r>
        <w:lastRenderedPageBreak/>
        <w:t>ability to replace management for underperformance — a governance structure with minimal shareholder participation in the dispersed-shareholder sense.</w:t>
      </w:r>
      <w:r>
        <w:rPr>
          <w:rStyle w:val="FootnoteReference"/>
        </w:rPr>
        <w:footnoteReference w:id="57"/>
      </w:r>
      <w:r>
        <w:t xml:space="preserve"> PE governance historically produced higher returns than comparable public company governance: private equity net annualized returns exceeded public equity returns by roughly five percentage points over the two decades following 2000, with operational improvements (EBITDA margin expansion averaging 370 basis points) as the documented mechanism.</w:t>
      </w:r>
      <w:r>
        <w:rPr>
          <w:rStyle w:val="FootnoteReference"/>
        </w:rPr>
        <w:footnoteReference w:id="58"/>
      </w:r>
      <w:r>
        <w:t xml:space="preserve"> That advantage has declined as the private market has matured and leverage advantages have eroded, but its historical existence provides a natural experiment: the governance structure with the least shareholder participation produced the highest returns for the period during which comparison is possible.</w:t>
      </w:r>
    </w:p>
    <w:p w14:paraId="68B76892" w14:textId="77777777" w:rsidR="00AF4142" w:rsidRDefault="0073350E">
      <w:pPr>
        <w:pStyle w:val="Heading1"/>
      </w:pPr>
      <w:r>
        <w:t>DOCTRINAL IMPLICATIONS</w:t>
      </w:r>
    </w:p>
    <w:p w14:paraId="5F339635" w14:textId="77777777" w:rsidR="00AF4142" w:rsidRDefault="0073350E">
      <w:pPr>
        <w:pStyle w:val="Heading2"/>
      </w:pPr>
      <w:r>
        <w:t>The Business Judgment Rule as Excludability Protection</w:t>
      </w:r>
    </w:p>
    <w:p w14:paraId="5916620B" w14:textId="77777777" w:rsidR="00AF4142" w:rsidRDefault="0073350E">
      <w:pPr>
        <w:spacing w:line="480" w:lineRule="auto"/>
        <w:jc w:val="both"/>
      </w:pPr>
      <w:r>
        <w:t xml:space="preserve">Understanding the business judgment rule as the excludability protection of the governance club — rather than as a liability-limiting rule that protects directors from personal risk — reshapes its doctrinal significance. Bainbridge's abstention characterization is accurate as </w:t>
      </w:r>
      <w:r>
        <w:lastRenderedPageBreak/>
        <w:t>far as it goes: courts do not review the merits of board decisions satisfying the rule's conditions.</w:t>
      </w:r>
      <w:r>
        <w:rPr>
          <w:rStyle w:val="FootnoteReference"/>
        </w:rPr>
        <w:footnoteReference w:id="59"/>
      </w:r>
      <w:r>
        <w:t xml:space="preserve"> But abstention is the method, not the purpose. The purpose is to preserve the board's effective authority to make governance decisions within a protected institutional space.</w:t>
      </w:r>
    </w:p>
    <w:p w14:paraId="4ABC2453" w14:textId="77777777" w:rsidR="00AF4142" w:rsidRDefault="0073350E">
      <w:pPr>
        <w:spacing w:line="480" w:lineRule="auto"/>
        <w:ind w:firstLine="720"/>
        <w:jc w:val="both"/>
      </w:pPr>
      <w:r>
        <w:t xml:space="preserve">From this perspective, the rule's conditions — good faith, adequate information, absence of self-interest — are not arbitrary prerequisites for judicial generosity toward directors. They are the membership criteria of the governance club: the conditions under which board decision-making qualifies as club-quality governance entitled to the excludability protection the rule provides. A board that acts in bad faith, without adequate information, or in pursuit of self-interest has not produced club-quality governance. Judicial review of such decisions does not congest the governance club; it enforces the membership criteria on which the club's quality depends. </w:t>
      </w:r>
      <w:r>
        <w:rPr>
          <w:i/>
          <w:iCs/>
        </w:rPr>
        <w:t>Aronson v. Lewis</w:t>
      </w:r>
      <w:r>
        <w:t>'s formulation that the rule applies when directors act "on an informed basis, in good faith and in the honest belief that the action taken was in the best interests of the company" identifies exactly the conditions under which board governance satisfies the quality threshold that the excludability protection is designed to maintain.</w:t>
      </w:r>
      <w:r>
        <w:rPr>
          <w:rStyle w:val="FootnoteReference"/>
        </w:rPr>
        <w:footnoteReference w:id="60"/>
      </w:r>
    </w:p>
    <w:p w14:paraId="2ECA664F" w14:textId="77777777" w:rsidR="00AF4142" w:rsidRDefault="0073350E">
      <w:pPr>
        <w:spacing w:line="480" w:lineRule="auto"/>
        <w:ind w:firstLine="720"/>
        <w:jc w:val="both"/>
      </w:pPr>
      <w:r>
        <w:t xml:space="preserve">The doctrinal implication is that any reform reducing the business judgment rule's protection should be evaluated by asking whether it enforces membership criteria (removes low-quality governance from the protected space) or introduces congestion (admits new participants whose involvement degrades governance quality). Entire fairness review of controlling stockholder transactions that involve actual self-dealing enforces membership </w:t>
      </w:r>
      <w:r>
        <w:lastRenderedPageBreak/>
        <w:t xml:space="preserve">criteria — the board-level governance at issue did not satisfy the quality threshold. </w:t>
      </w:r>
      <w:r>
        <w:rPr>
          <w:i/>
          <w:iCs/>
        </w:rPr>
        <w:t>Caremark</w:t>
      </w:r>
      <w:r>
        <w:t xml:space="preserve">'s expansion to mission-critical compliance failures in </w:t>
      </w:r>
      <w:r>
        <w:rPr>
          <w:i/>
          <w:iCs/>
        </w:rPr>
        <w:t>Marchand v. Barnhill</w:t>
      </w:r>
      <w:r>
        <w:t xml:space="preserve"> enforces membership criteria where the board's oversight failure was total.</w:t>
      </w:r>
      <w:r>
        <w:rPr>
          <w:rStyle w:val="FootnoteReference"/>
        </w:rPr>
        <w:footnoteReference w:id="61"/>
      </w:r>
      <w:r>
        <w:t xml:space="preserve"> But </w:t>
      </w:r>
      <w:r>
        <w:rPr>
          <w:i/>
          <w:iCs/>
        </w:rPr>
        <w:t>Caremark</w:t>
      </w:r>
      <w:r>
        <w:t>'s extension to human capital management and corporate culture, documented in subsequent decisions, crosses from criteria enforcement into congestion introduction: it requires boards to govern in ways optimized for litigation avoidance rather than for firm performance, admitting judicial second-guessing into domains where boards possess superior firm-specific information.</w:t>
      </w:r>
    </w:p>
    <w:p w14:paraId="25C3BC98" w14:textId="77777777" w:rsidR="00AF4142" w:rsidRDefault="0073350E">
      <w:pPr>
        <w:pStyle w:val="Heading2"/>
      </w:pPr>
      <w:r>
        <w:t>Caremark as Congestion Policy</w:t>
      </w:r>
    </w:p>
    <w:p w14:paraId="6126C92A" w14:textId="77777777" w:rsidR="00AF4142" w:rsidRDefault="0073350E">
      <w:pPr>
        <w:spacing w:line="480" w:lineRule="auto"/>
        <w:jc w:val="both"/>
      </w:pPr>
      <w:r>
        <w:rPr>
          <w:i/>
          <w:iCs/>
        </w:rPr>
        <w:t>Caremark</w:t>
      </w:r>
      <w:r>
        <w:t xml:space="preserve"> expansion is explicable, in club-good terms, as a progressive reduction in the board's excludability from judicial review of its oversight decisions. Chancellor Allen's original formulation admitted no judicial second-guessing of the board's choice among reasonable compliance systems.</w:t>
      </w:r>
      <w:r>
        <w:rPr>
          <w:rStyle w:val="FootnoteReference"/>
        </w:rPr>
        <w:footnoteReference w:id="62"/>
      </w:r>
      <w:r>
        <w:t xml:space="preserve"> Courts could find liability only where the board had implemented no oversight system — an utter failure of membership-criteria governance. </w:t>
      </w:r>
      <w:r>
        <w:rPr>
          <w:i/>
          <w:iCs/>
        </w:rPr>
        <w:t>Marchand</w:t>
      </w:r>
      <w:r>
        <w:t>'s reinvigoration of the doctrine imposed a more demanding standard: boards of companies with mission-critical regulatory obligations must create board-level compliance monitoring specifically attuned to those obligations.</w:t>
      </w:r>
      <w:r>
        <w:rPr>
          <w:rStyle w:val="FootnoteReference"/>
        </w:rPr>
        <w:footnoteReference w:id="63"/>
      </w:r>
      <w:r>
        <w:t xml:space="preserve"> This is a meaningful contraction of exclusion: the board can no longer satisfy </w:t>
      </w:r>
      <w:r>
        <w:rPr>
          <w:i/>
          <w:iCs/>
        </w:rPr>
        <w:t>Caremark</w:t>
      </w:r>
      <w:r>
        <w:t xml:space="preserve"> by implementing a general compliance program of reasonable design; it must implement a specific structure responsive to specific regulatory risks.</w:t>
      </w:r>
    </w:p>
    <w:p w14:paraId="28004812" w14:textId="77777777" w:rsidR="00AF4142" w:rsidRDefault="0073350E">
      <w:pPr>
        <w:spacing w:line="480" w:lineRule="auto"/>
        <w:ind w:firstLine="720"/>
        <w:jc w:val="both"/>
      </w:pPr>
      <w:r>
        <w:lastRenderedPageBreak/>
        <w:t xml:space="preserve">Subsequent </w:t>
      </w:r>
      <w:r>
        <w:rPr>
          <w:i/>
          <w:iCs/>
        </w:rPr>
        <w:t>Caremark</w:t>
      </w:r>
      <w:r>
        <w:t xml:space="preserve"> decisions extend this contraction further. </w:t>
      </w:r>
      <w:r>
        <w:rPr>
          <w:i/>
          <w:iCs/>
        </w:rPr>
        <w:t>In re McDonald's Corporation Shareholder Derivative Litigation</w:t>
      </w:r>
      <w:r>
        <w:t xml:space="preserve"> subjected the board's oversight of corporate culture and human capital management — areas with no specific regulatory analog — to </w:t>
      </w:r>
      <w:r>
        <w:rPr>
          <w:i/>
          <w:iCs/>
        </w:rPr>
        <w:t>Caremark</w:t>
      </w:r>
      <w:r>
        <w:t xml:space="preserve"> liability.</w:t>
      </w:r>
      <w:r>
        <w:rPr>
          <w:rStyle w:val="FootnoteReference"/>
        </w:rPr>
        <w:footnoteReference w:id="64"/>
      </w:r>
      <w:r>
        <w:t xml:space="preserve"> Human capital management is precisely the domain where firm-specific expertise is most valuable and where judicial second-guessing is least productive. A court evaluating the adequacy of a board's response to human capital risks applies criteria necessarily more generic than the firm's own understanding of its workforce, competitive environment, and operational priorities. Admitting judicial review into this domain does not enforce governance quality criteria; it introduces congestion.</w:t>
      </w:r>
    </w:p>
    <w:p w14:paraId="2DD99F06" w14:textId="77777777" w:rsidR="00AF4142" w:rsidRDefault="0073350E">
      <w:pPr>
        <w:spacing w:line="480" w:lineRule="auto"/>
        <w:ind w:firstLine="720"/>
        <w:jc w:val="both"/>
      </w:pPr>
      <w:r>
        <w:t xml:space="preserve">The appropriate cabin for </w:t>
      </w:r>
      <w:r>
        <w:rPr>
          <w:i/>
          <w:iCs/>
        </w:rPr>
        <w:t>Caremark</w:t>
      </w:r>
      <w:r>
        <w:t xml:space="preserve"> is the logic its own doctrine </w:t>
      </w:r>
      <w:proofErr w:type="gramStart"/>
      <w:r>
        <w:t>implies:</w:t>
      </w:r>
      <w:proofErr w:type="gramEnd"/>
      <w:r>
        <w:t xml:space="preserve"> oversight liability should be available where the board's failure is so complete as to disqualify its governance from the membership criteria the business judgment rule requires — sustained and systematic indifference to known, material, mission-critical risks. Beyond that threshold, expanded </w:t>
      </w:r>
      <w:r>
        <w:rPr>
          <w:i/>
          <w:iCs/>
        </w:rPr>
        <w:t>Caremark</w:t>
      </w:r>
      <w:r>
        <w:t xml:space="preserve"> liability admits judicial governance participation in domains where judicial review produces congestion rather than accountability.</w:t>
      </w:r>
    </w:p>
    <w:p w14:paraId="10B683C5" w14:textId="77777777" w:rsidR="00AF4142" w:rsidRDefault="0073350E">
      <w:pPr>
        <w:pStyle w:val="Heading2"/>
      </w:pPr>
      <w:r>
        <w:t>The Delaware-Texas Competition in Club-Good Terms</w:t>
      </w:r>
    </w:p>
    <w:p w14:paraId="44E9E732" w14:textId="77777777" w:rsidR="00AF4142" w:rsidRDefault="0073350E">
      <w:pPr>
        <w:spacing w:line="480" w:lineRule="auto"/>
        <w:jc w:val="both"/>
      </w:pPr>
      <w:r>
        <w:t xml:space="preserve">Delaware and Texas are competing in 2025-2026 on a specific dimension: the reliability and scope of board excludability from judicial and shareholder override. Delaware's Senate Bill 21, enacted in March 2025 in response to corporate anxiety following </w:t>
      </w:r>
      <w:r>
        <w:rPr>
          <w:i/>
          <w:iCs/>
        </w:rPr>
        <w:t>Tornetta</w:t>
      </w:r>
      <w:r>
        <w:t>, clarified the conditions under which the business judgment rule applies to controlling stockholder transactions and restored predictability to the ratification doctrine.</w:t>
      </w:r>
      <w:r>
        <w:rPr>
          <w:rStyle w:val="FootnoteReference"/>
        </w:rPr>
        <w:footnoteReference w:id="65"/>
      </w:r>
      <w:r>
        <w:t xml:space="preserve"> Texas's Senate </w:t>
      </w:r>
      <w:r>
        <w:lastRenderedPageBreak/>
        <w:t>Bill 29, enacted in May 2025, codified the business judgment rule by statute, offering a legislative guarantee of board deference that cannot be modified by a single chancellor's opinion.</w:t>
      </w:r>
      <w:r>
        <w:rPr>
          <w:rStyle w:val="FootnoteReference"/>
        </w:rPr>
        <w:footnoteReference w:id="66"/>
      </w:r>
    </w:p>
    <w:p w14:paraId="5C573FB4" w14:textId="77777777" w:rsidR="00AF4142" w:rsidRDefault="0073350E">
      <w:pPr>
        <w:spacing w:line="480" w:lineRule="auto"/>
        <w:ind w:firstLine="720"/>
        <w:jc w:val="both"/>
      </w:pPr>
      <w:r>
        <w:t xml:space="preserve">Neither state is competing on shareholder rights. The competition is over the quality and reliability of the excludability protection. Delaware offers common-law excludability subject to judicial evolution; Texas offers statutory excludability backed by legislative permanence. Firms that valued Delaware's excludability protection — which </w:t>
      </w:r>
      <w:r>
        <w:rPr>
          <w:i/>
          <w:iCs/>
        </w:rPr>
        <w:t>Tornetta</w:t>
      </w:r>
      <w:r>
        <w:t xml:space="preserve"> unexpectedly contracted — are evaluating whether Delaware's legislative correction is sufficiently permanent, or whether Texas's statutory protection is more reliable.</w:t>
      </w:r>
      <w:r>
        <w:rPr>
          <w:rStyle w:val="FootnoteReference"/>
        </w:rPr>
        <w:footnoteReference w:id="67"/>
      </w:r>
      <w:r>
        <w:t xml:space="preserve"> The market is revealing that governance quality, operationalized through reliable board excludability, is the primary competitive dimension.</w:t>
      </w:r>
    </w:p>
    <w:p w14:paraId="1A33D4BA" w14:textId="77777777" w:rsidR="00AF4142" w:rsidRDefault="0073350E">
      <w:pPr>
        <w:spacing w:line="480" w:lineRule="auto"/>
        <w:ind w:firstLine="720"/>
        <w:jc w:val="both"/>
      </w:pPr>
      <w:r>
        <w:t>Race-to-the-top scholars interpret state competition as producing efficient governance rules because capital markets discipline states whose rules destroy firm value.</w:t>
      </w:r>
      <w:r>
        <w:rPr>
          <w:rStyle w:val="FootnoteReference"/>
        </w:rPr>
        <w:footnoteReference w:id="68"/>
      </w:r>
      <w:r>
        <w:t xml:space="preserve"> Race-to-the-bottom scholars interpret it as producing management-friendly rules at the expense of shareholders.</w:t>
      </w:r>
      <w:r>
        <w:rPr>
          <w:rStyle w:val="FootnoteReference"/>
        </w:rPr>
        <w:footnoteReference w:id="69"/>
      </w:r>
      <w:r>
        <w:t xml:space="preserve"> The club-good framework resolves this debate by identifying the varia</w:t>
      </w:r>
      <w:r>
        <w:lastRenderedPageBreak/>
        <w:t>ble being competed over. States that maintain optimal governance club structure — excludability sufficient to prevent congestion, subject to membership criteria that maintain quality — will attract firms that produce the governance externalities non-shareholders depend on. States that reduce excludability below optimal levels will produce congestion and governance degradation. States that extend excludability beyond optimal levels will produce agency costs. The competition is not simply between pro-management and pro-shareholder rules; it is between regimes that maintain optimal governance club structure and those that distort it in either direction.</w:t>
      </w:r>
    </w:p>
    <w:p w14:paraId="5174B278" w14:textId="77777777" w:rsidR="00AF4142" w:rsidRDefault="0073350E">
      <w:pPr>
        <w:pStyle w:val="Heading2"/>
      </w:pPr>
      <w:r>
        <w:t>Toward a Club-Good Standard for Governance Reform</w:t>
      </w:r>
    </w:p>
    <w:p w14:paraId="04EF89B4" w14:textId="77777777" w:rsidR="00AF4142" w:rsidRDefault="0073350E">
      <w:pPr>
        <w:spacing w:line="480" w:lineRule="auto"/>
        <w:jc w:val="both"/>
      </w:pPr>
      <w:r>
        <w:t>The club-good framework implies a specific standard for evaluating governance reforms. Courts, regulators, and legislatures should ask whether a proposed reform enforces governance quality criteria — removing low-quality governance from the protected institutional space — or introduces congestion — admitting governance participants who degrade quality without satisfying the membership criteria that the excludability protection was designed to maintain. This standard differs from the current approach in both directions.</w:t>
      </w:r>
    </w:p>
    <w:p w14:paraId="74826547" w14:textId="77777777" w:rsidR="00AF4142" w:rsidRDefault="0073350E">
      <w:pPr>
        <w:spacing w:line="480" w:lineRule="auto"/>
        <w:ind w:firstLine="720"/>
        <w:jc w:val="both"/>
      </w:pPr>
      <w:r>
        <w:t xml:space="preserve">Applied to </w:t>
      </w:r>
      <w:r>
        <w:rPr>
          <w:i/>
          <w:iCs/>
        </w:rPr>
        <w:t>Caremark</w:t>
      </w:r>
      <w:r>
        <w:t xml:space="preserve"> expansion: courts should permit </w:t>
      </w:r>
      <w:r>
        <w:rPr>
          <w:i/>
          <w:iCs/>
        </w:rPr>
        <w:t>Caremark</w:t>
      </w:r>
      <w:r>
        <w:t xml:space="preserve"> liability in domains where the board's failure satisfies the qualitative threshold of sustained, systematic indifference to material, mission-critical risks. Courts should decline to extend </w:t>
      </w:r>
      <w:r>
        <w:rPr>
          <w:i/>
          <w:iCs/>
        </w:rPr>
        <w:t>Caremark</w:t>
      </w:r>
      <w:r>
        <w:t xml:space="preserve"> to domains where the board possesses superior firm-specific information and where judicial oversight introduces governance by standardized criteria applied without that information.</w:t>
      </w:r>
    </w:p>
    <w:p w14:paraId="4974390C" w14:textId="77777777" w:rsidR="00AF4142" w:rsidRDefault="0073350E">
      <w:pPr>
        <w:spacing w:line="480" w:lineRule="auto"/>
        <w:ind w:firstLine="720"/>
        <w:jc w:val="both"/>
      </w:pPr>
      <w:r>
        <w:t xml:space="preserve">Applied to say-on-pay: Congress should recognize that shareholder voting on executive compensation, conducted through the proxy advisor intermediation structure the </w:t>
      </w:r>
      <w:r>
        <w:lastRenderedPageBreak/>
        <w:t xml:space="preserve">mandatory voting regime created, produces governance by ISS and Glass Lewis criteria rather than by informed shareholder judgment. Reform should eliminate the mandatory say-on-pay </w:t>
      </w:r>
      <w:proofErr w:type="gramStart"/>
      <w:r>
        <w:t>regime, or</w:t>
      </w:r>
      <w:proofErr w:type="gramEnd"/>
      <w:r>
        <w:t xml:space="preserve"> restructure it to require direct shareholder engagement with the compensation committee rather than passive ratification of a binary choice.</w:t>
      </w:r>
    </w:p>
    <w:p w14:paraId="0ABD5C8D" w14:textId="77777777" w:rsidR="00AF4142" w:rsidRDefault="0073350E">
      <w:pPr>
        <w:spacing w:line="480" w:lineRule="auto"/>
        <w:ind w:firstLine="720"/>
        <w:jc w:val="both"/>
      </w:pPr>
      <w:r>
        <w:t xml:space="preserve">Applied to institutional investor voting: the SEC should revisit the 2003 mandatory voting rule. Requiring institutional investors to vote every share is appropriate only if those investors are positioned to vote thoughtfully. An exemption — or a safe harbor from fiduciary liability for non-voting — for index fund managers whose economic model renders firm-specific governance engagement irrational would reduce the demand for ISS and Glass Lewis services and the </w:t>
      </w:r>
      <w:proofErr w:type="spellStart"/>
      <w:r>
        <w:t>robo</w:t>
      </w:r>
      <w:proofErr w:type="spellEnd"/>
      <w:r>
        <w:t>-voting that demand has produced.</w:t>
      </w:r>
    </w:p>
    <w:p w14:paraId="1D9442E0" w14:textId="77777777" w:rsidR="00AF4142" w:rsidRDefault="0073350E">
      <w:pPr>
        <w:spacing w:line="480" w:lineRule="auto"/>
        <w:ind w:firstLine="720"/>
        <w:jc w:val="both"/>
      </w:pPr>
      <w:r>
        <w:t>Applied to dual-class structures: courts and stock exchanges should recognize dual-class stock as the internal excludability engineering it is — an attempt by founders to maintain governance club quality by restricting participation to investors whose economic interests align with long-term value creation — rather than as a governance pathology to be regulated away.</w:t>
      </w:r>
      <w:r>
        <w:rPr>
          <w:rStyle w:val="FootnoteReference"/>
        </w:rPr>
        <w:footnoteReference w:id="70"/>
      </w:r>
      <w:r>
        <w:t xml:space="preserve"> Bebchuk and Kastiel's case against perpetual dual-class structures rests on the legitimate concern that control rights divorced from economic ownership create agency costs.</w:t>
      </w:r>
      <w:r>
        <w:rPr>
          <w:rStyle w:val="FootnoteReference"/>
        </w:rPr>
        <w:footnoteReference w:id="71"/>
      </w:r>
      <w:r>
        <w:t xml:space="preserve"> The club-good framework does not deny that concern; it contextualizes it. The tradeoff is between agency costs (concentrated control without accountability) and congestion costs (dispersed governance participation by actors who lack the incentive to govern attentively). Dual-class structures impose agency costs to avoid congestion costs. </w:t>
      </w:r>
      <w:r>
        <w:lastRenderedPageBreak/>
        <w:t xml:space="preserve">Whether the tradeoff is justified </w:t>
      </w:r>
      <w:proofErr w:type="gramStart"/>
      <w:r>
        <w:t>in particular cases</w:t>
      </w:r>
      <w:proofErr w:type="gramEnd"/>
      <w:r>
        <w:t xml:space="preserve"> is a firm-specific question that firm-specific governance actors — not standardized judicial or regulatory criteria — are best positioned to evaluate.</w:t>
      </w:r>
    </w:p>
    <w:p w14:paraId="5BD640F3" w14:textId="77777777" w:rsidR="00AF4142" w:rsidRDefault="0073350E">
      <w:pPr>
        <w:pStyle w:val="Heading1"/>
      </w:pPr>
      <w:r>
        <w:t>OBJECTIONS</w:t>
      </w:r>
    </w:p>
    <w:p w14:paraId="45867F3F" w14:textId="77777777" w:rsidR="00AF4142" w:rsidRDefault="0073350E">
      <w:pPr>
        <w:pStyle w:val="Heading2"/>
      </w:pPr>
      <w:r>
        <w:t>The Accountability Objection</w:t>
      </w:r>
    </w:p>
    <w:p w14:paraId="53CC6CFA" w14:textId="77777777" w:rsidR="00AF4142" w:rsidRDefault="0073350E">
      <w:pPr>
        <w:spacing w:line="480" w:lineRule="auto"/>
        <w:jc w:val="both"/>
      </w:pPr>
      <w:r>
        <w:t>The most intuitive objection to the club-good framework is that governance quality requires accountability, and accountability requires the possibility of shareholder override. A governance club that can exclude all shareholder participation can also exclude accountability for self-dealing, entrenchment, and value extraction. The argument is that the excludability the framework endorses enables exactly the agency costs that the shareholder rights movement was designed to correct.</w:t>
      </w:r>
    </w:p>
    <w:p w14:paraId="647D8B89" w14:textId="77777777" w:rsidR="00AF4142" w:rsidRDefault="0073350E">
      <w:pPr>
        <w:spacing w:line="480" w:lineRule="auto"/>
        <w:ind w:firstLine="720"/>
        <w:jc w:val="both"/>
      </w:pPr>
      <w:r>
        <w:t xml:space="preserve">The objection proves too little. The club-good framework does not endorse unrestricted excludability. It endorses excludability sufficient to prevent governance congestion while subject to membership criteria that maintain governance quality. The business judgment rule is not unlimited: it does not protect bad faith, self-dealing, or decisions made without adequate information. Entire fairness review applies to controlling stockholder transactions that involve actual conflicts of interest. These doctrines enforce membership criteria — they exclude from the protected governance space decisions that do not satisfy the quality threshold. The objection correctly identifies that excludability without quality criteria enables self-dealing. The club-good framework's response is that membership criteria, not expanded participation, are the appropriate corrective. The diamond bourse does </w:t>
      </w:r>
      <w:r>
        <w:lastRenderedPageBreak/>
        <w:t>not prevent fraud by admitting all diamond possessors to the trading floor. It prevents fraud by maintaining the ostracism mechanism that enforces trading standards against members.</w:t>
      </w:r>
    </w:p>
    <w:p w14:paraId="3F5EE302" w14:textId="77777777" w:rsidR="00AF4142" w:rsidRDefault="0073350E">
      <w:pPr>
        <w:spacing w:line="480" w:lineRule="auto"/>
        <w:ind w:firstLine="720"/>
        <w:jc w:val="both"/>
      </w:pPr>
      <w:r>
        <w:t xml:space="preserve">Applying this to </w:t>
      </w:r>
      <w:r>
        <w:rPr>
          <w:i/>
          <w:iCs/>
        </w:rPr>
        <w:t>Caremark</w:t>
      </w:r>
      <w:r>
        <w:t>: the appropriate accountability mechanism for director oversight failures is not expanded judicial review of every compliance decision but rather a clearly defined standard of total failure — the existing Caremark requirement of sustained and systematic indifference — that removes from the governance club directors who have failed to satisfy its membership criteria. Accountability and appropriate excludability are not in tension; they are different aspects of the same institutional design problem.</w:t>
      </w:r>
    </w:p>
    <w:p w14:paraId="36378E35" w14:textId="77777777" w:rsidR="00AF4142" w:rsidRDefault="0073350E">
      <w:pPr>
        <w:pStyle w:val="Heading2"/>
      </w:pPr>
      <w:r>
        <w:t>The Entrenchment Objection</w:t>
      </w:r>
    </w:p>
    <w:p w14:paraId="0C574FDD" w14:textId="77777777" w:rsidR="00AF4142" w:rsidRDefault="0073350E">
      <w:pPr>
        <w:spacing w:line="480" w:lineRule="auto"/>
        <w:jc w:val="both"/>
      </w:pPr>
      <w:r>
        <w:t>Lucian Bebchuk has argued for decades that Delaware's board-centric governance structure enables managerial entrenchment at the expense of shareholders, and that the solution is stronger shareholder rights — precisely the movement the club-good framework critiques.</w:t>
      </w:r>
      <w:r>
        <w:rPr>
          <w:rStyle w:val="FootnoteReference"/>
        </w:rPr>
        <w:footnoteReference w:id="72"/>
      </w:r>
      <w:r>
        <w:t xml:space="preserve"> His empirical work with Fried on pay without performance, with Cohen on entrenched boards, and with Kastiel on dual-class structures consistently finds that concentrated board authority enables management to extract value from shareholders without accountability.</w:t>
      </w:r>
      <w:r>
        <w:rPr>
          <w:rStyle w:val="FootnoteReference"/>
        </w:rPr>
        <w:footnoteReference w:id="73"/>
      </w:r>
      <w:r>
        <w:t xml:space="preserve"> The club-good framework, on this view, is a sophisticated justification for a system that benefits management at shareholders' expense.</w:t>
      </w:r>
    </w:p>
    <w:p w14:paraId="0C9F8524" w14:textId="77777777" w:rsidR="00AF4142" w:rsidRDefault="0073350E">
      <w:pPr>
        <w:spacing w:line="480" w:lineRule="auto"/>
        <w:ind w:firstLine="720"/>
        <w:jc w:val="both"/>
      </w:pPr>
      <w:r>
        <w:t xml:space="preserve">The objection identifies a real problem: board authority without quality criteria does enable entrenchment. But Bebchuk's proposed solution — expanded shareholder rights — has thirty years of evidence against it. CEO compensation has risen faster since say-on-pay </w:t>
      </w:r>
      <w:r>
        <w:lastRenderedPageBreak/>
        <w:t>than before it. Proxy advisors are extracting rents from the mandatory voting regime in ways that benefit their institutional clients rather than ultimate beneficial shareholders. Higher quasi-indexer ownership correlates with lower investment and weaker governance outcomes. The entrenchment that Bebchuk identifies is real; the movement's correctives have not addressed it and have created new problems alongside it.</w:t>
      </w:r>
    </w:p>
    <w:p w14:paraId="5EC35DDD" w14:textId="77777777" w:rsidR="00AF4142" w:rsidRDefault="0073350E">
      <w:pPr>
        <w:spacing w:line="480" w:lineRule="auto"/>
        <w:ind w:firstLine="720"/>
        <w:jc w:val="both"/>
      </w:pPr>
      <w:r>
        <w:t xml:space="preserve">The club-good framework's response to entrenchment is governance quality criteria — membership standards that exclude self-dealing from the protected governance space — rather than participation expansion that produces congestion. Entire fairness review of controlling stockholder self-dealing, meaningfully applied, is the appropriate mechanism. Expanded </w:t>
      </w:r>
      <w:r>
        <w:rPr>
          <w:i/>
          <w:iCs/>
        </w:rPr>
        <w:t>Caremark</w:t>
      </w:r>
      <w:r>
        <w:t xml:space="preserve"> liability for mission-critical compliance failures is the appropriate mechanism. The problem is that the movement has pursued participation expansion — say-on-pay, mandatory voting, proxy access — rather than quality criteria enforcement, and the results reflect this choice.</w:t>
      </w:r>
    </w:p>
    <w:p w14:paraId="07F4D270" w14:textId="77777777" w:rsidR="00AF4142" w:rsidRDefault="0073350E">
      <w:pPr>
        <w:pStyle w:val="Heading2"/>
      </w:pPr>
      <w:r>
        <w:t>The Empirical Contestation Objection</w:t>
      </w:r>
    </w:p>
    <w:p w14:paraId="5639BC6C" w14:textId="77777777" w:rsidR="00AF4142" w:rsidRDefault="0073350E">
      <w:pPr>
        <w:spacing w:line="480" w:lineRule="auto"/>
        <w:jc w:val="both"/>
      </w:pPr>
      <w:r>
        <w:t>Bebchuk, Brav, and Jiang's study of approximately two thousand hedge fund activist interventions between 1994 and 2007 finds that operating performance improvements persist for five years post-intervention, challenging the claim that shareholder activism produces governance congestion rather than governance improvement.</w:t>
      </w:r>
      <w:r>
        <w:rPr>
          <w:rStyle w:val="FootnoteReference"/>
        </w:rPr>
        <w:footnoteReference w:id="74"/>
      </w:r>
      <w:r>
        <w:t xml:space="preserve"> If the study is correct, at least one category of expanded shareholder participation — activist hedge fund intervention — improves rather than degrades governance outcomes.</w:t>
      </w:r>
    </w:p>
    <w:p w14:paraId="7FFE5BBD" w14:textId="77777777" w:rsidR="00AF4142" w:rsidRDefault="0073350E">
      <w:pPr>
        <w:spacing w:line="480" w:lineRule="auto"/>
        <w:ind w:firstLine="720"/>
        <w:jc w:val="both"/>
      </w:pPr>
      <w:r>
        <w:lastRenderedPageBreak/>
        <w:t xml:space="preserve">This evidence should be taken seriously rather than dismissed. Several responses are available. First, </w:t>
      </w:r>
      <w:proofErr w:type="spellStart"/>
      <w:r>
        <w:t>deHaan</w:t>
      </w:r>
      <w:proofErr w:type="spellEnd"/>
      <w:r>
        <w:t>, Larcker, and McClure's reanalysis of hedge fund activism using value-weighted rather than equal-weighted returns finds no significant long-term performance improvement for the typical shareholder.</w:t>
      </w:r>
      <w:r>
        <w:rPr>
          <w:rStyle w:val="FootnoteReference"/>
        </w:rPr>
        <w:footnoteReference w:id="75"/>
      </w:r>
      <w:r>
        <w:t xml:space="preserve"> The Bebchuk study's results are concentrated in the smallest twenty percent of targeted firms, measured in equal-weighted terms; the value-weighted results that capture the actual wealth effects for shareholders are near zero. Second, even accepting Bebchuk's findings at face value, governance improvement at targeted firms tells us nothing about the systemic effects of activism on non-targeted firms whose boards preemptively alter strategy to avoid becoming targets. The club-good framework's concern is systemic: it asks whether the governance institution </w:t>
      </w:r>
      <w:proofErr w:type="gramStart"/>
      <w:r>
        <w:t>as a whole produces</w:t>
      </w:r>
      <w:proofErr w:type="gramEnd"/>
      <w:r>
        <w:t xml:space="preserve"> the externalities that non-shareholders depend on, not whether individual activist interventions improve individual targeted firms. Third, activist hedge funds, unlike index funds, have concentrated economic incentives to govern the firms they target — they hold large positions and cannot diversify their activism risk the way index funds diversify their portfolio risk. If activist governance improves outcomes, it may be precisely because activists are not the diffuse, </w:t>
      </w:r>
      <w:proofErr w:type="gramStart"/>
      <w:r>
        <w:t>poorly-incentivized</w:t>
      </w:r>
      <w:proofErr w:type="gramEnd"/>
      <w:r>
        <w:t xml:space="preserve"> participants whose mass produces governance congestion. An activist fund with a five percent position and a focused governance thesis is closer to the governance club member the excludability mechanism was designed for than to the index fund manager evaluating seven hundred companies per professional.</w:t>
      </w:r>
    </w:p>
    <w:p w14:paraId="5C126010" w14:textId="77777777" w:rsidR="00AF4142" w:rsidRDefault="0073350E">
      <w:pPr>
        <w:pStyle w:val="Heading1"/>
      </w:pPr>
      <w:r>
        <w:t>CONCLUSION</w:t>
      </w:r>
    </w:p>
    <w:p w14:paraId="47FC3023" w14:textId="77777777" w:rsidR="00AF4142" w:rsidRDefault="0073350E">
      <w:pPr>
        <w:spacing w:line="480" w:lineRule="auto"/>
        <w:jc w:val="both"/>
      </w:pPr>
      <w:r>
        <w:lastRenderedPageBreak/>
        <w:t xml:space="preserve">The shareholder rights movement rests on a category error. Governance is not a public good to which more access produces better outcomes. It is a club good whose quality depends on maintaining appropriate membership constraints. Thirty years of reforms premised on the public good assumption — say-on-pay, mandatory institutional voting, </w:t>
      </w:r>
      <w:r>
        <w:rPr>
          <w:i/>
          <w:iCs/>
        </w:rPr>
        <w:t>Caremark</w:t>
      </w:r>
      <w:r>
        <w:t xml:space="preserve"> expansion — have degraded governance rather than improved it, producing a proxy advisor duopoly, passive fund governance theater, and rising executive compensation despite intensified formal accountability mechanisms.</w:t>
      </w:r>
    </w:p>
    <w:p w14:paraId="30CF7EE4" w14:textId="77777777" w:rsidR="00AF4142" w:rsidRDefault="0073350E">
      <w:pPr>
        <w:spacing w:line="480" w:lineRule="auto"/>
        <w:ind w:firstLine="720"/>
        <w:jc w:val="both"/>
      </w:pPr>
      <w:r>
        <w:t xml:space="preserve">The club-good framework does not counsel governance insularity. Directors who act in bad faith, self-dealing controllers, and boards that utterly fail their oversight obligations are not entitled to excludability protection — they have failed the membership criteria on which the protection depends. The appropriate corrective for these failures is quality criteria enforcement through entire fairness review, meaningful </w:t>
      </w:r>
      <w:r>
        <w:rPr>
          <w:i/>
          <w:iCs/>
        </w:rPr>
        <w:t>Caremark</w:t>
      </w:r>
      <w:r>
        <w:t xml:space="preserve"> liability for genuine oversight failures, and clear standards for when controlling stockholder transactions receive business judgment rather than entire fairness review. These are the mechanisms that exclude low-quality governance from the protected institutional space. They are distinct from, and superior to, the participation expansion that the shareholder rights movement has pursued.</w:t>
      </w:r>
    </w:p>
    <w:p w14:paraId="2343B1F1" w14:textId="77777777" w:rsidR="00AF4142" w:rsidRDefault="0073350E">
      <w:pPr>
        <w:spacing w:line="480" w:lineRule="auto"/>
        <w:ind w:firstLine="720"/>
        <w:jc w:val="both"/>
      </w:pPr>
      <w:r>
        <w:t xml:space="preserve">The market has been communicating this conclusion for thirty years. The most sophisticated founders in the economy have chosen dual-class structures rather than full shareholder participation. Private equity governance — minimal shareholder participation, concentrated expert control — produced higher returns for two decades than comparable public company governance. Delaware and Texas are competing on the specific dimension </w:t>
      </w:r>
      <w:r>
        <w:lastRenderedPageBreak/>
        <w:t>of board excludability rather than shareholder rights. Firms are choosing governance structures that manage congestion rather than maximize participation. The theory the evidence calls for has been available since Buchanan articulated it in 1965. Applying it to corporate governance is what this Article has done.</w:t>
      </w:r>
    </w:p>
    <w:p w14:paraId="770E3E78" w14:textId="77777777" w:rsidR="00AF4142" w:rsidRDefault="0073350E">
      <w:pPr>
        <w:spacing w:line="480" w:lineRule="auto"/>
        <w:ind w:firstLine="720"/>
        <w:jc w:val="both"/>
      </w:pPr>
      <w:r>
        <w:t xml:space="preserve">The stakes are not merely doctrinal. When public companies produce governance of high institutional quality, they generate positive externalities — price discovery, disclosure spillovers, governance benchmarks — that benefit employees, creditors, communities, and the broader economy, none of whom can participate in governance decisions and none of whom can compensate firms for producing these benefits. Governance quality is undersupplied at market equilibrium precisely because these externalities are external. Maintaining the institutional structure on which governance quality depends — the excludability protection of the business judgment rule, the membership criteria of the entire fairness doctrine, the quality standards of a well-designed </w:t>
      </w:r>
      <w:r>
        <w:rPr>
          <w:i/>
          <w:iCs/>
        </w:rPr>
        <w:t>Caremark</w:t>
      </w:r>
      <w:r>
        <w:t xml:space="preserve"> — is not a favor to management. It is a precondition </w:t>
      </w:r>
      <w:proofErr w:type="gramStart"/>
      <w:r>
        <w:t>for the production of</w:t>
      </w:r>
      <w:proofErr w:type="gramEnd"/>
      <w:r>
        <w:t xml:space="preserve"> goods that non-shareholders depend on but cannot secure through the governance mechanism itself. Thirty years of reforms that have treated governance as a public good have, predictably, degraded its quality. The club-good framework shows what to do instead.</w:t>
      </w:r>
    </w:p>
    <w:sectPr w:rsidR="00AF4142" w:rsidSect="00046B5F">
      <w:headerReference w:type="default" r:id="rId7"/>
      <w:footerReference w:type="default" r:id="rId8"/>
      <w:pgSz w:w="12240" w:h="15840"/>
      <w:pgMar w:top="1440" w:right="1800" w:bottom="1440" w:left="180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439DF" w14:textId="77777777" w:rsidR="00DB5E43" w:rsidRDefault="00DB5E43">
      <w:r>
        <w:separator/>
      </w:r>
    </w:p>
  </w:endnote>
  <w:endnote w:type="continuationSeparator" w:id="0">
    <w:p w14:paraId="7E7705B1" w14:textId="77777777" w:rsidR="00DB5E43" w:rsidRDefault="00DB5E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AEDB5" w14:textId="77777777" w:rsidR="00AF4142" w:rsidRDefault="0073350E">
    <w:pPr>
      <w:jc w:val="center"/>
    </w:pPr>
    <w:r>
      <w:rPr>
        <w:sz w:val="20"/>
        <w:szCs w:val="20"/>
      </w:rPr>
      <w:fldChar w:fldCharType="begin"/>
    </w:r>
    <w:r>
      <w:rPr>
        <w:sz w:val="20"/>
        <w:szCs w:val="20"/>
      </w:rPr>
      <w:instrText>PAGE</w:instrText>
    </w:r>
    <w:r>
      <w:rPr>
        <w:sz w:val="20"/>
        <w:szCs w:val="20"/>
      </w:rPr>
      <w:fldChar w:fldCharType="separate"/>
    </w:r>
    <w:r w:rsidR="00667DB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0F328" w14:textId="77777777" w:rsidR="00DB5E43" w:rsidRDefault="00DB5E43">
      <w:r>
        <w:separator/>
      </w:r>
    </w:p>
  </w:footnote>
  <w:footnote w:type="continuationSeparator" w:id="0">
    <w:p w14:paraId="189CF827" w14:textId="77777777" w:rsidR="00DB5E43" w:rsidRDefault="00DB5E43">
      <w:r>
        <w:continuationSeparator/>
      </w:r>
    </w:p>
  </w:footnote>
  <w:footnote w:id="1">
    <w:p w14:paraId="48025055" w14:textId="77777777" w:rsidR="00AF4142" w:rsidRDefault="0073350E">
      <w:r>
        <w:rPr>
          <w:rStyle w:val="FootnoteReference"/>
        </w:rPr>
        <w:footnoteRef/>
      </w:r>
      <w:r>
        <w:t>Dodd-Frank Wall Street Reform and Consumer Protection Act, Pub. L. No. 111-203, § 951, 124 Stat. 1376, 1899 (2010) (codified at 15 U.S.C. § 78n-1) (requiring non-binding shareholder advisory votes on executive compensation at least once every three years).</w:t>
      </w:r>
    </w:p>
  </w:footnote>
  <w:footnote w:id="2">
    <w:p w14:paraId="1BD0994F" w14:textId="77777777" w:rsidR="00AF4142" w:rsidRDefault="0073350E">
      <w:r>
        <w:rPr>
          <w:rStyle w:val="FootnoteReference"/>
        </w:rPr>
        <w:footnoteRef/>
      </w:r>
      <w:r>
        <w:t xml:space="preserve">Equilar &amp; Harvard Law School Corporate Governance, </w:t>
      </w:r>
      <w:r>
        <w:rPr>
          <w:i/>
          <w:iCs/>
        </w:rPr>
        <w:t>S&amp;P 500 CEO Compensation Trends 2024</w:t>
      </w:r>
      <w:r>
        <w:t xml:space="preserve"> (Feb. 2026), https://corpgov.law.harvard.edu/2026/02/04/sp-500-ceo-compensation-trends-2/ (reporting median S&amp;P 500 CEO total direct compensation of $17 million in 2024).</w:t>
      </w:r>
    </w:p>
  </w:footnote>
  <w:footnote w:id="3">
    <w:p w14:paraId="2C9629AB" w14:textId="77777777" w:rsidR="00AF4142" w:rsidRDefault="0073350E">
      <w:r>
        <w:rPr>
          <w:rStyle w:val="FootnoteReference"/>
        </w:rPr>
        <w:footnoteRef/>
      </w:r>
      <w:r>
        <w:t xml:space="preserve">Semler </w:t>
      </w:r>
      <w:proofErr w:type="spellStart"/>
      <w:r>
        <w:t>Brossy</w:t>
      </w:r>
      <w:proofErr w:type="spellEnd"/>
      <w:r>
        <w:t xml:space="preserve"> Consulting Group, </w:t>
      </w:r>
      <w:r>
        <w:rPr>
          <w:i/>
          <w:iCs/>
        </w:rPr>
        <w:t>2024 Say on Pay Reports</w:t>
      </w:r>
      <w:r>
        <w:t xml:space="preserve"> (2024), https://semlerbrossy.com/insights/2024-say-on-pay-reports/ (reporting S&amp;P 500 say-on-pay failure rates ranging from 0.8% to 3.7% over the 2011–2024 period, with no year exceeding 4%); </w:t>
      </w:r>
      <w:r>
        <w:rPr>
          <w:i/>
          <w:iCs/>
        </w:rPr>
        <w:t>see also</w:t>
      </w:r>
      <w:r>
        <w:t xml:space="preserve"> Steven D. Green, Shiva Rajgopal &amp; Steven Rosenthal, </w:t>
      </w:r>
      <w:r>
        <w:rPr>
          <w:i/>
          <w:iCs/>
        </w:rPr>
        <w:t>2024 Say-on-Pay Proxy Vote Results</w:t>
      </w:r>
      <w:r>
        <w:t xml:space="preserve">, </w:t>
      </w:r>
      <w:r>
        <w:rPr>
          <w:smallCaps/>
        </w:rPr>
        <w:t>Harv. L. Sch. F. on Corp. Governance</w:t>
      </w:r>
      <w:r>
        <w:t xml:space="preserve"> (July 16, 2024), https://corpgov.law.harvard.edu/2024/07/16/2024-say-on-pay-proxy-vote-results/.</w:t>
      </w:r>
    </w:p>
  </w:footnote>
  <w:footnote w:id="4">
    <w:p w14:paraId="17C940EB" w14:textId="77777777" w:rsidR="00AF4142" w:rsidRDefault="0073350E">
      <w:r>
        <w:rPr>
          <w:rStyle w:val="FootnoteReference"/>
        </w:rPr>
        <w:footnoteRef/>
      </w:r>
      <w:r>
        <w:t>Investment Advisers Act Release No. IA-2106, 68 Fed. Reg. 6585, 6586 (Feb. 7, 2003) (requiring registered investment advisers to adopt proxy voting policies and to vote proxies in clients’ best interests).</w:t>
      </w:r>
    </w:p>
  </w:footnote>
  <w:footnote w:id="5">
    <w:p w14:paraId="1ECC28E7" w14:textId="77777777" w:rsidR="00AF4142" w:rsidRDefault="0073350E">
      <w:r>
        <w:rPr>
          <w:rStyle w:val="FootnoteReference"/>
        </w:rPr>
        <w:footnoteRef/>
      </w:r>
      <w:r>
        <w:t xml:space="preserve">U.S. Gov’t Accountability Off., GAO-17-47, </w:t>
      </w:r>
      <w:r>
        <w:rPr>
          <w:smallCaps/>
        </w:rPr>
        <w:t>Corporate Shareholder Meetings: Proxy Advisory Firms’ Role in Voting and Corporate Governance Practices</w:t>
      </w:r>
      <w:r>
        <w:t xml:space="preserve"> 6 (2016), https://www.gao.gov/assets/gao-17-47.pdf (finding ISS and Glass Lewis advise approximately 97% of the proxy advisory market); </w:t>
      </w:r>
      <w:r>
        <w:rPr>
          <w:i/>
          <w:iCs/>
        </w:rPr>
        <w:t>see also</w:t>
      </w:r>
      <w:r>
        <w:t xml:space="preserve"> James R. Copland, David F. Larcker &amp; Brian Tayan, </w:t>
      </w:r>
      <w:r>
        <w:rPr>
          <w:i/>
          <w:iCs/>
        </w:rPr>
        <w:t>Proxy Advisory Firms: Empirical Evidence and the Case for Reform</w:t>
      </w:r>
      <w:r>
        <w:t>, Manhattan Inst. Legal Pol’y Rep. No. 15-1 (2018), https://manhattan.institute/article/proxy-advisory-firms-empirical-evidence-and-the-case-for-reform.</w:t>
      </w:r>
    </w:p>
  </w:footnote>
  <w:footnote w:id="6">
    <w:p w14:paraId="1949DBDE" w14:textId="77777777" w:rsidR="00AF4142" w:rsidRDefault="0073350E">
      <w:r>
        <w:rPr>
          <w:rStyle w:val="FootnoteReference"/>
        </w:rPr>
        <w:footnoteRef/>
      </w:r>
      <w:r>
        <w:t xml:space="preserve">John G. Matsusaka &amp; Chong Shu, </w:t>
      </w:r>
      <w:r>
        <w:rPr>
          <w:i/>
          <w:iCs/>
        </w:rPr>
        <w:t xml:space="preserve">Robo-Voting: Does Delegated Proxy Voting Pose a Challenge for Shareholder </w:t>
      </w:r>
      <w:proofErr w:type="gramStart"/>
      <w:r>
        <w:rPr>
          <w:i/>
          <w:iCs/>
        </w:rPr>
        <w:t>Democracy?</w:t>
      </w:r>
      <w:r>
        <w:t>,</w:t>
      </w:r>
      <w:proofErr w:type="gramEnd"/>
      <w:r>
        <w:t xml:space="preserve"> 47 </w:t>
      </w:r>
      <w:r>
        <w:rPr>
          <w:smallCaps/>
        </w:rPr>
        <w:t>Seattle U. L. Rev.</w:t>
      </w:r>
      <w:r>
        <w:t xml:space="preserve"> 527 (2024) (documenting increase in automatic implementation of ISS recommendations from 7% of ISS customers in 2007 to 23% by 2021).</w:t>
      </w:r>
    </w:p>
  </w:footnote>
  <w:footnote w:id="7">
    <w:p w14:paraId="4184A519" w14:textId="77777777" w:rsidR="00AF4142" w:rsidRDefault="0073350E">
      <w:r>
        <w:rPr>
          <w:rStyle w:val="FootnoteReference"/>
        </w:rPr>
        <w:footnoteRef/>
      </w:r>
      <w:r>
        <w:t xml:space="preserve">James M. Buchanan, </w:t>
      </w:r>
      <w:r>
        <w:rPr>
          <w:i/>
          <w:iCs/>
        </w:rPr>
        <w:t>An Economic Theory of Clubs</w:t>
      </w:r>
      <w:r>
        <w:t xml:space="preserve">, 32 </w:t>
      </w:r>
      <w:r>
        <w:rPr>
          <w:smallCaps/>
        </w:rPr>
        <w:t>Economica</w:t>
      </w:r>
      <w:r>
        <w:t xml:space="preserve"> 1, 1–2 (1965).</w:t>
      </w:r>
    </w:p>
  </w:footnote>
  <w:footnote w:id="8">
    <w:p w14:paraId="18BE7492" w14:textId="77777777" w:rsidR="00AF4142" w:rsidRDefault="0073350E">
      <w:r>
        <w:rPr>
          <w:rStyle w:val="FootnoteReference"/>
        </w:rPr>
        <w:footnoteRef/>
      </w:r>
      <w:r>
        <w:t>Del. Code Ann. tit. 8, § 141(a) (2024) (“The business and affairs of every corporation organized under this chapter shall be managed by or under the direction of a board of directors, except as may be otherwise provided in this chapter or in its certificate of incorporation.”).</w:t>
      </w:r>
    </w:p>
  </w:footnote>
  <w:footnote w:id="9">
    <w:p w14:paraId="5D8AB943" w14:textId="77777777" w:rsidR="00AF4142" w:rsidRDefault="0073350E">
      <w:r>
        <w:rPr>
          <w:rStyle w:val="FootnoteReference"/>
        </w:rPr>
        <w:footnoteRef/>
      </w:r>
      <w:r>
        <w:rPr>
          <w:i/>
          <w:iCs/>
        </w:rPr>
        <w:t>Tornetta v. Musk</w:t>
      </w:r>
      <w:r>
        <w:t xml:space="preserve">, C.A. No. 2018-0408-KSJM, 2024 WL 360757 (Del. Ch. Jan. 30, 2024) (rescinding Musk’s compensation package); </w:t>
      </w:r>
      <w:r>
        <w:rPr>
          <w:i/>
          <w:iCs/>
        </w:rPr>
        <w:t>Tornetta v. Musk</w:t>
      </w:r>
      <w:r>
        <w:t xml:space="preserve">, C.A. No. 2018-0408-KSJM, 2024 WL 5405317 (Del. Ch. Dec. 2, 2024) (rejecting post-judgment ratification); </w:t>
      </w:r>
      <w:r>
        <w:rPr>
          <w:i/>
          <w:iCs/>
        </w:rPr>
        <w:t>see</w:t>
      </w:r>
      <w:r>
        <w:t xml:space="preserve"> S.B. 21, 153d Gen. Assemb., Reg. Sess. (Del. 2025) (effective March 25, 2025) (amending DGCL §§ 144, 220, and 267 to clarify controlling stockholder transaction standards).</w:t>
      </w:r>
    </w:p>
  </w:footnote>
  <w:footnote w:id="10">
    <w:p w14:paraId="2DF23055" w14:textId="77777777" w:rsidR="00AF4142" w:rsidRDefault="0073350E">
      <w:r>
        <w:rPr>
          <w:rStyle w:val="FootnoteReference"/>
        </w:rPr>
        <w:footnoteRef/>
      </w:r>
      <w:r>
        <w:t>Tex. S.B. 29, 89th Leg., Reg. Sess. (2025) (enacted May 2025) (codifying the business judgment rule for Texas corporations).</w:t>
      </w:r>
    </w:p>
  </w:footnote>
  <w:footnote w:id="11">
    <w:p w14:paraId="3F35036C" w14:textId="77777777" w:rsidR="00AF4142" w:rsidRDefault="0073350E">
      <w:r>
        <w:rPr>
          <w:rStyle w:val="FootnoteReference"/>
        </w:rPr>
        <w:footnoteRef/>
      </w:r>
      <w:r>
        <w:t>Sarbanes-Oxley Act of 2002, Pub. L. No. 107-204, § 404, 116 Stat. 745, 789 (2002) (requiring management assessment and external auditor attestation of internal control over financial reporting).</w:t>
      </w:r>
    </w:p>
  </w:footnote>
  <w:footnote w:id="12">
    <w:p w14:paraId="6FD11834" w14:textId="77777777" w:rsidR="00AF4142" w:rsidRDefault="0073350E">
      <w:r>
        <w:rPr>
          <w:rStyle w:val="FootnoteReference"/>
        </w:rPr>
        <w:footnoteRef/>
      </w:r>
      <w:r>
        <w:t xml:space="preserve">Dodd-Frank Act § 971, 124 Stat. at 1915 (authorizing SEC to adopt rules permitting shareholders to use company proxy materials to nominate director candidates); </w:t>
      </w:r>
      <w:r>
        <w:rPr>
          <w:i/>
          <w:iCs/>
        </w:rPr>
        <w:t>see id.</w:t>
      </w:r>
      <w:r>
        <w:t xml:space="preserve"> § 951 (say-on-pay provision).</w:t>
      </w:r>
    </w:p>
  </w:footnote>
  <w:footnote w:id="13">
    <w:p w14:paraId="439A7827" w14:textId="77777777" w:rsidR="00AF4142" w:rsidRDefault="0073350E">
      <w:r>
        <w:rPr>
          <w:rStyle w:val="FootnoteReference"/>
        </w:rPr>
        <w:footnoteRef/>
      </w:r>
      <w:r>
        <w:t>Investment Advisers Act Release No. IA-2106, 68 Fed. Reg. at 6586–87.</w:t>
      </w:r>
    </w:p>
  </w:footnote>
  <w:footnote w:id="14">
    <w:p w14:paraId="1800545A" w14:textId="77777777" w:rsidR="00AF4142" w:rsidRDefault="0073350E">
      <w:r>
        <w:rPr>
          <w:rStyle w:val="FootnoteReference"/>
        </w:rPr>
        <w:footnoteRef/>
      </w:r>
      <w:r>
        <w:rPr>
          <w:i/>
          <w:iCs/>
        </w:rPr>
        <w:t>Business Roundtable v. SEC</w:t>
      </w:r>
      <w:r>
        <w:t xml:space="preserve">, 647 F.3d 1144 (D.C. Cir. 2011) (vacating SEC Release No. 33-9136, which would have mandated federal proxy access); Sidley Austin LLP, </w:t>
      </w:r>
      <w:r>
        <w:rPr>
          <w:i/>
          <w:iCs/>
        </w:rPr>
        <w:t>Proxy Access: A Five-Year Review</w:t>
      </w:r>
      <w:r>
        <w:t xml:space="preserve"> 3 (2020), https://www.sidley.com/en/insights/newsupdates/2020/01/proxy-access-a-five-year-review (documenting 76% of S&amp;P 500 companies adopting proxy access bylaws by end of 2019, up from less than 1% in 2014).</w:t>
      </w:r>
    </w:p>
  </w:footnote>
  <w:footnote w:id="15">
    <w:p w14:paraId="5FB0AE8D" w14:textId="77777777" w:rsidR="00AF4142" w:rsidRDefault="0073350E">
      <w:r>
        <w:rPr>
          <w:rStyle w:val="FootnoteReference"/>
        </w:rPr>
        <w:footnoteRef/>
      </w:r>
      <w:r>
        <w:rPr>
          <w:i/>
          <w:iCs/>
        </w:rPr>
        <w:t>In re Caremark Int’l Inc. Derivative Litig.</w:t>
      </w:r>
      <w:r>
        <w:t>, 698 A.2d 959, 967 (Del. Ch. 1996).</w:t>
      </w:r>
    </w:p>
  </w:footnote>
  <w:footnote w:id="16">
    <w:p w14:paraId="1825375C" w14:textId="77777777" w:rsidR="00AF4142" w:rsidRDefault="0073350E">
      <w:r>
        <w:rPr>
          <w:rStyle w:val="FootnoteReference"/>
        </w:rPr>
        <w:footnoteRef/>
      </w:r>
      <w:r>
        <w:rPr>
          <w:i/>
          <w:iCs/>
        </w:rPr>
        <w:t>Marchand v. Barnhill</w:t>
      </w:r>
      <w:r>
        <w:t xml:space="preserve">, 212 A.3d 805, 822 (Del. 2019) (reversing dismissal of </w:t>
      </w:r>
      <w:r>
        <w:rPr>
          <w:i/>
          <w:iCs/>
        </w:rPr>
        <w:t>Caremark</w:t>
      </w:r>
      <w:r>
        <w:t xml:space="preserve"> claim against Blue Bell Creameries board for failure to implement mission-critical food safety monitoring).</w:t>
      </w:r>
    </w:p>
  </w:footnote>
  <w:footnote w:id="17">
    <w:p w14:paraId="66C9799E" w14:textId="77777777" w:rsidR="00AF4142" w:rsidRDefault="0073350E">
      <w:r>
        <w:rPr>
          <w:rStyle w:val="FootnoteReference"/>
        </w:rPr>
        <w:footnoteRef/>
      </w:r>
      <w:r>
        <w:rPr>
          <w:i/>
          <w:iCs/>
        </w:rPr>
        <w:t>Hughes v. Hu</w:t>
      </w:r>
      <w:r>
        <w:t xml:space="preserve">, C.A. No. 2019-0112-JTL, 2020 WL 1987029 (Del. Ch. Apr. 27, 2020) (financial reporting integrity); </w:t>
      </w:r>
      <w:r>
        <w:rPr>
          <w:i/>
          <w:iCs/>
        </w:rPr>
        <w:t>In re Boeing Co. Derivative Litig.</w:t>
      </w:r>
      <w:r>
        <w:t xml:space="preserve">, C.A. No. 2019-0907-MTZ, 2021 WL 4059934 (Del. Ch. Sept. 7, 2021) (aircraft safety); </w:t>
      </w:r>
      <w:r>
        <w:rPr>
          <w:i/>
          <w:iCs/>
        </w:rPr>
        <w:t>In re McDonald’s Corp. S’holder Derivative Litig.</w:t>
      </w:r>
      <w:r>
        <w:t>, C.A. No. 2021-0324-JTL, 2023 WL 2293575 (Del. Ch. Feb. 28, 2023) (human capital management and corporate culture).</w:t>
      </w:r>
    </w:p>
  </w:footnote>
  <w:footnote w:id="18">
    <w:p w14:paraId="5A4BA140" w14:textId="77777777" w:rsidR="00AF4142" w:rsidRDefault="0073350E">
      <w:r>
        <w:rPr>
          <w:rStyle w:val="FootnoteReference"/>
        </w:rPr>
        <w:footnoteRef/>
      </w:r>
      <w:r>
        <w:rPr>
          <w:i/>
          <w:iCs/>
        </w:rPr>
        <w:t>See, e.g.</w:t>
      </w:r>
      <w:r>
        <w:t xml:space="preserve">, Martin Lipton, Wachtell, Lipton, Rosen &amp; Katz, </w:t>
      </w:r>
      <w:r>
        <w:rPr>
          <w:i/>
          <w:iCs/>
        </w:rPr>
        <w:t>Some Thoughts for Boards of Directors</w:t>
      </w:r>
      <w:r>
        <w:t xml:space="preserve"> (2023) (characterizing expanded </w:t>
      </w:r>
      <w:r>
        <w:rPr>
          <w:i/>
          <w:iCs/>
        </w:rPr>
        <w:t>Caremark</w:t>
      </w:r>
      <w:r>
        <w:t xml:space="preserve"> liability as creating risk that directors become personal guarantors of corporate compliance). [NOTE TO EDITORS: Verify in Lipton Archive at https://theliptonarchive.org/.]</w:t>
      </w:r>
    </w:p>
  </w:footnote>
  <w:footnote w:id="19">
    <w:p w14:paraId="227601F2" w14:textId="77777777" w:rsidR="00AF4142" w:rsidRDefault="0073350E">
      <w:r>
        <w:rPr>
          <w:rStyle w:val="FootnoteReference"/>
        </w:rPr>
        <w:footnoteRef/>
      </w:r>
      <w:r>
        <w:rPr>
          <w:i/>
          <w:iCs/>
        </w:rPr>
        <w:t>See generally</w:t>
      </w:r>
      <w:r>
        <w:t xml:space="preserve"> Paul A. Samuelson, </w:t>
      </w:r>
      <w:r>
        <w:rPr>
          <w:i/>
          <w:iCs/>
        </w:rPr>
        <w:t>The Pure Theory of Public Expenditure</w:t>
      </w:r>
      <w:r>
        <w:t xml:space="preserve">, 36 </w:t>
      </w:r>
      <w:r>
        <w:rPr>
          <w:smallCaps/>
        </w:rPr>
        <w:t>Rev. Econ. &amp; Stat.</w:t>
      </w:r>
      <w:r>
        <w:t xml:space="preserve"> 387 (1954) (establishing the non-excludability and nonrivalry criteria for pure public goods); </w:t>
      </w:r>
      <w:r>
        <w:rPr>
          <w:smallCaps/>
        </w:rPr>
        <w:t>Mancur Olson, The Logic of Collective Action</w:t>
      </w:r>
      <w:r>
        <w:t xml:space="preserve"> 14–16 (1965) (explaining the chronic undersupply of public goods absent mandatory contribution mechanisms).</w:t>
      </w:r>
    </w:p>
  </w:footnote>
  <w:footnote w:id="20">
    <w:p w14:paraId="243577C2" w14:textId="77777777" w:rsidR="00AF4142" w:rsidRDefault="0073350E">
      <w:r>
        <w:rPr>
          <w:rStyle w:val="FootnoteReference"/>
        </w:rPr>
        <w:footnoteRef/>
      </w:r>
      <w:r>
        <w:rPr>
          <w:i/>
          <w:iCs/>
        </w:rPr>
        <w:t>See</w:t>
      </w:r>
      <w:r>
        <w:t xml:space="preserve"> 156 Cong. Rec. S3741 (daily ed. May 19, 2010) (statement of Sen. Dodd) (characterizing say-on-pay as restoring shareholder authority over executive compensation that boards had wrongly arrogated).</w:t>
      </w:r>
    </w:p>
  </w:footnote>
  <w:footnote w:id="21">
    <w:p w14:paraId="324014F6" w14:textId="77777777" w:rsidR="00AF4142" w:rsidRDefault="0073350E">
      <w:r>
        <w:rPr>
          <w:rStyle w:val="FootnoteReference"/>
        </w:rPr>
        <w:footnoteRef/>
      </w:r>
      <w:r>
        <w:t>Investment Advisers Act Release No. IA-2106, 68 Fed. Reg. at 6585 (framing mandatory voting as correcting a governance deficit arising from institutional investor non-participation).</w:t>
      </w:r>
    </w:p>
  </w:footnote>
  <w:footnote w:id="22">
    <w:p w14:paraId="5F70DFC8" w14:textId="77777777" w:rsidR="00AF4142" w:rsidRDefault="0073350E">
      <w:r>
        <w:rPr>
          <w:rStyle w:val="FootnoteReference"/>
        </w:rPr>
        <w:footnoteRef/>
      </w:r>
      <w:r>
        <w:rPr>
          <w:i/>
          <w:iCs/>
        </w:rPr>
        <w:t>Marchand</w:t>
      </w:r>
      <w:r>
        <w:t>, 212 A.3d at 809–10 (framing the court’s role as ensuring that boards exercise oversight “in a meaningful sense, not a perfunctory one”).</w:t>
      </w:r>
    </w:p>
  </w:footnote>
  <w:footnote w:id="23">
    <w:p w14:paraId="0845E143" w14:textId="77777777" w:rsidR="00AF4142" w:rsidRDefault="0073350E">
      <w:r>
        <w:rPr>
          <w:rStyle w:val="FootnoteReference"/>
        </w:rPr>
        <w:footnoteRef/>
      </w:r>
      <w:r>
        <w:rPr>
          <w:i/>
          <w:iCs/>
        </w:rPr>
        <w:t>See</w:t>
      </w:r>
      <w:r>
        <w:t xml:space="preserve"> </w:t>
      </w:r>
      <w:r>
        <w:rPr>
          <w:smallCaps/>
        </w:rPr>
        <w:t>Lucian A. Bebchuk &amp; Jesse M. Fried, Pay Without Performance: The Unfulfilled Promise of Executive Compensation</w:t>
      </w:r>
      <w:r>
        <w:t xml:space="preserve"> 1–8 (2004) (arguing that managerial power over the compensation-setting process produces excessive and poorly-structured pay).</w:t>
      </w:r>
    </w:p>
  </w:footnote>
  <w:footnote w:id="24">
    <w:p w14:paraId="7BDF8680" w14:textId="77777777" w:rsidR="00AF4142" w:rsidRDefault="0073350E">
      <w:r>
        <w:rPr>
          <w:rStyle w:val="FootnoteReference"/>
        </w:rPr>
        <w:footnoteRef/>
      </w:r>
      <w:r>
        <w:t xml:space="preserve">Associated Press, </w:t>
      </w:r>
      <w:r>
        <w:rPr>
          <w:i/>
          <w:iCs/>
        </w:rPr>
        <w:t>AP IMPACT: Recession Takes Toll on CEO Pay in 2008</w:t>
      </w:r>
      <w:r>
        <w:t xml:space="preserve">, </w:t>
      </w:r>
      <w:r>
        <w:rPr>
          <w:smallCaps/>
        </w:rPr>
        <w:t>San Diego Union-Trib.</w:t>
      </w:r>
      <w:r>
        <w:t>, Apr. 30, 2009, https://sandiegouniontribune.com/sdut-us-ceo-pay-043009-2009apr30-story.html (reporting median S&amp;P 500 CEO total direct compensation of $7.6 million in 2008, down 7% from 2007).</w:t>
      </w:r>
    </w:p>
  </w:footnote>
  <w:footnote w:id="25">
    <w:p w14:paraId="4937E16C" w14:textId="77777777" w:rsidR="00AF4142" w:rsidRDefault="0073350E">
      <w:r>
        <w:rPr>
          <w:rStyle w:val="FootnoteReference"/>
        </w:rPr>
        <w:footnoteRef/>
      </w:r>
      <w:r>
        <w:t xml:space="preserve">Equilar &amp; Harvard Law School Corporate Governance, </w:t>
      </w:r>
      <w:r>
        <w:rPr>
          <w:i/>
          <w:iCs/>
        </w:rPr>
        <w:t>supra</w:t>
      </w:r>
      <w:r>
        <w:t xml:space="preserve"> note 2.</w:t>
      </w:r>
    </w:p>
  </w:footnote>
  <w:footnote w:id="26">
    <w:p w14:paraId="7FCFCEE9" w14:textId="77777777" w:rsidR="00AF4142" w:rsidRDefault="0073350E">
      <w:r>
        <w:rPr>
          <w:rStyle w:val="FootnoteReference"/>
        </w:rPr>
        <w:footnoteRef/>
      </w:r>
      <w:r>
        <w:t xml:space="preserve">AFL-CIO, </w:t>
      </w:r>
      <w:r>
        <w:rPr>
          <w:smallCaps/>
        </w:rPr>
        <w:t>Executive Paywatch 2025</w:t>
      </w:r>
      <w:r>
        <w:t xml:space="preserve">, https://aflcio.org/paywatch (reporting S&amp;P 500 CEO-to-median-worker pay ratio of 285:1 in 2024, with average CEO pay of $18.9 million against median worker pay of $49,500); </w:t>
      </w:r>
      <w:r>
        <w:rPr>
          <w:i/>
          <w:iCs/>
        </w:rPr>
        <w:t>see also</w:t>
      </w:r>
      <w:r>
        <w:t xml:space="preserve"> Economic Policy Institute, </w:t>
      </w:r>
      <w:r>
        <w:rPr>
          <w:i/>
          <w:iCs/>
        </w:rPr>
        <w:t>CEO Pay Increased in 2024 and Is Now 281 Times That of the Typical Worker</w:t>
      </w:r>
      <w:r>
        <w:t xml:space="preserve"> (2025), https://www.epi.org/blog/ceo-pay-increased-in-2024-and-is-now-281-times-that-of-the-typical-worker-new-epi-landing-page-has-all-the-details/ (reporting 281:1 using realized compensation methodology).</w:t>
      </w:r>
    </w:p>
  </w:footnote>
  <w:footnote w:id="27">
    <w:p w14:paraId="6241C950" w14:textId="77777777" w:rsidR="00AF4142" w:rsidRDefault="0073350E">
      <w:r>
        <w:rPr>
          <w:rStyle w:val="FootnoteReference"/>
        </w:rPr>
        <w:footnoteRef/>
      </w:r>
      <w:r>
        <w:t xml:space="preserve">Jill E. Fisch, Darius Palia &amp; Steven Davidoff Solomon, </w:t>
      </w:r>
      <w:r>
        <w:rPr>
          <w:i/>
          <w:iCs/>
        </w:rPr>
        <w:t>Is Say on Pay All About Pay? The Impact of Firm Performance</w:t>
      </w:r>
      <w:r>
        <w:t xml:space="preserve">, 8 </w:t>
      </w:r>
      <w:r>
        <w:rPr>
          <w:smallCaps/>
        </w:rPr>
        <w:t>Harv. Bus. L. Rev.</w:t>
      </w:r>
      <w:r>
        <w:t xml:space="preserve"> 101, 119–21 (2018) (finding say-on-pay votes primarily reflect firm performance rather than compensation levels and documenting say-on-pay’s failure to reduce CEO pay); Steven D. Green et al., </w:t>
      </w:r>
      <w:r>
        <w:rPr>
          <w:i/>
          <w:iCs/>
        </w:rPr>
        <w:t>The Impact of Say on Pay on S&amp;P 500 CEO Pay</w:t>
      </w:r>
      <w:r>
        <w:t xml:space="preserve">, </w:t>
      </w:r>
      <w:r>
        <w:rPr>
          <w:smallCaps/>
        </w:rPr>
        <w:t>Harv. L. Sch. F. on Corp. Governance</w:t>
      </w:r>
      <w:r>
        <w:t xml:space="preserve"> (Nov. 14, 2024), https://corpgov.law.harvard.edu/2024/11/14/the-impact-of-say-on-pay-on-s-p-500-ceo-pay/ (finding say-on-pay compressed CEO pay toward market median rather than reducing it); </w:t>
      </w:r>
      <w:r>
        <w:rPr>
          <w:i/>
          <w:iCs/>
        </w:rPr>
        <w:t>see also</w:t>
      </w:r>
      <w:r>
        <w:t xml:space="preserve"> Jie Cai &amp; Ralph A. Walkling, </w:t>
      </w:r>
      <w:r>
        <w:rPr>
          <w:i/>
          <w:iCs/>
        </w:rPr>
        <w:t>Shareholders’ Say on Pay: Does It Create Value?</w:t>
      </w:r>
      <w:r>
        <w:t xml:space="preserve">, 46 </w:t>
      </w:r>
      <w:r>
        <w:rPr>
          <w:smallCaps/>
        </w:rPr>
        <w:t>J. Fin. &amp; Quantitative Analysis</w:t>
      </w:r>
      <w:r>
        <w:t xml:space="preserve"> 299, 319–21 (2011) (finding that markets react positively to say-on-pay passage at firms with excessive pay, suggesting ex ante rather than ex post discipline).</w:t>
      </w:r>
    </w:p>
  </w:footnote>
  <w:footnote w:id="28">
    <w:p w14:paraId="10D4E7E5" w14:textId="77777777" w:rsidR="00AF4142" w:rsidRDefault="0073350E">
      <w:r>
        <w:rPr>
          <w:rStyle w:val="FootnoteReference"/>
        </w:rPr>
        <w:footnoteRef/>
      </w:r>
      <w:r>
        <w:rPr>
          <w:i/>
          <w:iCs/>
        </w:rPr>
        <w:t>See supra</w:t>
      </w:r>
      <w:r>
        <w:t xml:space="preserve"> note 3.</w:t>
      </w:r>
    </w:p>
  </w:footnote>
  <w:footnote w:id="29">
    <w:p w14:paraId="52D0E9E6" w14:textId="77777777" w:rsidR="00AF4142" w:rsidRDefault="0073350E">
      <w:r>
        <w:rPr>
          <w:rStyle w:val="FootnoteReference"/>
        </w:rPr>
        <w:footnoteRef/>
      </w:r>
      <w:r>
        <w:t xml:space="preserve">Lucian A. Bebchuk &amp; Scott Hirst, </w:t>
      </w:r>
      <w:r>
        <w:rPr>
          <w:i/>
          <w:iCs/>
        </w:rPr>
        <w:t>Index Funds and the Future of Corporate Governance</w:t>
      </w:r>
      <w:r>
        <w:t xml:space="preserve">, 119 </w:t>
      </w:r>
      <w:r>
        <w:rPr>
          <w:smallCaps/>
        </w:rPr>
        <w:t>Colum. L. Rev.</w:t>
      </w:r>
      <w:r>
        <w:t xml:space="preserve"> 2029, 2066–67 (2019) (documenting governance staffing levels at BlackRock, Vanguard, and State Street relative to portfolio size).</w:t>
      </w:r>
    </w:p>
  </w:footnote>
  <w:footnote w:id="30">
    <w:p w14:paraId="33A9EEC1" w14:textId="77777777" w:rsidR="00AF4142" w:rsidRDefault="0073350E">
      <w:r>
        <w:rPr>
          <w:rStyle w:val="FootnoteReference"/>
        </w:rPr>
        <w:footnoteRef/>
      </w:r>
      <w:r>
        <w:rPr>
          <w:i/>
          <w:iCs/>
        </w:rPr>
        <w:t>Id.</w:t>
      </w:r>
      <w:r>
        <w:t xml:space="preserve"> </w:t>
      </w:r>
      <w:proofErr w:type="gramStart"/>
      <w:r>
        <w:t>at</w:t>
      </w:r>
      <w:proofErr w:type="gramEnd"/>
      <w:r>
        <w:t xml:space="preserve"> 2067.</w:t>
      </w:r>
    </w:p>
  </w:footnote>
  <w:footnote w:id="31">
    <w:p w14:paraId="19391F8F" w14:textId="77777777" w:rsidR="00AF4142" w:rsidRDefault="0073350E">
      <w:r>
        <w:rPr>
          <w:rStyle w:val="FootnoteReference"/>
        </w:rPr>
        <w:footnoteRef/>
      </w:r>
      <w:r>
        <w:t>Investment Advisers Act Release No. IA-2106, 68 Fed. Reg. at 6585–86.</w:t>
      </w:r>
    </w:p>
  </w:footnote>
  <w:footnote w:id="32">
    <w:p w14:paraId="3F7C6254" w14:textId="77777777" w:rsidR="00AF4142" w:rsidRDefault="0073350E">
      <w:r>
        <w:rPr>
          <w:rStyle w:val="FootnoteReference"/>
        </w:rPr>
        <w:footnoteRef/>
      </w:r>
      <w:r>
        <w:rPr>
          <w:i/>
          <w:iCs/>
        </w:rPr>
        <w:t>See supra</w:t>
      </w:r>
      <w:r>
        <w:t xml:space="preserve"> note 5.</w:t>
      </w:r>
    </w:p>
  </w:footnote>
  <w:footnote w:id="33">
    <w:p w14:paraId="21D4FEE5" w14:textId="77777777" w:rsidR="00AF4142" w:rsidRDefault="0073350E">
      <w:r>
        <w:rPr>
          <w:rStyle w:val="FootnoteReference"/>
        </w:rPr>
        <w:footnoteRef/>
      </w:r>
      <w:r>
        <w:rPr>
          <w:i/>
          <w:iCs/>
        </w:rPr>
        <w:t>See supra</w:t>
      </w:r>
      <w:r>
        <w:t xml:space="preserve"> note 6.</w:t>
      </w:r>
    </w:p>
  </w:footnote>
  <w:footnote w:id="34">
    <w:p w14:paraId="03434A85" w14:textId="77777777" w:rsidR="00AF4142" w:rsidRDefault="0073350E">
      <w:r>
        <w:rPr>
          <w:rStyle w:val="FootnoteReference"/>
        </w:rPr>
        <w:footnoteRef/>
      </w:r>
      <w:r>
        <w:t xml:space="preserve">David F. Larcker, Allan L. McCall &amp; Gaizka Ormazabal, </w:t>
      </w:r>
      <w:r>
        <w:rPr>
          <w:i/>
          <w:iCs/>
        </w:rPr>
        <w:t>Outsourcing Shareholder Voting to Proxy Advisory Firms</w:t>
      </w:r>
      <w:r>
        <w:t xml:space="preserve">, 58 </w:t>
      </w:r>
      <w:r>
        <w:rPr>
          <w:smallCaps/>
        </w:rPr>
        <w:t>J.L. &amp; Econ.</w:t>
      </w:r>
      <w:r>
        <w:t xml:space="preserve"> 173, 195–99 (2015) (documenting that negative ISS recommendations reduce say-on-pay support by approximately 25 percentage points, driving companies to restructure compensation along ISS-preferred templates); Copland, Larcker &amp; Tayan, </w:t>
      </w:r>
      <w:r>
        <w:rPr>
          <w:i/>
          <w:iCs/>
        </w:rPr>
        <w:t>supra</w:t>
      </w:r>
      <w:r>
        <w:t xml:space="preserve"> note 5 (analyzing ISS influence on compensation design decisions and the resulting convergence toward standardized structures).</w:t>
      </w:r>
    </w:p>
  </w:footnote>
  <w:footnote w:id="35">
    <w:p w14:paraId="478E940D" w14:textId="77777777" w:rsidR="00AF4142" w:rsidRDefault="0073350E">
      <w:r>
        <w:rPr>
          <w:rStyle w:val="FootnoteReference"/>
        </w:rPr>
        <w:footnoteRef/>
      </w:r>
      <w:r>
        <w:rPr>
          <w:i/>
          <w:iCs/>
        </w:rPr>
        <w:t>See</w:t>
      </w:r>
      <w:r>
        <w:t xml:space="preserve"> SEC, </w:t>
      </w:r>
      <w:r>
        <w:rPr>
          <w:i/>
          <w:iCs/>
        </w:rPr>
        <w:t>Concept Release on the U.S. Proxy System</w:t>
      </w:r>
      <w:r>
        <w:t>, Release No. 34-62495, 75 Fed. Reg. 42,982, 43,013–14 (July 22, 2010) (noting conflicts of interest in proxy advisory business model).</w:t>
      </w:r>
    </w:p>
  </w:footnote>
  <w:footnote w:id="36">
    <w:p w14:paraId="43D2985B" w14:textId="77777777" w:rsidR="00AF4142" w:rsidRDefault="0073350E">
      <w:r>
        <w:rPr>
          <w:rStyle w:val="FootnoteReference"/>
        </w:rPr>
        <w:footnoteRef/>
      </w:r>
      <w:r>
        <w:t xml:space="preserve">Bebchuk &amp; Hirst, </w:t>
      </w:r>
      <w:r>
        <w:rPr>
          <w:i/>
          <w:iCs/>
        </w:rPr>
        <w:t>supra</w:t>
      </w:r>
      <w:r>
        <w:t xml:space="preserve"> note 29, at 2035–37 (documenting growth of index fund equity ownership); </w:t>
      </w:r>
      <w:r>
        <w:rPr>
          <w:smallCaps/>
        </w:rPr>
        <w:t>Investment Company Institute, 2021 Investment Company Fact Book</w:t>
      </w:r>
      <w:r>
        <w:t xml:space="preserve"> (2021), https://www.icifactbook.org/ (reporting index fund and ETF market share data).</w:t>
      </w:r>
    </w:p>
  </w:footnote>
  <w:footnote w:id="37">
    <w:p w14:paraId="012BBF8B" w14:textId="77777777" w:rsidR="00AF4142" w:rsidRDefault="0073350E">
      <w:r>
        <w:rPr>
          <w:rStyle w:val="FootnoteReference"/>
        </w:rPr>
        <w:footnoteRef/>
      </w:r>
      <w:r>
        <w:t xml:space="preserve">Bebchuk &amp; Hirst, </w:t>
      </w:r>
      <w:r>
        <w:rPr>
          <w:i/>
          <w:iCs/>
        </w:rPr>
        <w:t>supra</w:t>
      </w:r>
      <w:r>
        <w:t xml:space="preserve"> note 29, </w:t>
      </w:r>
      <w:proofErr w:type="gramStart"/>
      <w:r>
        <w:t>at</w:t>
      </w:r>
      <w:proofErr w:type="gramEnd"/>
      <w:r>
        <w:t xml:space="preserve"> 2039–40.</w:t>
      </w:r>
    </w:p>
  </w:footnote>
  <w:footnote w:id="38">
    <w:p w14:paraId="065FDADE" w14:textId="77777777" w:rsidR="00AF4142" w:rsidRDefault="0073350E">
      <w:r>
        <w:rPr>
          <w:rStyle w:val="FootnoteReference"/>
        </w:rPr>
        <w:footnoteRef/>
      </w:r>
      <w:r>
        <w:rPr>
          <w:i/>
          <w:iCs/>
        </w:rPr>
        <w:t>Id.</w:t>
      </w:r>
      <w:r>
        <w:t xml:space="preserve"> </w:t>
      </w:r>
      <w:proofErr w:type="gramStart"/>
      <w:r>
        <w:t>at</w:t>
      </w:r>
      <w:proofErr w:type="gramEnd"/>
      <w:r>
        <w:t xml:space="preserve"> 2060–62 (analyzing the “collective action problem” facing index funds and demonstrating why the marginal benefit of governance engagement at any single portfolio firm is insufficient to justify the cost).</w:t>
      </w:r>
    </w:p>
  </w:footnote>
  <w:footnote w:id="39">
    <w:p w14:paraId="265C1FF0" w14:textId="77777777" w:rsidR="00AF4142" w:rsidRDefault="0073350E">
      <w:r>
        <w:rPr>
          <w:rStyle w:val="FootnoteReference"/>
        </w:rPr>
        <w:footnoteRef/>
      </w:r>
      <w:r>
        <w:t xml:space="preserve">Dorothy S. Lund, </w:t>
      </w:r>
      <w:r>
        <w:rPr>
          <w:i/>
          <w:iCs/>
        </w:rPr>
        <w:t>The Case Against Passive Shareholder Voting</w:t>
      </w:r>
      <w:r>
        <w:t xml:space="preserve">, 43 </w:t>
      </w:r>
      <w:r>
        <w:rPr>
          <w:smallCaps/>
        </w:rPr>
        <w:t>J. Corp. L.</w:t>
      </w:r>
      <w:r>
        <w:t xml:space="preserve"> 493, 515–20 (2018) (documenting that passive funds vote with management on contested proposals and rely on ISS recommendations without independent evaluation).</w:t>
      </w:r>
    </w:p>
  </w:footnote>
  <w:footnote w:id="40">
    <w:p w14:paraId="3741FC63" w14:textId="77777777" w:rsidR="00AF4142" w:rsidRDefault="0073350E">
      <w:r>
        <w:rPr>
          <w:rStyle w:val="FootnoteReference"/>
        </w:rPr>
        <w:footnoteRef/>
      </w:r>
      <w:r>
        <w:t xml:space="preserve">Germán Gutiérrez &amp; Thomas Philippon, </w:t>
      </w:r>
      <w:r>
        <w:rPr>
          <w:i/>
          <w:iCs/>
        </w:rPr>
        <w:t>Investmentless Growth: An Empirical Investigation</w:t>
      </w:r>
      <w:r>
        <w:t xml:space="preserve">, </w:t>
      </w:r>
      <w:r>
        <w:rPr>
          <w:smallCaps/>
        </w:rPr>
        <w:t>Brookings Papers on Econ. Activity</w:t>
      </w:r>
      <w:r>
        <w:t xml:space="preserve">, </w:t>
      </w:r>
      <w:proofErr w:type="gramStart"/>
      <w:r>
        <w:t>Fall</w:t>
      </w:r>
      <w:proofErr w:type="gramEnd"/>
      <w:r>
        <w:t xml:space="preserve"> 2017, at 89, 107–12 (finding that higher quasi-indexer ownership correlates with lower investment and weaker governance outcomes, with governance factors explaining approximately one-sixth of the corporate investment gap); </w:t>
      </w:r>
      <w:r>
        <w:rPr>
          <w:i/>
          <w:iCs/>
        </w:rPr>
        <w:t>but see</w:t>
      </w:r>
      <w:r>
        <w:t xml:space="preserve"> Ian R. Appel, Todd A. Gormley &amp; Donald B. Keim, </w:t>
      </w:r>
      <w:r>
        <w:rPr>
          <w:i/>
          <w:iCs/>
        </w:rPr>
        <w:t>Passive Investors, Not Passive Owners</w:t>
      </w:r>
      <w:r>
        <w:t xml:space="preserve">, 121 </w:t>
      </w:r>
      <w:r>
        <w:rPr>
          <w:smallCaps/>
        </w:rPr>
        <w:t>J. Fin. Econ.</w:t>
      </w:r>
      <w:r>
        <w:t xml:space="preserve"> 111, 130–35 (2016) (finding passive fund ownership associated with more independent boards and removal of takeover defenses).</w:t>
      </w:r>
    </w:p>
  </w:footnote>
  <w:footnote w:id="41">
    <w:p w14:paraId="797C3B04" w14:textId="77777777" w:rsidR="00AF4142" w:rsidRDefault="0073350E">
      <w:r>
        <w:rPr>
          <w:rStyle w:val="FootnoteReference"/>
        </w:rPr>
        <w:footnoteRef/>
      </w:r>
      <w:r>
        <w:t xml:space="preserve">Roy Shapira, </w:t>
      </w:r>
      <w:r>
        <w:rPr>
          <w:i/>
          <w:iCs/>
        </w:rPr>
        <w:t>A New Caremark Era: Causes and Consequences</w:t>
      </w:r>
      <w:r>
        <w:t xml:space="preserve">, 98 </w:t>
      </w:r>
      <w:r>
        <w:rPr>
          <w:smallCaps/>
        </w:rPr>
        <w:t>Wash. U. L. Rev.</w:t>
      </w:r>
      <w:r>
        <w:t xml:space="preserve"> 1857 (2021) (documenting the expansion of viable </w:t>
      </w:r>
      <w:r>
        <w:rPr>
          <w:i/>
          <w:iCs/>
        </w:rPr>
        <w:t>Caremark</w:t>
      </w:r>
      <w:r>
        <w:t xml:space="preserve"> claims from near-zero survivals in the late 1990s to an active litigation category by the 2020s).</w:t>
      </w:r>
    </w:p>
  </w:footnote>
  <w:footnote w:id="42">
    <w:p w14:paraId="2DF0F0E8" w14:textId="77777777" w:rsidR="00AF4142" w:rsidRDefault="0073350E">
      <w:r>
        <w:rPr>
          <w:rStyle w:val="FootnoteReference"/>
        </w:rPr>
        <w:footnoteRef/>
      </w:r>
      <w:r>
        <w:rPr>
          <w:i/>
          <w:iCs/>
        </w:rPr>
        <w:t>See</w:t>
      </w:r>
      <w:r>
        <w:t xml:space="preserve"> cases cited </w:t>
      </w:r>
      <w:r>
        <w:rPr>
          <w:i/>
          <w:iCs/>
        </w:rPr>
        <w:t>supra</w:t>
      </w:r>
      <w:r>
        <w:t xml:space="preserve"> note 17.</w:t>
      </w:r>
    </w:p>
  </w:footnote>
  <w:footnote w:id="43">
    <w:p w14:paraId="0F56AFB4" w14:textId="77777777" w:rsidR="00AF4142" w:rsidRDefault="0073350E">
      <w:r>
        <w:rPr>
          <w:rStyle w:val="FootnoteReference"/>
        </w:rPr>
        <w:footnoteRef/>
      </w:r>
      <w:r>
        <w:t xml:space="preserve">Donald C. Langevoort, </w:t>
      </w:r>
      <w:r>
        <w:rPr>
          <w:i/>
          <w:iCs/>
        </w:rPr>
        <w:t>Caremark and Compliance: A Twenty Year Lookback</w:t>
      </w:r>
      <w:r>
        <w:t xml:space="preserve">, 90 </w:t>
      </w:r>
      <w:r>
        <w:rPr>
          <w:smallCaps/>
        </w:rPr>
        <w:t>Temp. L. Rev.</w:t>
      </w:r>
      <w:r>
        <w:t xml:space="preserve"> 727 (2018), https://corpgov.law.harvard.edu/2018/03/29/caremark-and-compliance-a-twenty-year-lookback/ (assessing </w:t>
      </w:r>
      <w:r>
        <w:rPr>
          <w:i/>
          <w:iCs/>
        </w:rPr>
        <w:t>Caremark</w:t>
      </w:r>
      <w:r>
        <w:t xml:space="preserve">’s limited deterrent effect on corporate compliance over two decades and concluding that the doctrine has not sufficiently induced boards to adopt effective compliance programs); </w:t>
      </w:r>
      <w:r>
        <w:rPr>
          <w:i/>
          <w:iCs/>
        </w:rPr>
        <w:t>see also</w:t>
      </w:r>
      <w:r>
        <w:t xml:space="preserve"> Jennifer Arlen, </w:t>
      </w:r>
      <w:r>
        <w:rPr>
          <w:i/>
          <w:iCs/>
        </w:rPr>
        <w:t>The Story of Allis-Chalmers, Caremark, and Stone: Directors’ Evolving Duty to Monitor</w:t>
      </w:r>
      <w:r>
        <w:t xml:space="preserve">, </w:t>
      </w:r>
      <w:r>
        <w:rPr>
          <w:i/>
          <w:iCs/>
        </w:rPr>
        <w:t>in</w:t>
      </w:r>
      <w:r>
        <w:t xml:space="preserve"> </w:t>
      </w:r>
      <w:r>
        <w:rPr>
          <w:smallCaps/>
        </w:rPr>
        <w:t>Corporate Law Stories</w:t>
      </w:r>
      <w:r>
        <w:t xml:space="preserve"> 323 (J. Mark Ramseyer ed., 2009) (analyzing the structural limitations of the oversight duty framework).</w:t>
      </w:r>
    </w:p>
  </w:footnote>
  <w:footnote w:id="44">
    <w:p w14:paraId="0B9F4172" w14:textId="77777777" w:rsidR="00AF4142" w:rsidRDefault="0073350E">
      <w:r>
        <w:rPr>
          <w:rStyle w:val="FootnoteReference"/>
        </w:rPr>
        <w:footnoteRef/>
      </w:r>
      <w:r>
        <w:rPr>
          <w:i/>
          <w:iCs/>
        </w:rPr>
        <w:t>See</w:t>
      </w:r>
      <w:r>
        <w:t xml:space="preserve"> </w:t>
      </w:r>
      <w:r>
        <w:rPr>
          <w:smallCaps/>
        </w:rPr>
        <w:t>Spencer Stuart, Spencer Stuart Board Index</w:t>
      </w:r>
      <w:r>
        <w:t xml:space="preserve"> 22 (2013), https://www.spencerstuart.com/research-and-insight/us-board-index (reporting audit committee meetings increasing from an average of 5.0 per year pre-SOX to 8.7 by 2013, a 74% increase); </w:t>
      </w:r>
      <w:r>
        <w:rPr>
          <w:i/>
          <w:iCs/>
        </w:rPr>
        <w:t>see also</w:t>
      </w:r>
      <w:r>
        <w:t xml:space="preserve"> </w:t>
      </w:r>
      <w:r>
        <w:rPr>
          <w:smallCaps/>
        </w:rPr>
        <w:t>National Association of Corporate Directors, 2023–2024 NACD Public Company Governance Survey</w:t>
      </w:r>
      <w:r>
        <w:t xml:space="preserve"> (documenting continued growth in compliance-related board time at the expense of strategic discussion).</w:t>
      </w:r>
    </w:p>
  </w:footnote>
  <w:footnote w:id="45">
    <w:p w14:paraId="779E569A" w14:textId="77777777" w:rsidR="00AF4142" w:rsidRDefault="0073350E">
      <w:r>
        <w:rPr>
          <w:rStyle w:val="FootnoteReference"/>
        </w:rPr>
        <w:footnoteRef/>
      </w:r>
      <w:r>
        <w:t xml:space="preserve">Buchanan, </w:t>
      </w:r>
      <w:r>
        <w:rPr>
          <w:i/>
          <w:iCs/>
        </w:rPr>
        <w:t>supra</w:t>
      </w:r>
      <w:r>
        <w:t xml:space="preserve"> note 7, at 1.</w:t>
      </w:r>
    </w:p>
  </w:footnote>
  <w:footnote w:id="46">
    <w:p w14:paraId="106D47E3" w14:textId="77777777" w:rsidR="00AF4142" w:rsidRDefault="0073350E">
      <w:r>
        <w:rPr>
          <w:rStyle w:val="FootnoteReference"/>
        </w:rPr>
        <w:footnoteRef/>
      </w:r>
      <w:r>
        <w:rPr>
          <w:i/>
          <w:iCs/>
        </w:rPr>
        <w:t>Id.</w:t>
      </w:r>
      <w:r>
        <w:t xml:space="preserve"> at 5–8 (deriving the optimal club membership as the point at which marginal sharing benefit equals marginal congestion cost).</w:t>
      </w:r>
    </w:p>
  </w:footnote>
  <w:footnote w:id="47">
    <w:p w14:paraId="4B6B7F32" w14:textId="77777777" w:rsidR="00AF4142" w:rsidRDefault="0073350E">
      <w:r>
        <w:rPr>
          <w:rStyle w:val="FootnoteReference"/>
        </w:rPr>
        <w:footnoteRef/>
      </w:r>
      <w:r>
        <w:t xml:space="preserve">Lisa Bernstein, </w:t>
      </w:r>
      <w:r>
        <w:rPr>
          <w:i/>
          <w:iCs/>
        </w:rPr>
        <w:t>Opting Out of the Legal System: Extralegal Contractual Relations in the Diamond Industry</w:t>
      </w:r>
      <w:r>
        <w:t xml:space="preserve">, 21 </w:t>
      </w:r>
      <w:r>
        <w:rPr>
          <w:smallCaps/>
        </w:rPr>
        <w:t>J. Legal Stud.</w:t>
      </w:r>
      <w:r>
        <w:t xml:space="preserve"> 115, 115–20 (1992).</w:t>
      </w:r>
    </w:p>
  </w:footnote>
  <w:footnote w:id="48">
    <w:p w14:paraId="75FB6FB0" w14:textId="77777777" w:rsidR="00AF4142" w:rsidRDefault="0073350E">
      <w:r>
        <w:rPr>
          <w:rStyle w:val="FootnoteReference"/>
        </w:rPr>
        <w:footnoteRef/>
      </w:r>
      <w:r>
        <w:t xml:space="preserve">Ronald J. Gilson &amp; Reinier H. Kraakman, </w:t>
      </w:r>
      <w:r>
        <w:rPr>
          <w:i/>
          <w:iCs/>
        </w:rPr>
        <w:t>The Mechanisms of Market Efficiency</w:t>
      </w:r>
      <w:r>
        <w:t xml:space="preserve">, 70 </w:t>
      </w:r>
      <w:r>
        <w:rPr>
          <w:smallCaps/>
        </w:rPr>
        <w:t>Va. L. Rev.</w:t>
      </w:r>
      <w:r>
        <w:t xml:space="preserve"> 549, 549–53 (1984); Philip Bond, Alex Edmans &amp; Itay Goldstein, </w:t>
      </w:r>
      <w:r>
        <w:rPr>
          <w:i/>
          <w:iCs/>
        </w:rPr>
        <w:t>The Real Effects of Financial Markets</w:t>
      </w:r>
      <w:r>
        <w:t xml:space="preserve">, 4 </w:t>
      </w:r>
      <w:r>
        <w:rPr>
          <w:smallCaps/>
        </w:rPr>
        <w:t>Ann. Rev. Fin. Econ.</w:t>
      </w:r>
      <w:r>
        <w:t xml:space="preserve"> 339, 340–43 (2012).</w:t>
      </w:r>
    </w:p>
  </w:footnote>
  <w:footnote w:id="49">
    <w:p w14:paraId="49F89A90" w14:textId="77777777" w:rsidR="00AF4142" w:rsidRDefault="0073350E">
      <w:r>
        <w:rPr>
          <w:rStyle w:val="FootnoteReference"/>
        </w:rPr>
        <w:footnoteRef/>
      </w:r>
      <w:r>
        <w:t xml:space="preserve">Anat R. Admati &amp; Paul Pfleiderer, </w:t>
      </w:r>
      <w:r>
        <w:rPr>
          <w:i/>
          <w:iCs/>
        </w:rPr>
        <w:t>Forcing Firms to Talk: Financial Disclosure Regulation and Externalities</w:t>
      </w:r>
      <w:r>
        <w:t xml:space="preserve">, 13 </w:t>
      </w:r>
      <w:r>
        <w:rPr>
          <w:smallCaps/>
        </w:rPr>
        <w:t>Rev. Fin. Stud.</w:t>
      </w:r>
      <w:r>
        <w:t xml:space="preserve"> 479, 480–83 (2000); Merritt B. Fox, </w:t>
      </w:r>
      <w:r>
        <w:rPr>
          <w:i/>
          <w:iCs/>
        </w:rPr>
        <w:t>Retaining Mandatory Securities Disclosure: Why Issuer Choice Is Not Investor Empowerment</w:t>
      </w:r>
      <w:r>
        <w:t xml:space="preserve">, 85 </w:t>
      </w:r>
      <w:r>
        <w:rPr>
          <w:smallCaps/>
        </w:rPr>
        <w:t>Va. L. Rev.</w:t>
      </w:r>
      <w:r>
        <w:t xml:space="preserve"> 1335, 1342–46 (1999).</w:t>
      </w:r>
    </w:p>
  </w:footnote>
  <w:footnote w:id="50">
    <w:p w14:paraId="614E683E" w14:textId="77777777" w:rsidR="00AF4142" w:rsidRDefault="0073350E">
      <w:r>
        <w:rPr>
          <w:rStyle w:val="FootnoteReference"/>
        </w:rPr>
        <w:footnoteRef/>
      </w:r>
      <w:r>
        <w:t xml:space="preserve">Elizabeth Pollman, </w:t>
      </w:r>
      <w:r>
        <w:rPr>
          <w:i/>
          <w:iCs/>
        </w:rPr>
        <w:t>Private Company Lies</w:t>
      </w:r>
      <w:r>
        <w:t xml:space="preserve">, 109 </w:t>
      </w:r>
      <w:r>
        <w:rPr>
          <w:smallCaps/>
        </w:rPr>
        <w:t>Geo. L.J.</w:t>
      </w:r>
      <w:r>
        <w:t xml:space="preserve"> 353, 356–60 (2020) (documenting governance norm failures at Theranos and WeWork and their dependence on absence of public company disclosure obligations).</w:t>
      </w:r>
    </w:p>
  </w:footnote>
  <w:footnote w:id="51">
    <w:p w14:paraId="1801FBE0" w14:textId="77777777" w:rsidR="00AF4142" w:rsidRDefault="0073350E">
      <w:r>
        <w:rPr>
          <w:rStyle w:val="FootnoteReference"/>
        </w:rPr>
        <w:footnoteRef/>
      </w:r>
      <w:r>
        <w:rPr>
          <w:i/>
          <w:iCs/>
        </w:rPr>
        <w:t>See</w:t>
      </w:r>
      <w:r>
        <w:t xml:space="preserve"> </w:t>
      </w:r>
      <w:r>
        <w:rPr>
          <w:smallCaps/>
        </w:rPr>
        <w:t>A.C. Pigou, The Economics of Welfare</w:t>
      </w:r>
      <w:r>
        <w:t xml:space="preserve"> 172–75 (4th ed. 1932) (establishing that goods generating positive externalities are undersupplied at market equilibrium because producers cannot capture the full social value of their output).</w:t>
      </w:r>
    </w:p>
  </w:footnote>
  <w:footnote w:id="52">
    <w:p w14:paraId="1F2882B0" w14:textId="77777777" w:rsidR="00AF4142" w:rsidRDefault="0073350E">
      <w:r>
        <w:rPr>
          <w:rStyle w:val="FootnoteReference"/>
        </w:rPr>
        <w:footnoteRef/>
      </w:r>
      <w:r>
        <w:t>Del. Code Ann. tit. 8, § 141(a) (2024).</w:t>
      </w:r>
    </w:p>
  </w:footnote>
  <w:footnote w:id="53">
    <w:p w14:paraId="702A6A42" w14:textId="77777777" w:rsidR="00AF4142" w:rsidRDefault="0073350E">
      <w:r>
        <w:rPr>
          <w:rStyle w:val="FootnoteReference"/>
        </w:rPr>
        <w:footnoteRef/>
      </w:r>
      <w:r>
        <w:t xml:space="preserve">Stephen M. Bainbridge, </w:t>
      </w:r>
      <w:r>
        <w:rPr>
          <w:i/>
          <w:iCs/>
        </w:rPr>
        <w:t>The Business Judgment Rule as Abstention Doctrine</w:t>
      </w:r>
      <w:r>
        <w:t xml:space="preserve">, 57 </w:t>
      </w:r>
      <w:r>
        <w:rPr>
          <w:smallCaps/>
        </w:rPr>
        <w:t>Vand. L. Rev.</w:t>
      </w:r>
      <w:r>
        <w:t xml:space="preserve"> 83, 83–88 (2004).</w:t>
      </w:r>
    </w:p>
  </w:footnote>
  <w:footnote w:id="54">
    <w:p w14:paraId="263B5B64" w14:textId="77777777" w:rsidR="00AF4142" w:rsidRDefault="0073350E">
      <w:r>
        <w:rPr>
          <w:rStyle w:val="FootnoteReference"/>
        </w:rPr>
        <w:footnoteRef/>
      </w:r>
      <w:r>
        <w:t xml:space="preserve">Bebchuk &amp; Hirst, </w:t>
      </w:r>
      <w:r>
        <w:rPr>
          <w:i/>
          <w:iCs/>
        </w:rPr>
        <w:t>supra</w:t>
      </w:r>
      <w:r>
        <w:t xml:space="preserve"> note 29, </w:t>
      </w:r>
      <w:proofErr w:type="gramStart"/>
      <w:r>
        <w:t>at</w:t>
      </w:r>
      <w:proofErr w:type="gramEnd"/>
      <w:r>
        <w:t xml:space="preserve"> 2066–67.</w:t>
      </w:r>
    </w:p>
  </w:footnote>
  <w:footnote w:id="55">
    <w:p w14:paraId="4E2DD715" w14:textId="77777777" w:rsidR="00AF4142" w:rsidRDefault="0073350E">
      <w:r>
        <w:rPr>
          <w:rStyle w:val="FootnoteReference"/>
        </w:rPr>
        <w:footnoteRef/>
      </w:r>
      <w:r>
        <w:rPr>
          <w:i/>
          <w:iCs/>
        </w:rPr>
        <w:t>See</w:t>
      </w:r>
      <w:r>
        <w:t xml:space="preserve"> Lucian A. Bebchuk, Alon Brav &amp; Wei Jiang, </w:t>
      </w:r>
      <w:r>
        <w:rPr>
          <w:i/>
          <w:iCs/>
        </w:rPr>
        <w:t>The Long-Term Effects of Hedge Fund Activism</w:t>
      </w:r>
      <w:r>
        <w:t xml:space="preserve">, 115 </w:t>
      </w:r>
      <w:r>
        <w:rPr>
          <w:smallCaps/>
        </w:rPr>
        <w:t>Colum. L. Rev.</w:t>
      </w:r>
      <w:r>
        <w:t xml:space="preserve"> 1085, 1095–1100 (2015) (finding operating performance improvements at targeted firms over five-year window); </w:t>
      </w:r>
      <w:r>
        <w:rPr>
          <w:i/>
          <w:iCs/>
        </w:rPr>
        <w:t>cf.</w:t>
      </w:r>
      <w:r>
        <w:t xml:space="preserve"> Ed deHaan, David F. Larcker &amp; Charles McClure, </w:t>
      </w:r>
      <w:r>
        <w:rPr>
          <w:i/>
          <w:iCs/>
        </w:rPr>
        <w:t>Long-Term Economic Consequences of Hedge Fund Activist Interventions</w:t>
      </w:r>
      <w:r>
        <w:t>, Rock Ctr. for Corp. Governance Working Paper No. 238, at 3–5 (2019) (finding near-zero value-weighted long-term returns for typical shareholders of activist targets), https://ssrn.com/abstract=3260095.</w:t>
      </w:r>
    </w:p>
  </w:footnote>
  <w:footnote w:id="56">
    <w:p w14:paraId="4FA10C9B" w14:textId="77777777" w:rsidR="00AF4142" w:rsidRDefault="0073350E">
      <w:r>
        <w:rPr>
          <w:rStyle w:val="FootnoteReference"/>
        </w:rPr>
        <w:footnoteRef/>
      </w:r>
      <w:r>
        <w:t xml:space="preserve">Bernstein, </w:t>
      </w:r>
      <w:r>
        <w:rPr>
          <w:i/>
          <w:iCs/>
        </w:rPr>
        <w:t>supra</w:t>
      </w:r>
      <w:r>
        <w:t xml:space="preserve"> note 47, at 115–17.</w:t>
      </w:r>
    </w:p>
  </w:footnote>
  <w:footnote w:id="57">
    <w:p w14:paraId="706D7730" w14:textId="77777777" w:rsidR="00AF4142" w:rsidRDefault="0073350E">
      <w:r>
        <w:rPr>
          <w:rStyle w:val="FootnoteReference"/>
        </w:rPr>
        <w:footnoteRef/>
      </w:r>
      <w:r>
        <w:rPr>
          <w:i/>
          <w:iCs/>
        </w:rPr>
        <w:t>See</w:t>
      </w:r>
      <w:r>
        <w:t xml:space="preserve"> Steven N. Kaplan &amp; Per Strömberg, </w:t>
      </w:r>
      <w:r>
        <w:rPr>
          <w:i/>
          <w:iCs/>
        </w:rPr>
        <w:t>Leveraged Buyouts and Private Equity</w:t>
      </w:r>
      <w:r>
        <w:t xml:space="preserve">, 23 </w:t>
      </w:r>
      <w:r>
        <w:rPr>
          <w:smallCaps/>
        </w:rPr>
        <w:t>J. Econ. Persp.</w:t>
      </w:r>
      <w:r>
        <w:t xml:space="preserve"> 121, 123–28 (2009) (describing PE governance structure and its reliance on concentrated ownership, expert board engagement, and incentive alignment).</w:t>
      </w:r>
    </w:p>
  </w:footnote>
  <w:footnote w:id="58">
    <w:p w14:paraId="32826752" w14:textId="77777777" w:rsidR="00AF4142" w:rsidRDefault="0073350E">
      <w:r>
        <w:rPr>
          <w:rStyle w:val="FootnoteReference"/>
        </w:rPr>
        <w:footnoteRef/>
      </w:r>
      <w:r>
        <w:t xml:space="preserve">Robert S. Harris, Tim Jenkinson &amp; Steven N. Kaplan, </w:t>
      </w:r>
      <w:r>
        <w:rPr>
          <w:i/>
          <w:iCs/>
        </w:rPr>
        <w:t>Private Equity Performance: What Do We Know?</w:t>
      </w:r>
      <w:r>
        <w:t xml:space="preserve">, 69 </w:t>
      </w:r>
      <w:r>
        <w:rPr>
          <w:smallCaps/>
        </w:rPr>
        <w:t>J. Fin.</w:t>
      </w:r>
      <w:r>
        <w:t xml:space="preserve"> 1851, 1870–75 (2014) (documenting buyout fund outperformance of approximately 3% annually over the S&amp;P 500 using Burgiss data); </w:t>
      </w:r>
      <w:r>
        <w:rPr>
          <w:i/>
          <w:iCs/>
        </w:rPr>
        <w:t>see also</w:t>
      </w:r>
      <w:r>
        <w:t xml:space="preserve"> </w:t>
      </w:r>
      <w:r>
        <w:rPr>
          <w:smallCaps/>
        </w:rPr>
        <w:t>Bain &amp; Co., Global Private Equity Report 2020</w:t>
      </w:r>
      <w:r>
        <w:t xml:space="preserve"> 13–18, https://www.bain.com/insights/public-vs-private-markets-global-private-equity-report-2020/ (reporting PE operational value creation metrics).</w:t>
      </w:r>
    </w:p>
  </w:footnote>
  <w:footnote w:id="59">
    <w:p w14:paraId="4FC28A6E" w14:textId="77777777" w:rsidR="00AF4142" w:rsidRDefault="0073350E">
      <w:r>
        <w:rPr>
          <w:rStyle w:val="FootnoteReference"/>
        </w:rPr>
        <w:footnoteRef/>
      </w:r>
      <w:r>
        <w:t xml:space="preserve">Bainbridge, </w:t>
      </w:r>
      <w:r>
        <w:rPr>
          <w:i/>
          <w:iCs/>
        </w:rPr>
        <w:t>supra</w:t>
      </w:r>
      <w:r>
        <w:t xml:space="preserve"> note 53, at 87–90.</w:t>
      </w:r>
    </w:p>
  </w:footnote>
  <w:footnote w:id="60">
    <w:p w14:paraId="75458F66" w14:textId="77777777" w:rsidR="00AF4142" w:rsidRDefault="0073350E">
      <w:r>
        <w:rPr>
          <w:rStyle w:val="FootnoteReference"/>
        </w:rPr>
        <w:footnoteRef/>
      </w:r>
      <w:r>
        <w:rPr>
          <w:i/>
          <w:iCs/>
        </w:rPr>
        <w:t>Aronson v. Lewis</w:t>
      </w:r>
      <w:r>
        <w:t>, 473 A.2d 805, 812 (Del. 1984).</w:t>
      </w:r>
    </w:p>
  </w:footnote>
  <w:footnote w:id="61">
    <w:p w14:paraId="089B3C69" w14:textId="77777777" w:rsidR="00AF4142" w:rsidRDefault="0073350E">
      <w:r>
        <w:rPr>
          <w:rStyle w:val="FootnoteReference"/>
        </w:rPr>
        <w:footnoteRef/>
      </w:r>
      <w:r>
        <w:rPr>
          <w:i/>
          <w:iCs/>
        </w:rPr>
        <w:t>Marchand</w:t>
      </w:r>
      <w:r>
        <w:t>, 212 A.3d at 822.</w:t>
      </w:r>
    </w:p>
  </w:footnote>
  <w:footnote w:id="62">
    <w:p w14:paraId="46694177" w14:textId="77777777" w:rsidR="00AF4142" w:rsidRDefault="0073350E">
      <w:r>
        <w:rPr>
          <w:rStyle w:val="FootnoteReference"/>
        </w:rPr>
        <w:footnoteRef/>
      </w:r>
      <w:r>
        <w:rPr>
          <w:i/>
          <w:iCs/>
        </w:rPr>
        <w:t>Caremark</w:t>
      </w:r>
      <w:r>
        <w:t>, 698 A.2d at 970 (requiring only that the board act “in a good faith effort to be informed and exercise judgment”).</w:t>
      </w:r>
    </w:p>
  </w:footnote>
  <w:footnote w:id="63">
    <w:p w14:paraId="4F014A58" w14:textId="77777777" w:rsidR="00AF4142" w:rsidRDefault="0073350E">
      <w:r>
        <w:rPr>
          <w:rStyle w:val="FootnoteReference"/>
        </w:rPr>
        <w:footnoteRef/>
      </w:r>
      <w:r>
        <w:rPr>
          <w:i/>
          <w:iCs/>
        </w:rPr>
        <w:t>Marchand</w:t>
      </w:r>
      <w:r>
        <w:t>, 212 A.3d at 822–23.</w:t>
      </w:r>
    </w:p>
  </w:footnote>
  <w:footnote w:id="64">
    <w:p w14:paraId="7F8E032F" w14:textId="77777777" w:rsidR="00AF4142" w:rsidRDefault="0073350E">
      <w:r>
        <w:rPr>
          <w:rStyle w:val="FootnoteReference"/>
        </w:rPr>
        <w:footnoteRef/>
      </w:r>
      <w:r>
        <w:rPr>
          <w:i/>
          <w:iCs/>
        </w:rPr>
        <w:t>McDonald’s</w:t>
      </w:r>
      <w:r>
        <w:t>, 2023 WL 2293575, at *13–*15.</w:t>
      </w:r>
    </w:p>
  </w:footnote>
  <w:footnote w:id="65">
    <w:p w14:paraId="061D0D86" w14:textId="77777777" w:rsidR="00AF4142" w:rsidRDefault="0073350E">
      <w:r>
        <w:rPr>
          <w:rStyle w:val="FootnoteReference"/>
        </w:rPr>
        <w:footnoteRef/>
      </w:r>
      <w:r>
        <w:t>S.B. 21, 153d Gen. Assemb., Reg. Sess. (Del. 2025).</w:t>
      </w:r>
    </w:p>
  </w:footnote>
  <w:footnote w:id="66">
    <w:p w14:paraId="239C934A" w14:textId="77777777" w:rsidR="00AF4142" w:rsidRDefault="0073350E">
      <w:r>
        <w:rPr>
          <w:rStyle w:val="FootnoteReference"/>
        </w:rPr>
        <w:footnoteRef/>
      </w:r>
      <w:r>
        <w:t>Tex. S.B. 29, 89th Leg., Reg. Sess. (2025).</w:t>
      </w:r>
    </w:p>
  </w:footnote>
  <w:footnote w:id="67">
    <w:p w14:paraId="48CB4DE8" w14:textId="77777777" w:rsidR="00AF4142" w:rsidRDefault="0073350E">
      <w:r>
        <w:rPr>
          <w:rStyle w:val="FootnoteReference"/>
        </w:rPr>
        <w:footnoteRef/>
      </w:r>
      <w:r>
        <w:rPr>
          <w:i/>
          <w:iCs/>
        </w:rPr>
        <w:t>See</w:t>
      </w:r>
      <w:r>
        <w:t xml:space="preserve"> Zohar Goshen &amp; Assaf Hamdani, </w:t>
      </w:r>
      <w:r>
        <w:rPr>
          <w:i/>
          <w:iCs/>
        </w:rPr>
        <w:t>Leaving Delaware? The Essential Role of Specialized Corporate Courts</w:t>
      </w:r>
      <w:r>
        <w:t xml:space="preserve">, SSRN Working Paper No. 5200668, at 3–8 (2025), https://ssrn.com/abstract=5200668 (analyzing the competitive dynamics following </w:t>
      </w:r>
      <w:r>
        <w:rPr>
          <w:i/>
          <w:iCs/>
        </w:rPr>
        <w:t>Tornetta</w:t>
      </w:r>
      <w:r>
        <w:t xml:space="preserve"> and the role of specialized courts in Delaware’s competitive position).</w:t>
      </w:r>
    </w:p>
  </w:footnote>
  <w:footnote w:id="68">
    <w:p w14:paraId="3A7896D2" w14:textId="77777777" w:rsidR="00AF4142" w:rsidRDefault="0073350E">
      <w:r>
        <w:rPr>
          <w:rStyle w:val="FootnoteReference"/>
        </w:rPr>
        <w:footnoteRef/>
      </w:r>
      <w:r>
        <w:t xml:space="preserve">Ralph K. Winter, Jr., </w:t>
      </w:r>
      <w:r>
        <w:rPr>
          <w:i/>
          <w:iCs/>
        </w:rPr>
        <w:t>State Law, Shareholder Protection, and the Theory of the Corporation</w:t>
      </w:r>
      <w:r>
        <w:t xml:space="preserve">, 6 </w:t>
      </w:r>
      <w:r>
        <w:rPr>
          <w:smallCaps/>
        </w:rPr>
        <w:t>J. Legal Stud.</w:t>
      </w:r>
      <w:r>
        <w:t xml:space="preserve"> 251, 256–63 (1977); </w:t>
      </w:r>
      <w:r>
        <w:rPr>
          <w:smallCaps/>
        </w:rPr>
        <w:t>Roberta Romano, The Genius of American Corporate Law</w:t>
      </w:r>
      <w:r>
        <w:t xml:space="preserve"> 6–14 (1993).</w:t>
      </w:r>
    </w:p>
  </w:footnote>
  <w:footnote w:id="69">
    <w:p w14:paraId="3F3ED274" w14:textId="77777777" w:rsidR="00AF4142" w:rsidRDefault="0073350E">
      <w:r>
        <w:rPr>
          <w:rStyle w:val="FootnoteReference"/>
        </w:rPr>
        <w:footnoteRef/>
      </w:r>
      <w:r>
        <w:t xml:space="preserve">William L. Cary, </w:t>
      </w:r>
      <w:r>
        <w:rPr>
          <w:i/>
          <w:iCs/>
        </w:rPr>
        <w:t>Federalism and Corporate Law: Reflections Upon Delaware</w:t>
      </w:r>
      <w:r>
        <w:t xml:space="preserve">, 83 </w:t>
      </w:r>
      <w:r>
        <w:rPr>
          <w:smallCaps/>
        </w:rPr>
        <w:t>Yale L.J.</w:t>
      </w:r>
      <w:r>
        <w:t xml:space="preserve"> 663, 663–70 (1974); Lucian A. Bebchuk, </w:t>
      </w:r>
      <w:r>
        <w:rPr>
          <w:i/>
          <w:iCs/>
        </w:rPr>
        <w:t>Federalism and the Corporation: The Desirable Limits on State Competition in Corporate Law</w:t>
      </w:r>
      <w:r>
        <w:t xml:space="preserve">, 105 </w:t>
      </w:r>
      <w:r>
        <w:rPr>
          <w:smallCaps/>
        </w:rPr>
        <w:t>Harv. L. Rev.</w:t>
      </w:r>
      <w:r>
        <w:t xml:space="preserve"> 1435, 1436–41 (1992).</w:t>
      </w:r>
    </w:p>
  </w:footnote>
  <w:footnote w:id="70">
    <w:p w14:paraId="681C6FA6" w14:textId="77777777" w:rsidR="00AF4142" w:rsidRDefault="0073350E">
      <w:r>
        <w:rPr>
          <w:rStyle w:val="FootnoteReference"/>
        </w:rPr>
        <w:footnoteRef/>
      </w:r>
      <w:r>
        <w:t xml:space="preserve">Dorothy S. Lund, </w:t>
      </w:r>
      <w:r>
        <w:rPr>
          <w:i/>
          <w:iCs/>
        </w:rPr>
        <w:t>Nonvoting Shares and Efficient Corporate Governance</w:t>
      </w:r>
      <w:r>
        <w:t xml:space="preserve">, 71 </w:t>
      </w:r>
      <w:r>
        <w:rPr>
          <w:smallCaps/>
        </w:rPr>
        <w:t>Stan. L. Rev.</w:t>
      </w:r>
      <w:r>
        <w:t xml:space="preserve"> 687, 690–95 (2019).</w:t>
      </w:r>
    </w:p>
  </w:footnote>
  <w:footnote w:id="71">
    <w:p w14:paraId="25F42665" w14:textId="77777777" w:rsidR="00AF4142" w:rsidRDefault="0073350E">
      <w:r>
        <w:rPr>
          <w:rStyle w:val="FootnoteReference"/>
        </w:rPr>
        <w:footnoteRef/>
      </w:r>
      <w:r>
        <w:t xml:space="preserve">Lucian A. Bebchuk &amp; Kobi Kastiel, </w:t>
      </w:r>
      <w:r>
        <w:rPr>
          <w:i/>
          <w:iCs/>
        </w:rPr>
        <w:t>The Untenable Case for Perpetual Dual-Class Stock</w:t>
      </w:r>
      <w:r>
        <w:t xml:space="preserve">, 103 </w:t>
      </w:r>
      <w:r>
        <w:rPr>
          <w:smallCaps/>
        </w:rPr>
        <w:t>Va. L. Rev.</w:t>
      </w:r>
      <w:r>
        <w:t xml:space="preserve"> 585, 587–93 (2017).</w:t>
      </w:r>
    </w:p>
  </w:footnote>
  <w:footnote w:id="72">
    <w:p w14:paraId="2271CA88" w14:textId="77777777" w:rsidR="00AF4142" w:rsidRDefault="0073350E">
      <w:r>
        <w:rPr>
          <w:rStyle w:val="FootnoteReference"/>
        </w:rPr>
        <w:footnoteRef/>
      </w:r>
      <w:r>
        <w:rPr>
          <w:i/>
          <w:iCs/>
        </w:rPr>
        <w:t>See generally</w:t>
      </w:r>
      <w:r>
        <w:t xml:space="preserve"> Lucian A. Bebchuk, </w:t>
      </w:r>
      <w:r>
        <w:rPr>
          <w:i/>
          <w:iCs/>
        </w:rPr>
        <w:t>The Case for Increasing Shareholder Power</w:t>
      </w:r>
      <w:r>
        <w:t xml:space="preserve">, 118 </w:t>
      </w:r>
      <w:r>
        <w:rPr>
          <w:smallCaps/>
        </w:rPr>
        <w:t>Harv. L. Rev.</w:t>
      </w:r>
      <w:r>
        <w:t xml:space="preserve"> 833 (2005).</w:t>
      </w:r>
    </w:p>
  </w:footnote>
  <w:footnote w:id="73">
    <w:p w14:paraId="02739515" w14:textId="77777777" w:rsidR="00AF4142" w:rsidRDefault="0073350E">
      <w:r>
        <w:rPr>
          <w:rStyle w:val="FootnoteReference"/>
        </w:rPr>
        <w:footnoteRef/>
      </w:r>
      <w:r>
        <w:t xml:space="preserve">Bebchuk &amp; Fried, </w:t>
      </w:r>
      <w:r>
        <w:rPr>
          <w:i/>
          <w:iCs/>
        </w:rPr>
        <w:t>supra</w:t>
      </w:r>
      <w:r>
        <w:t xml:space="preserve"> note 23; Lucian A. Bebchuk &amp; Alma Cohen, </w:t>
      </w:r>
      <w:r>
        <w:rPr>
          <w:i/>
          <w:iCs/>
        </w:rPr>
        <w:t>The Costs of Entrenched Boards</w:t>
      </w:r>
      <w:r>
        <w:t xml:space="preserve">, 78 </w:t>
      </w:r>
      <w:r>
        <w:rPr>
          <w:smallCaps/>
        </w:rPr>
        <w:t>J. Fin. Econ.</w:t>
      </w:r>
      <w:r>
        <w:t xml:space="preserve"> 409 (2005); Bebchuk &amp; Kastiel, </w:t>
      </w:r>
      <w:r>
        <w:rPr>
          <w:i/>
          <w:iCs/>
        </w:rPr>
        <w:t>supra</w:t>
      </w:r>
      <w:r>
        <w:t xml:space="preserve"> note 71.</w:t>
      </w:r>
    </w:p>
  </w:footnote>
  <w:footnote w:id="74">
    <w:p w14:paraId="272AF9A8" w14:textId="77777777" w:rsidR="00AF4142" w:rsidRDefault="0073350E">
      <w:r>
        <w:rPr>
          <w:rStyle w:val="FootnoteReference"/>
        </w:rPr>
        <w:footnoteRef/>
      </w:r>
      <w:r>
        <w:t xml:space="preserve">Bebchuk, Brav &amp; Jiang, </w:t>
      </w:r>
      <w:r>
        <w:rPr>
          <w:i/>
          <w:iCs/>
        </w:rPr>
        <w:t>supra</w:t>
      </w:r>
      <w:r>
        <w:t xml:space="preserve"> note 55, at 1095–1100.</w:t>
      </w:r>
    </w:p>
  </w:footnote>
  <w:footnote w:id="75">
    <w:p w14:paraId="36B87042" w14:textId="77777777" w:rsidR="00AF4142" w:rsidRDefault="0073350E">
      <w:r>
        <w:rPr>
          <w:rStyle w:val="FootnoteReference"/>
        </w:rPr>
        <w:footnoteRef/>
      </w:r>
      <w:r>
        <w:t xml:space="preserve">deHaan, Larcker &amp; McClure, </w:t>
      </w:r>
      <w:r>
        <w:rPr>
          <w:i/>
          <w:iCs/>
        </w:rPr>
        <w:t>supra</w:t>
      </w:r>
      <w:r>
        <w:t xml:space="preserve"> note 55, at 3–5.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C5F2A" w14:textId="77777777" w:rsidR="00AF4142" w:rsidRDefault="0073350E">
    <w:pPr>
      <w:jc w:val="center"/>
    </w:pPr>
    <w:r>
      <w:rPr>
        <w:i/>
        <w:iCs/>
        <w:sz w:val="20"/>
        <w:szCs w:val="20"/>
      </w:rPr>
      <w:t>DRAFT — Corporate Governance as a Club Good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17EFC"/>
    <w:multiLevelType w:val="hybridMultilevel"/>
    <w:tmpl w:val="CF06C05C"/>
    <w:lvl w:ilvl="0" w:tplc="174E9470">
      <w:start w:val="1"/>
      <w:numFmt w:val="bullet"/>
      <w:lvlText w:val="●"/>
      <w:lvlJc w:val="left"/>
      <w:pPr>
        <w:ind w:left="720" w:hanging="360"/>
      </w:pPr>
    </w:lvl>
    <w:lvl w:ilvl="1" w:tplc="EFD6AAB2">
      <w:start w:val="1"/>
      <w:numFmt w:val="bullet"/>
      <w:lvlText w:val="○"/>
      <w:lvlJc w:val="left"/>
      <w:pPr>
        <w:ind w:left="1440" w:hanging="360"/>
      </w:pPr>
    </w:lvl>
    <w:lvl w:ilvl="2" w:tplc="FDF68AC2">
      <w:start w:val="1"/>
      <w:numFmt w:val="bullet"/>
      <w:lvlText w:val="■"/>
      <w:lvlJc w:val="left"/>
      <w:pPr>
        <w:ind w:left="2160" w:hanging="360"/>
      </w:pPr>
    </w:lvl>
    <w:lvl w:ilvl="3" w:tplc="C86EAC70">
      <w:start w:val="1"/>
      <w:numFmt w:val="bullet"/>
      <w:lvlText w:val="●"/>
      <w:lvlJc w:val="left"/>
      <w:pPr>
        <w:ind w:left="2880" w:hanging="360"/>
      </w:pPr>
    </w:lvl>
    <w:lvl w:ilvl="4" w:tplc="F7AC4070">
      <w:start w:val="1"/>
      <w:numFmt w:val="bullet"/>
      <w:lvlText w:val="○"/>
      <w:lvlJc w:val="left"/>
      <w:pPr>
        <w:ind w:left="3600" w:hanging="360"/>
      </w:pPr>
    </w:lvl>
    <w:lvl w:ilvl="5" w:tplc="65143C06">
      <w:start w:val="1"/>
      <w:numFmt w:val="bullet"/>
      <w:lvlText w:val="■"/>
      <w:lvlJc w:val="left"/>
      <w:pPr>
        <w:ind w:left="4320" w:hanging="360"/>
      </w:pPr>
    </w:lvl>
    <w:lvl w:ilvl="6" w:tplc="01D23978">
      <w:start w:val="1"/>
      <w:numFmt w:val="bullet"/>
      <w:lvlText w:val="●"/>
      <w:lvlJc w:val="left"/>
      <w:pPr>
        <w:ind w:left="5040" w:hanging="360"/>
      </w:pPr>
    </w:lvl>
    <w:lvl w:ilvl="7" w:tplc="23E2ED08">
      <w:start w:val="1"/>
      <w:numFmt w:val="bullet"/>
      <w:lvlText w:val="●"/>
      <w:lvlJc w:val="left"/>
      <w:pPr>
        <w:ind w:left="5760" w:hanging="360"/>
      </w:pPr>
    </w:lvl>
    <w:lvl w:ilvl="8" w:tplc="DA56AB82">
      <w:start w:val="1"/>
      <w:numFmt w:val="bullet"/>
      <w:lvlText w:val="●"/>
      <w:lvlJc w:val="left"/>
      <w:pPr>
        <w:ind w:left="6480" w:hanging="360"/>
      </w:pPr>
    </w:lvl>
  </w:abstractNum>
  <w:num w:numId="1" w16cid:durableId="489680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4142"/>
    <w:rsid w:val="00046B5F"/>
    <w:rsid w:val="000B7F21"/>
    <w:rsid w:val="005E0B17"/>
    <w:rsid w:val="00667DBA"/>
    <w:rsid w:val="006F645A"/>
    <w:rsid w:val="0073350E"/>
    <w:rsid w:val="00AF4142"/>
    <w:rsid w:val="00B44899"/>
    <w:rsid w:val="00D438EB"/>
    <w:rsid w:val="00DB5E43"/>
    <w:rsid w:val="00F51D4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54974BF6"/>
  <w15:docId w15:val="{B9EA0694-AD2B-BB44-A97C-0BA1F705D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jc w:val="center"/>
      <w:outlineLvl w:val="0"/>
    </w:pPr>
    <w:rPr>
      <w:b/>
      <w:bCs/>
      <w:sz w:val="28"/>
      <w:szCs w:val="28"/>
    </w:rPr>
  </w:style>
  <w:style w:type="paragraph" w:styleId="Heading2">
    <w:name w:val="heading 2"/>
    <w:uiPriority w:val="9"/>
    <w:unhideWhenUsed/>
    <w:qFormat/>
    <w:pPr>
      <w:spacing w:before="360" w:after="240"/>
      <w:outlineLvl w:val="1"/>
    </w:pPr>
    <w:rPr>
      <w:b/>
      <w:bCs/>
      <w:i/>
      <w:i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39</Pages>
  <Words>7969</Words>
  <Characters>50845</Characters>
  <Application>Microsoft Office Word</Application>
  <DocSecurity>0</DocSecurity>
  <Lines>726</Lines>
  <Paragraphs>123</Paragraphs>
  <ScaleCrop>false</ScaleCrop>
  <Company/>
  <LinksUpToDate>false</LinksUpToDate>
  <CharactersWithSpaces>58691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Seth Oranburg</cp:lastModifiedBy>
  <cp:revision>5</cp:revision>
  <dcterms:created xsi:type="dcterms:W3CDTF">2026-03-24T14:13:00Z</dcterms:created>
  <dcterms:modified xsi:type="dcterms:W3CDTF">2026-04-01T21:37:00Z</dcterms:modified>
</cp:coreProperties>
</file>