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Corporate Numeracy</w:t>
      </w:r>
    </w:p>
    <w:p>
      <w:pPr>
        <w:pStyle w:val="Normal"/>
      </w:pPr>
      <w:r>
        <w:t>After completing this chapter, students should be able to:</w:t>
      </w:r>
    </w:p>
    <w:p>
      <w:pPr>
        <w:pStyle w:val="BulletList"/>
      </w:pPr>
      <w:r>
        <w:t>Distinguish the three legal tests for solvency—balance sheet, cash flow, and capital adequacy—and apply each to a concrete fact pattern to identify which forms of financial distress are present and which fraudulent-transfer theory is implicated.</w:t>
      </w:r>
    </w:p>
    <w:p>
      <w:pPr>
        <w:pStyle w:val="BulletList"/>
      </w:pPr>
      <w:r>
        <w:t>Analyze and apply the 'reasonably equivalent value' standard under 11 U.S.C. § 548(a)(1)(B) to complex transactions, including intercompany guarantees and leveraged buyouts, evaluating whether purported indirect benefits satisfy the statutory test.</w:t>
      </w:r>
    </w:p>
    <w:p>
      <w:pPr>
        <w:pStyle w:val="BulletList"/>
      </w:pPr>
      <w:r>
        <w:t>Trace the evolution of director duties as a firm moves from solvency through the zone of insolvency to formal bankruptcy, distinguishing direct from derivative claims under Gheewalla and evaluating the policy rationale for that distinction.</w:t>
      </w:r>
    </w:p>
    <w:p>
      <w:pPr>
        <w:pStyle w:val="BulletList"/>
      </w:pPr>
      <w:r>
        <w:t>Apply the collapse doctrine to LBO transactions, assessing at what point the debt load imposed on an acquired company crosses from aggressive financing into fraudulent transfer territory, with reference to the financial projections standard adopted in Moody.</w:t>
      </w:r>
    </w:p>
    <w:p>
      <w:pPr>
        <w:pStyle w:val="BulletList"/>
      </w:pPr>
      <w:r>
        <w:t>Evaluate insider claims in bankruptcy using Mobile Steel's three-part test for equitable subordination and Pepper v. Litton's equitable framework, and distinguish subordination from recharacterization as debt-to-equity conversions.</w:t>
      </w:r>
    </w:p>
    <w:p>
      <w:pPr>
        <w:pStyle w:val="Heading2"/>
      </w:pPr>
      <w:r>
        <w:t>Introduction: The Shadow of Bankruptcy</w:t>
      </w:r>
    </w:p>
    <w:p>
      <w:pPr>
        <w:pStyle w:val="Normal"/>
      </w:pPr>
      <w:r>
        <w:t>A lawyer who cannot read a balance sheet is like a physician who cannot read an X-ray. The image is there—the information is encoded in it—but without the interpretive vocabulary it is merely a pattern of light and shadow, legible only to the technician who generated it. This analogy, offered here not as a reproach but as an orientation, captures the central challenge of corporate practice: the financial statements that document a business’s condition are also legal documents, and their contents have consequences that run far beyond the balance sheet’s neat columns. Fiduciary duties expand or contract depending on whether equity is positive or negative. Transactions that seem perfectly ordinary during a company’s flush years become fraudulent conveyances in the shadow of insolvency. Loans that look like debt can be recharacterized as equity, destroying the seniority their holders thought they had purchased.</w:t>
      </w:r>
    </w:p>
    <w:p>
      <w:pPr>
        <w:pStyle w:val="Normal"/>
      </w:pPr>
      <w:r>
        <w:t>The animating pedagogical insight of this chapter is that bankruptcy law functions as a kind of financial radiograph. When a firm approaches or enters insolvency, every prior transaction is exposed to a scrutiny that ordinary business conditions never impose. The leverage ratio that seemed prudent when interest rates were low becomes a millstone when cash flows contract. The dividend that the board authorized in a moment of apparent surplus becomes an unlawful distribution if the surplus was fictional. The intercompany guarantee that streamlined the enterprise’s capital structure becomes a fraudulent transfer when the guaranteeing subsidiary receives nothing in exchange and ends up bankrupt. None of these transactions seemed extraordinary at the time. They become extraordinary—legally consequential in the most punishing sense—only when the company’s financial condition deteriorates to the point where creditors and trustees begin to examine what was done with the estate.</w:t>
      </w:r>
    </w:p>
    <w:p>
      <w:pPr>
        <w:pStyle w:val="Normal"/>
      </w:pPr>
      <w:r>
        <w:t>This chapter proceeds in five parts. The first introduces the balance sheet and the three legal tests of solvency, grounding abstract accounting concepts in the concrete facts of corporate distress litigation. The second examines the “zone of insolvency”—that uncertain terrain between robust health and formal bankruptcy where fiduciary duties become contested and creditors begin to assert interests they did not previously claim. The third addresses fraudulent transfers, the most powerful of the trustee’s avoiding powers, and the doctrine of reasonably equivalent value that lies at its heart. The fourth takes up leveraged buyouts—the transaction form that most systematically tests the boundary between aggressive financial engineering and legally impermissible insolvency. The fifth and final section addresses the priority waterfall: the hierarchy of claims in bankruptcy and the equitable subordination doctrine that allows courts to punish insider misconduct by displacing a creditor’s contractual seniority. Each section is illuminated by cases in which real lawyers, directors, and lenders discovered, often at great cost, that the numbers they had been reading did not mean what they thought.</w:t>
      </w:r>
    </w:p>
    <w:p>
      <w:pPr>
        <w:pStyle w:val="Heading2"/>
      </w:pPr>
      <w:r>
        <w:t>The Balance Sheet and the Three Tests of Solvency</w:t>
      </w:r>
    </w:p>
    <w:p>
      <w:pPr>
        <w:pStyle w:val="Heading3"/>
      </w:pPr>
      <w:r>
        <w:t>The Accounting Equation</w:t>
      </w:r>
    </w:p>
    <w:p>
      <w:pPr>
        <w:pStyle w:val="Normal"/>
      </w:pPr>
      <w:r>
        <w:t>Every balance sheet rests on a single equation: Assets equal Liabilities plus Shareholders’ Equity. This identity is not merely a bookkeeping convention; it is a description of who owns what claim against the enterprise. Assets are the resources the corporation controls—cash, receivables, inventory, property, patents, goodwill. Liabilities are the obligations the corporation owes to outsiders: banks, bondholders, trade creditors, employees with unpaid wages, counterparties with claims under contracts. Equity is the residual—whatever remains after every obligation has been satisfied. When equity is robust and positive, shareholders are protected by a cushion that absorbs losses before creditors feel any pain. When equity approaches zero, that cushion has been consumed, and every dollar of further loss falls directly on creditors.</w:t>
      </w:r>
    </w:p>
    <w:p>
      <w:pPr>
        <w:pStyle w:val="Normal"/>
      </w:pPr>
      <w:r>
        <w:t>Lawyers encounter the accounting equation most acutely in three legal contexts, each of which corresponds to one of the solvency tests that bankruptcy and corporate law have developed. The balance sheet test asks whether total assets, measured at fair value, exceed total liabilities. A company that fails this test is technically insolvent even if it is currently paying its bills: its creditors, taken as a class, are owed more than the assets from which they could be paid. The cash flow test asks whether the company is able to pay its debts as they come due—whether it has the liquidity, on a rolling basis, to service its obligations without defaulting. A company can be balance-sheet solvent but cash-flow insolvent if it has valuable long-term assets that cannot readily be converted into cash. Finally, the capital adequacy test—sometimes called the unreasonably small capital test—asks whether the company retains enough of a capital buffer, after a given transaction, to survive the foreseeable risks of its business. A company that strips itself of capital to pay a dividend or an acquisition premium may pass the balance sheet test at the moment of the transfer while still failing the capital adequacy test. The reason: the margin of safety that would have allowed it to absorb an unexpected loss has been eliminated.</w:t>
      </w:r>
    </w:p>
    <w:p>
      <w:pPr>
        <w:pStyle w:val="Normal"/>
      </w:pPr>
      <w:r>
        <w:t>The three tests are independent: a company may fail any one of them without failing the others, and under the Bankruptcy Code a finding of any one of the three forms of insolvency or financial inadequacy is sufficient to support avoidance of a constructive fraudulent transfer. Together they define a multidimensional concept of financial health that is richer, and more legally demanding, than simple accounting insolvency.</w:t>
      </w:r>
    </w:p>
    <w:p>
      <w:pPr>
        <w:pStyle w:val="GuidingQuestions"/>
      </w:pPr>
      <w:r>
        <w:t>Production Resources Group asks a straightforward question with far-reaching implications: what does it mean for a Delaware corporation to be “insolvent,” and who has standing to complain about it? As you read the case, note how Vice Chancellor Strine reads NCT’s own public SEC filings against it—treating a company’s disclosures as admissions of insolvency that border on Rule 11 violations when the same company argues otherwise in litigation. The case also raises the question of what a creditor can do, procedurally, when a company is insolvent: is appointment of a receiver appropriate, or is it an extraordinary remedy? And consider the role of Salkind, NCT’s de facto controlling stockholder—what does her conduct tell us about the relationship between capital structure and control?</w:t>
      </w:r>
    </w:p>
    <w:p>
      <w:pPr>
        <w:pStyle w:val="CaseInternalHeading"/>
        <w:keepNext/>
      </w:pPr>
      <w:r>
        <w:t>Production Resources Group, L.L.C. v. NCT Group, Inc., 863 A.2d 772 (Del. Ch. 2004)</w:t>
      </w:r>
    </w:p>
    <w:p>
      <w:pPr>
        <w:pStyle w:val="CaseParagraph"/>
      </w:pPr>
      <w:r>
        <w:t>…</w:t>
      </w:r>
    </w:p>
    <w:p>
      <w:pPr>
        <w:pStyle w:val="CaseParagraph"/>
      </w:pPr>
      <w:r>
        <w:t>In this opinion, I largely deny the defendants’ motion to dismiss. The § 291 claim is sustained because PRG has pled facts that, if true, show that NCT is insolvent, both in the sense that its liabilities far exceed its assets and that it has been unable to pay its debts when they have come due. Indeed, NCT’s pleading-stage arguments to the contrary come dangerously close to causing the court to invoke Rule 11 on its own motion as the company’s own public filings are, in themselves, sufficient to create a pleading-stage inference of insolvency.</w:t>
      </w:r>
    </w:p>
    <w:p>
      <w:pPr>
        <w:pStyle w:val="CaseParagraph"/>
      </w:pPr>
      <w:r>
        <w:t>NCT’s own public filings reveal that it is balance-sheet insolvent and that it has been unable to pay several debts that came due. To compromise some of these debts, NCT has pledged or issued billions of shares of its stock—which trades in pennies—shares far in excess of what is authorized by its charter. At the same time, NCT has failed to hold an annual meeting since 2001 because, it says, the company cannot afford the cost.</w:t>
      </w:r>
    </w:p>
    <w:p>
      <w:pPr>
        <w:pStyle w:val="CaseParagraph"/>
      </w:pPr>
      <w:r>
        <w:t>PRG has standing to raise fiduciary duty claims, however, because it has pled that NCT is insolvent. When a firm is insolvent, the firm’s assets are, in a practical sense, the property of its creditors. At that point, the creditors have a right to expect that fiduciary obligations, which previously ran only to stockholders, will be exercised with their interests in mind. The equity holders, by contrast, have no assets at stake: they have lost their cushion, and any recovery they might hope for comes only if there is enough to satisfy all creditors first.</w:t>
      </w:r>
    </w:p>
    <w:p>
      <w:pPr>
        <w:pStyle w:val="CaseParagraph"/>
      </w:pPr>
      <w:r>
        <w:t>Furthermore, the complaint sufficiently states a basis for the possible discretionary appointment of a receiver. The facts as pled suggest that NCT and its de facto controlling stockholder Salkind are engaging in bad faith conduct designed to advantage Salkind to the detriment of PRG and other NCT creditors. The allegations, when read in the plaintiff-friendly manner required by Rule 12, support an inference of self-dealing and deceptive conduct rather than a good-faith attempt to deal in an even-handed manner with all company creditors.</w:t>
      </w:r>
    </w:p>
    <w:p>
      <w:pPr>
        <w:pStyle w:val="CaseParagraph"/>
      </w:pPr>
      <w:r>
        <w:t>…</w:t>
      </w:r>
    </w:p>
    <w:p>
      <w:pPr>
        <w:pStyle w:val="CaseInternalHeading"/>
        <w:keepNext/>
      </w:pPr>
      <w:r>
        <w:t>Production Resources Group Notes and Questions</w:t>
      </w:r>
    </w:p>
    <w:p>
      <w:pPr>
        <w:pStyle w:val="Normal"/>
      </w:pPr>
      <w:r>
        <w:t>The Balance Sheet Test in Practice. Vice Chancellor Strine observes that NCT’s own SEC filings demonstrate its insolvency—the company’s required public disclosures become its adversary’s best evidence. As a transactional lawyer, how should this episode inform your approach to drafting financial disclosures for a client in distress? Is there tension between the securities law duty to disclose accurate financial information and the litigation instinct to concede nothing?</w:t>
      </w:r>
    </w:p>
    <w:p>
      <w:pPr>
        <w:pStyle w:val="Normal"/>
      </w:pPr>
      <w:r>
        <w:t>The Three Tests Distinguished. NCT appears to fail both the balance sheet test (liabilities exceed assets) and the cash flow test (unable to pay debts as due). Could a company fail one test but not the other? Construct a hypothetical: a real estate developer with valuable but illiquid land holdings and significant short-term bank debt coming due. How would courts analyze such a firm under each of the three solvency tests?</w:t>
      </w:r>
    </w:p>
    <w:p>
      <w:pPr>
        <w:pStyle w:val="Normal"/>
      </w:pPr>
      <w:r>
        <w:t>The Receiver as Remedy. Section 291 of the DGCL authorizes the Court of Chancery to appoint a receiver for an insolvent corporation, but courts have treated this power as discretionary and have exercised it sparingly. Why should equity require something more than bare insolvency to justify receivership? What does the Salkind conduct add to PRG’s case?</w:t>
      </w:r>
    </w:p>
    <w:p>
      <w:pPr>
        <w:pStyle w:val="Heading2"/>
      </w:pPr>
      <w:r>
        <w:t>The Zone of Insolvency: Duties in Transition</w:t>
      </w:r>
    </w:p>
    <w:p>
      <w:pPr>
        <w:pStyle w:val="Normal"/>
      </w:pPr>
      <w:r>
        <w:t>Between full solvency and formal bankruptcy lies the “zone of insolvency”: a territory in which the firm is neither demonstrably healthy nor formally bankrupt, but in which its financial condition has deteriorated to the point where creditors have a stake in how it is managed. The concept emerged from the Chancellor’s 1991 opinion in Credit Lyonnais Bank Nederland N.V. v. Pathe Communications Corp., which observed that when a firm nears insolvency the board must consider the “enterprise” as a whole—including the interests of creditors—rather than simply maximizing value for equity. The doctrine generated enormous litigation, as creditors sought to invoke it to assert direct fiduciary claims against directors. The Delaware Supreme Court’s 2007 decision in North American Catholic Educational Programming Foundation, Inc. v. Gheewalla drew the definitive doctrinal line.</w:t>
      </w:r>
    </w:p>
    <w:p>
      <w:pPr>
        <w:pStyle w:val="Normal"/>
      </w:pPr>
      <w:r>
        <w:t>The zone of insolvency does not create a new class of duty-holders. Directors of a solvent corporation owe their duties to the corporation and, derivatively, to its stockholders. Directors of an insolvent corporation continue to owe duties to the corporation—but creditors, as the residual beneficiaries of those duties when equity has been extinguished, may bring derivative claims on the corporation’s behalf to enforce them. What creditors may not do—even when the corporation is insolvent or in the zone of insolvency—is bring direct claims for breach of fiduciary duty against directors. The practical significance of this distinction is substantial: a direct claim belongs to the individual creditor, while a derivative claim belongs to the corporation and must be shared pro rata among all creditors through the bankruptcy estate.</w:t>
      </w:r>
    </w:p>
    <w:p>
      <w:pPr>
        <w:pStyle w:val="GuidingQuestions"/>
      </w:pPr>
      <w:r>
        <w:t>Gheewalla presents the Delaware Supreme Court’s definitive answer to a question that had generated considerable litigation since Credit Lyonnais Bank Nederland, N.V. v. Pathe Communications Corp., No. CIV.A. 12150, 1991 WL 277613 (Del. Ch. Dec. 30, 1991): when, if ever, may a creditor bring a direct (as opposed to derivative) fiduciary duty claim against the directors of a financially distressed corporation? As you read the opinion, trace the court’s reasoning through the distinction between direct and derivative claims—a distinction that applies in solvent-company litigation as well. Does the court’s holding leave creditors adequately protected, or does the requirement that claims be brought derivatively disadvantage them in ways that the court’s opinion does not fully acknowledge? And what is the practical significance of the personal-jurisdiction holding—why does it matter whether a fiduciary duty claim is direct or derivative for purposes of 10 Del. C. § 3114?</w:t>
      </w:r>
    </w:p>
    <w:p>
      <w:pPr>
        <w:pStyle w:val="CaseInternalHeading"/>
        <w:keepNext/>
      </w:pPr>
      <w:r>
        <w:t>North Am. Catholic Educ. Programming Found., Inc. v. Gheewalla, 930 A.2d 92 (Del. 2007)</w:t>
      </w:r>
    </w:p>
    <w:p>
      <w:pPr>
        <w:pStyle w:val="CaseParagraph"/>
      </w:pPr>
      <w:r>
        <w:t>…</w:t>
      </w:r>
    </w:p>
    <w:p>
      <w:pPr>
        <w:pStyle w:val="CaseParagraph"/>
      </w:pPr>
      <w:r>
        <w:t>In this opinion, we hold that the creditors of a Delaware corporation that is either insolvent or in the zone of insolvency have no right, as a matter of law, to assert direct claims for breach of fiduciary duty against the corporation’s directors. Accordingly, we have concluded that the judgments of the Court of Chancery must be affirmed.</w:t>
      </w:r>
    </w:p>
    <w:p>
      <w:pPr>
        <w:pStyle w:val="CaseParagraph"/>
      </w:pPr>
      <w:r>
        <w:t>Delaware courts have recognized that directors owe fiduciary duties to the corporation, i.e., to the corporate enterprise. When a corporation is solvent, those duties may be enforced by shareholders, who are the ultimate beneficiaries of the corporation’s growth and increased value. When a corporation is insolvent, its creditors take the place of the shareholders as the residual beneficiaries of any increase in value.</w:t>
      </w:r>
    </w:p>
    <w:p>
      <w:pPr>
        <w:pStyle w:val="CaseParagraph"/>
      </w:pPr>
      <w:r>
        <w:t>Recognizing that directors owe duties to creditors when a firm is in the zone of insolvency could create a conflict between directors’ obligations to stockholders and to creditors. Stockholders may prefer risk-taking behavior that creates upside value for equity but downsides risk for creditors. The zone of insolvency doctrine was thought to counteract this tendency by giving directors a reason to be attentive to creditor interests. But the doctrine also raises the specter of inconsistent obligations.</w:t>
      </w:r>
    </w:p>
    <w:p>
      <w:pPr>
        <w:pStyle w:val="CaseParagraph"/>
      </w:pPr>
      <w:r>
        <w:t>It is well settled that directors owe their fiduciary obligations to the corporation and its shareholders. While shareholders are the intended beneficiaries of the board’s obligations during solvency, creditors become the principal constituency entitled to receive the benefit of the board’s fiduciary obligations when the corporation is insolvent. When a corporation is in the zone of insolvency, fiduciary obligations run to shareholders and creditors, but not in a way that would support direct claims by creditors. Creditor interests during insolvency may be vindicated derivatively, as those of shareholders would be during solvency, but not through direct claims.</w:t>
      </w:r>
    </w:p>
    <w:p>
      <w:pPr>
        <w:pStyle w:val="CaseParagraph"/>
      </w:pPr>
      <w:r>
        <w:t>Recognition of direct claims by creditors would be contrary to Delaware law and policy. Recognizing such claims would expose directors to additional litigation risk and potential liability that could, in turn, cause them to make overly risk-averse decisions. Unfettered by their stockholders’ interests and facing litigation from unpaid creditors, directors might make decisions that would sacrifice long-term enterprise value for short-term preservation of capital. The inevitable result would be to the detriment of creditors themselves, who might otherwise have benefited from corporate risk-taking that increased enterprise value when the company returned to solvency.</w:t>
      </w:r>
    </w:p>
    <w:p>
      <w:pPr>
        <w:pStyle w:val="CaseParagraph"/>
      </w:pPr>
      <w:r>
        <w:t>…</w:t>
      </w:r>
    </w:p>
    <w:p>
      <w:pPr>
        <w:pStyle w:val="CaseInternalHeading"/>
        <w:keepNext/>
      </w:pPr>
      <w:r>
        <w:t>Gheewalla Notes and Questions</w:t>
      </w:r>
    </w:p>
    <w:p>
      <w:pPr>
        <w:pStyle w:val="Normal"/>
      </w:pPr>
      <w:r>
        <w:t>The Direct/Derivative Divide. The Gheewalla court draws a sharp line between direct and derivative claims. In the context of shareholder litigation, direct claims belong to individual shareholders who suffer harm specific to them, while derivative claims are brought on behalf of the corporation. Why does this distinction matter for creditors? Consider the practical effect: a derivative claim by a creditor channels any recovery into the bankruptcy estate, where it is shared pro rata. A direct claim would allow the individual creditor to keep the recovery. Which result better serves the policies underlying both fiduciary law and bankruptcy law?</w:t>
      </w:r>
    </w:p>
    <w:p>
      <w:pPr>
        <w:pStyle w:val="Normal"/>
      </w:pPr>
      <w:r>
        <w:t>The Zone Reconsidered. After Gheewalla, do directors of a corporation in the zone of insolvency owe any duties that they would not owe to a fully solvent corporation? Consult Quadrant Structured Products Co. v. Vertin, 115 A.3d 535 (Del. Ch. 2015), in which the Court of Chancery held that a creditor’s standing to bring a derivative claim requires a showing that the corporation was insolvent when suit was filed—but not that it remained continuously insolvent thereafter. Is that requirement consistent with the policy rationale articulated in Gheewalla?</w:t>
      </w:r>
    </w:p>
    <w:p>
      <w:pPr>
        <w:pStyle w:val="Normal"/>
      </w:pPr>
      <w:r>
        <w:t>Deepening Insolvency. An earlier generation of cases, including some brought in the Third Circuit, recognized a distinct tort claim for “deepening insolvency”: the theory that a director who prolongs a corporation’s existence while insolvent, thereby increasing the depth of its insolvency, is liable to creditors for the incremental harm. Vice Chancellor Strine rejected this claim in Trenwick America Litigation Trust v. Ernst &amp; Young, 906 A.2d 168 (Del. Ch. 2006), holding that deepening insolvency is not a separate cause of action under Delaware law and that facts supporting it, if they support liability at all, do so through existing fiduciary duty analysis.  But cf. Official Comm. of Unsecured Creditors v. R.F. Lafferty &amp; Co., 267 F.3d 340 (3d Cir. 2001) (recognizing deepening insolvency as a viable cause of action in the Third Circuit—the very court whose cases Trenwick was in part responding to). Do you agree with Trenwick’s rationale? What are the dangers of recognizing deepening insolvency as a standalone claim?</w:t>
      </w:r>
    </w:p>
    <w:p>
      <w:pPr>
        <w:pStyle w:val="Heading2"/>
      </w:pPr>
      <w:r>
        <w:t>Fraudulent Transfers and Reasonably Equivalent Value</w:t>
      </w:r>
    </w:p>
    <w:p>
      <w:pPr>
        <w:pStyle w:val="Heading3"/>
      </w:pPr>
      <w:r>
        <w:t>The Law of Bad Deals</w:t>
      </w:r>
    </w:p>
    <w:p>
      <w:pPr>
        <w:pStyle w:val="Normal"/>
      </w:pPr>
      <w:r>
        <w:t>The fraudulent transfer—known historically as the fraudulent conveyance—is among the oldest causes of action in the common law. Its origins lie in the Statute of 13 Elizabeth, enacted in 1571 to address the practice of debtors conveying their property to confederates to place it beyond the reach of creditors. Modern fraudulent transfer law, codified in the Bankruptcy Code at § 548 and in the Uniform Fraudulent Transfer Act (now the Uniform Voidable Transactions Act) adopted by most states, retains this historical function but has expanded its reach considerably.</w:t>
      </w:r>
    </w:p>
    <w:p>
      <w:pPr>
        <w:pStyle w:val="Normal"/>
      </w:pPr>
      <w:r>
        <w:t>There are two species of fraudulent transfer. The first—actual fraud—requires a showing that the debtor transferred assets with actual intent to hinder, delay, or defraud creditors. Direct evidence of such intent is rare; courts have developed a set of circumstantial indicators known as “badges of fraud” that permit an inference of fraudulent intent from the surrounding circumstances. The second—constructive fraud—does not require any showing of subjective intent. Instead, it requires the plaintiff to establish two things: that the debtor received less than reasonably equivalent value in exchange for the transfer, and that the debtor was insolvent at the time (or became insolvent as a result, or had unreasonably small capital, or was unable to pay debts as they came due). The constructive fraud action is far more commonly litigated, and the concept of “reasonably equivalent value” is at its center.</w:t>
      </w:r>
    </w:p>
    <w:p>
      <w:pPr>
        <w:pStyle w:val="Normal"/>
      </w:pPr>
      <w:r>
        <w:t>Reasonably equivalent value is not fair market value. The statute does not require dollar-for-dollar equivalence, and courts have consistently held that a transfer made at a moderate discount to market does not constitute a constructively fraudulent conveyance. What the statute requires is that the transferor receive, in exchange, something that a hypothetical reasonable person in the debtor’s position would regard as adequate consideration given the debtor’s specific financial circumstances. The doctrine becomes most contested—and most important—when the consideration is not money but instead some form of intangible benefit: the opportunity to avoid bankruptcy, the continuation of upstream corporate services, the elimination of litigation risk, or the stabilization of an enterprise that the transferor depended upon. As the following case demonstrates, courts scrutinize such claims carefully, and frequently find them wanting.</w:t>
      </w:r>
    </w:p>
    <w:p>
      <w:pPr>
        <w:pStyle w:val="GuidingQuestions"/>
      </w:pPr>
      <w:r>
        <w:t>In re TOUSA presents the most thorough judicial examination of the “reasonably equivalent value” standard ever written. The subsidiaries that granted liens to secure their parent’s debt received, in exchange, an assortment of claimed benefits: avoidance of a parent bankruptcy, access to corporate services, tax advantages, and a higher revolving credit limit. The court rejected all of them. As you read the opinion, ask yourself at each stage of the analysis whether the court’s rejection of each claimed benefit is persuasive—or whether the logic that sustained the subsidiaries as going concerns before the transaction should also count as real value received. Pay particular attention to the court’s treatment of the “opportunity to avoid bankruptcy” argument: if the subsidiaries would have survived a TOUSA bankruptcy better than they survived the July 31 transaction, what does that say about who this deal was designed to benefit?</w:t>
      </w:r>
    </w:p>
    <w:p>
      <w:pPr>
        <w:pStyle w:val="CaseInternalHeading"/>
        <w:keepNext/>
      </w:pPr>
      <w:r>
        <w:t>Senior Transeastern Lenders v. Official Comm. of Unsecured Creditors (In re TOUSA, Inc.), 680 F.3d 1298 (11th Cir. 2012)</w:t>
      </w:r>
    </w:p>
    <w:p>
      <w:pPr>
        <w:pStyle w:val="CaseParagraph"/>
      </w:pPr>
      <w:r>
        <w:t>This bankruptcy appeal involves a transfer of liens by subsidiaries of TOUSA, Inc., to secure the payment of a debt owed only by their parent, TOUSA. On July 31, 2007, TOUSA paid a settlement of $421 million to the Senior Transeastern Lenders with loan proceeds from the New Lenders secured primarily by the assets of several subsidiaries of TOUSA. Six months later, TOUSA and the Conveying Subsidiaries filed for bankruptcy.</w:t>
      </w:r>
    </w:p>
    <w:p>
      <w:pPr>
        <w:pStyle w:val="CaseParagraph"/>
      </w:pPr>
      <w:r>
        <w:t>… We hold that [the] bankruptcy court did not clearly err when it found that the Conveying Subsidiaries did not receive reasonably equivalent value for the liens and that the bankruptcy court correctly ruled that the Transeastern Lenders were entities “for whose benefit” the liens were transferred.</w:t>
      </w:r>
    </w:p>
    <w:p>
      <w:pPr>
        <w:pStyle w:val="CaseParagraph"/>
      </w:pPr>
      <w:r>
        <w:t>The bankruptcy court credited expert opinion testimony that the Conveying Subsidiaries were insolvent both before and after the transaction of July 31, 2007. Experts in real estate value, public accounting, and insolvency examined the financial records of TOUSA and the Conveying Subsidiaries and concluded that the liabilities of each of the Conveying Subsidiaries exceeded the fair value of their assets before the transaction. The bankruptcy court found that the Conveying Subsidiaries became even more deeply insolvent after incurring additional debt through the transaction.</w:t>
      </w:r>
    </w:p>
    <w:p>
      <w:pPr>
        <w:pStyle w:val="CaseParagraph"/>
      </w:pPr>
      <w:r>
        <w:t>The Transeastern Lenders and New Lenders highlighted numerous purported benefits of the transaction, but the crucial source of alleged value for the Conveying Subsidiaries was the economic benefit of avoiding default and bankruptcy. The Transeastern Lenders and New Lenders contended that the transaction staved off [an event of default] and gave TOUSA and the Conveying Subsidiaries an opportunity to continue as an enterprise and possibly become profitable again. The Transeastern Lenders and New Lenders contended that this opportunity was reasonably equivalent in value to the obligations the Conveying Subsidiaries incurred.</w:t>
      </w:r>
    </w:p>
    <w:p>
      <w:pPr>
        <w:pStyle w:val="CaseParagraph"/>
      </w:pPr>
      <w:r>
        <w:t>The bankruptcy court found that “even assuming that all of the TOUSA entities would have spiraled immediately into bankruptcy without the July 31 Transaction, the Transaction was still the more harmful option.” The bankruptcy court found that bankruptcy for the Conveying Subsidiaries was “inevitable” if TOUSA executed the transaction, so the transaction could not have conferred value by giving the Conveying Subsidiaries an opportunity to avoid bankruptcy.</w:t>
      </w:r>
    </w:p>
    <w:p>
      <w:pPr>
        <w:pStyle w:val="CaseParagraph"/>
      </w:pPr>
      <w:r>
        <w:t>These findings by the bankruptcy court were supported by public data and internal analyses and communications from TOUSA insiders that showed that the transaction would almost certainly fail to keep TOUSA and the Conveying Subsidiaries out of bankruptcy. Internal documents revealed that TOUSA insiders realized that the liability of the company to the Transeastern Lenders could force TOUSA into bankruptcy. On April 15, 2007, Larry Young, an advisor to TOUSA from AlixPartners LLP, wrote to Stephen Wagman, the CFO of TOUSA, “why rush to restructure in a down market with a bad set of terms just to file in 3 months. If we need to file due to the lenders/shareholder issues, then lets do it now and save ourselves about $50 million in transaction cost!” Wagman agreed with the assessment.</w:t>
      </w:r>
    </w:p>
    <w:p>
      <w:pPr>
        <w:pStyle w:val="CaseParagraph"/>
      </w:pPr>
      <w:r>
        <w:t>[The court of appeals affirmed the bankruptcy court’s conclusion that the transfer of the Conveying Subsidiaries’ liens was a constructive fraudulent transfer under § 548(a)(1)(B) of the Bankruptcy Code, because the Conveying Subsidiaries did not receive reasonably equivalent value in exchange for obligations totaling $403 million, and were insolvent at the time of and rendered more deeply insolvent by the transaction.]</w:t>
      </w:r>
    </w:p>
    <w:p>
      <w:pPr>
        <w:pStyle w:val="CaseParagraph"/>
      </w:pPr>
      <w:r>
        <w:t>…</w:t>
      </w:r>
    </w:p>
    <w:p>
      <w:pPr>
        <w:pStyle w:val="CaseInternalHeading"/>
        <w:keepNext/>
      </w:pPr>
      <w:r>
        <w:t>In re TOUSA Notes and Questions</w:t>
      </w:r>
    </w:p>
    <w:p>
      <w:pPr>
        <w:pStyle w:val="Normal"/>
      </w:pPr>
      <w:r>
        <w:t>The Three Solvency Tests Applied. TOUSA illustrates all three forms of insolvency relevant under § 548: balance-sheet insolvency (liabilities exceeded assets before the transaction), capital inadequacy (the transaction left the Conveying Subsidiaries without sufficient capital to meet foreseeable risks), and inability to pay debts as they came due (cash-flow insolvency). The bankruptcy court made alternative findings on each ground. Why might a court bother with all three when any one would be sufficient? What strategic advantage does finding all three provide for the estate?</w:t>
      </w:r>
    </w:p>
    <w:p>
      <w:pPr>
        <w:pStyle w:val="Normal"/>
      </w:pPr>
      <w:r>
        <w:t>The Value of Avoiding Bankruptcy. The most interesting argument in TOUSA is that the transaction gave the Conveying Subsidiaries something real: the chance to avoid the cascade of defaults that a TOUSA bankruptcy would have triggered. The bankruptcy court rejected this argument by finding that the subsidiaries would have fared better in an earlier bankruptcy than in the post-transaction bankruptcy that the deal merely postponed. Is that finding empirically robust? How should courts handle claimed benefits that are inherently speculative?</w:t>
      </w:r>
    </w:p>
    <w:p>
      <w:pPr>
        <w:pStyle w:val="Normal"/>
      </w:pPr>
      <w:r>
        <w:t>The Intercompany Guarantee Problem. TOUSA’s subsidiaries guaranteed their parent’s obligations but received nothing directly from the transaction proceeds. This is the core structure of the fraudulent transfer claim: subsidiary gives value (the lien on its assets), parent’s creditor receives value (the secured loan), but the subsidiary receives only indirect, speculative benefits. Does this analysis suggest that all intercompany guarantees are potentially voidable? How do lenders protect themselves against this risk in structuring secured credit facilities?</w:t>
      </w:r>
    </w:p>
    <w:p>
      <w:pPr>
        <w:pStyle w:val="GuidingQuestions"/>
      </w:pPr>
      <w:r>
        <w:t>Boyer v. Crown Stock Distribution asks Judge Posner to apply the fraudulent transfer statute to the pre-closing distribution of cash from old Crown to its shareholders—a distribution made at the very moment the business was being sold to a buyer who had contributed almost no equity of his own. As you read the opinion, attend to Posner’s methodological approach: he treats “reasonably equivalent value” as an essentially economic question, to be answered by asking whether a reasonable seller in the same position would have made the same exchange. Does that approach produce a predictable legal standard, or does it simply restate the question in economic terms without answering it? And consider the relationship between the fraudulent transfer claim and the basic structure of the leveraged sale: if the buyer’s purchase price was commercially reasonable, why should the pre-closing dividend be problematic?</w:t>
      </w:r>
    </w:p>
    <w:p>
      <w:pPr>
        <w:pStyle w:val="CaseInternalHeading"/>
        <w:keepNext/>
      </w:pPr>
      <w:r>
        <w:t>Boyer v. Crown Stock Distribution, Inc., 587 F.3d 787 (7th Cir. 2009)</w:t>
      </w:r>
    </w:p>
    <w:p>
      <w:pPr>
        <w:pStyle w:val="CaseParagraph"/>
      </w:pPr>
      <w:r>
        <w:t>These appeals arise from the Chapter 7 bankruptcy of Crown Unlimited Machine, Inc. The trustee in bankruptcy filed an adversary action charging the defendants —a defunct corporation and its shareholders, members of a family named Stroup—with having made a fraudulent conveyance in violation of Ind. Code § 32-18-2-14(2), a statute enforceable in a bankruptcy proceeding.</w:t>
      </w:r>
    </w:p>
    <w:p>
      <w:pPr>
        <w:pStyle w:val="CaseParagraph"/>
      </w:pPr>
      <w:r>
        <w:t>Just prior to the closing, old Crown transferred $590,328 from its corporate bank account to a separate bank account so that it could be distributed to Crown’s shareholders as a dividend. This was done pursuant to an understanding of the parties that the Stroups would be permitted to keep some of Crown’s cash that would otherwise have been transferred to the new corporation as part of the sale. After the closing, old Crown distributed the entire $3.1 million in cash that it had received to its shareholders, and ceased to be an operating company. New Crown was a flop. It declared bankruptcy in July 2003.</w:t>
      </w:r>
    </w:p>
    <w:p>
      <w:pPr>
        <w:pStyle w:val="CaseParagraph"/>
      </w:pPr>
      <w:r>
        <w:t>The question presented by the cross-appeal concerns the $590,328 that old Crown removed from its bank account just before closing and then distributed to the Stroups. The trustee argues that this was a fraudulent conveyance because it left new Crown without cash it needed to operate. The defendants’ answer is that since old Crown kept the money in the deal (to be passed on to new Crown as part of the assets being sold), new Crown would have received the money as part of the purchase price that Smith paid.</w:t>
      </w:r>
    </w:p>
    <w:p>
      <w:pPr>
        <w:pStyle w:val="CaseParagraph"/>
      </w:pPr>
      <w:r>
        <w:t>This is clever but wrong. Old Crown was selling its assets for $6 million, of which $590,328 was cash in Crown’s bank account. The buyers’ willingness to pay $6 million reflected the totality of Crown’s assets including that cash. By removing the cash from its account before the closing, old Crown reduced the value of what it was selling, and so the consideration it received was reduced by $590,328. Because old Crown received nothing for transferring the cash to the separate account (the sale price wasn’t increased to compensate for the reduction in assets), it transferred the cash for less than reasonably equivalent value, which is the constructive fraud standard. The unsecured creditors were harmed.</w:t>
      </w:r>
    </w:p>
    <w:p>
      <w:pPr>
        <w:pStyle w:val="CaseParagraph"/>
      </w:pPr>
      <w:r>
        <w:t>…</w:t>
      </w:r>
    </w:p>
    <w:p>
      <w:pPr>
        <w:pStyle w:val="CaseInternalHeading"/>
        <w:keepNext/>
      </w:pPr>
      <w:r>
        <w:t>Boyer Notes and Questions</w:t>
      </w:r>
    </w:p>
    <w:p>
      <w:pPr>
        <w:pStyle w:val="Normal"/>
      </w:pPr>
      <w:r>
        <w:t>Posner’s Method. Posner reduces the fraudulent transfer question to a simple economic proposition: if the sale price reflected the value of all assets including the cash, and the cash was removed without a corresponding increase in the price, then the corporation received less than it gave. Does this analysis apply symmetrically? If the sale price had been increased by $590,328 to reflect the removal of the cash, would the dividend still be a fraudulent conveyance? Why or why not?</w:t>
      </w:r>
    </w:p>
    <w:p>
      <w:pPr>
        <w:pStyle w:val="Normal"/>
      </w:pPr>
      <w:r>
        <w:t>The Lookback Period. Under § 548 of the Bankruptcy Code, the trustee may avoid a fraudulent transfer made within two years before the bankruptcy petition (as amended in 2005; the prior period was one year). Under the Uniform Fraudulent Transfer Act as enacted by most states, the lookback period is four years. The trustee in Boyer relied on state law to reach the older transfer. Crown Unlimited Machine filed for Chapter 7 in November 2002; the challenged transfer to the old Crown shareholders had occurred in May 2000. Under the then-applicable one-year federal lookback, the November 2001–November 2002 window could not reach that transfer. Indiana’s Uniform Fraudulent Transfer Act, however, carries a four-year limitation period, making the May 2000 transfer reachable and illustrating precisely why trustees frequently elect to plead state-law fraudulent transfer claims alongside or in lieu of their federal § 548 claims. What policy justifies a longer lookback period under state law than under the Bankruptcy Code? Are there due process concerns with applying multi-year lookback periods to ordinary business transactions?</w:t>
      </w:r>
    </w:p>
    <w:p>
      <w:pPr>
        <w:pStyle w:val="Heading2"/>
      </w:pPr>
      <w:r>
        <w:t>Leveraged Buyouts and the Weight of Debt</w:t>
      </w:r>
    </w:p>
    <w:p>
      <w:pPr>
        <w:pStyle w:val="Normal"/>
      </w:pPr>
      <w:r>
        <w:t>A leveraged buyout is the quintessential test of the fraudulent transfer doctrine’s limits. In an LBO, an acquiring party purchases a company by borrowing most of the purchase price and securing those borrowings not with its own assets but with the assets of the company it is acquiring. From the perspective of the target company’s pre-acquisition creditors, the LBO is alarming: what was unencumbered collateral before the transaction becomes pledged collateral after it, supporting a debt load that the target did not incur for its own benefit. The company’s balance sheet, which showed manageable leverage before the acquisition, is suddenly laden with obligations that the acquiring equity holders need not personally satisfy.</w:t>
      </w:r>
    </w:p>
    <w:p>
      <w:pPr>
        <w:pStyle w:val="Normal"/>
      </w:pPr>
      <w:r>
        <w:t>The courts have long grappled with the question of whether an LBO constitutes a fraudulent transfer with respect to the target company’s existing creditors. The doctrinal challenge is the collapse test: if we treat the entire LBO transaction as a single economic unit—the equity holders receive value (cash for their shares), the acquiring party incurs debt (which it uses to pay the equity holders), and the target company provides security (its assets secure the acquisition debt)—then we can see that the target company is receiving no consideration at all for the liens it is granting. The equity holders receive the value; the target grants the security. The company has, in economic substance, transferred its assets for the benefit of its former shareholders.</w:t>
      </w:r>
    </w:p>
    <w:p>
      <w:pPr>
        <w:pStyle w:val="Normal"/>
      </w:pPr>
      <w:r>
        <w:t>Courts apply the collapse approach with varying degrees of vigor. The Third Circuit’s decision in Moody v. Security Pacific Business Credit is the leading authority for the proposition that an LBO will be treated as a single integrated transaction and that each step will be collapsed into the others for purposes of the fraudulent transfer analysis. But Moody also illustrates how the doctrine operates in practice: a careful financial analysis of the company’s condition at the time of the LBO is essential, and an LBO that leaves the acquired company with reasonable capital and cash flow may survive scrutiny even if it involves a substantial debt load.</w:t>
      </w:r>
    </w:p>
    <w:p>
      <w:pPr>
        <w:pStyle w:val="GuidingQuestions"/>
      </w:pPr>
      <w:r>
        <w:t>Moody v. Security Pacific asks whether the leveraged buyout of Jeannette Corporation—a company that had been profitable for many years before the acquisition—constituted a fraudulent conveyance. The court affirms judgment for the defendants, finding that the projected cash flows at the time of the transaction were reasonable and that the company was not insolvent at the time of the LBO. As you read the case, consider how much weight the court places on the projections that existed at the time versus the actual outcome (rapid bankruptcy). Is the court’s hindsight disclaimer—the injunction against judging reasonableness by outcome—principled or merely result-oriented? And compare the facts of Moody to TOUSA: what distinguishes a permissible aggressive capital structure from an impermissible one?</w:t>
      </w:r>
    </w:p>
    <w:p>
      <w:pPr>
        <w:pStyle w:val="CaseInternalHeading"/>
        <w:keepNext/>
      </w:pPr>
      <w:r>
        <w:t>Moody v. Security Pac. Business Credit, Inc., 971 F.2d 1056 (3d Cir. 1992)</w:t>
      </w:r>
    </w:p>
    <w:p>
      <w:pPr>
        <w:pStyle w:val="CaseParagraph"/>
      </w:pPr>
      <w:r>
        <w:t>This bankruptcy case requires us to address, once again, the application of the fraudulent conveyance laws to a failed leveraged buyout. This case raises several questions about the application of [the Pennsylvania UFCA] to the failed leveraged buyout of Jeannette Corporation. On July 31, 1981, a group of investors acquired Jeannette in a leveraged buyout. Less than a year and a half later, Jeannette, which had been profitable for many years, was forced into bankruptcy.</w:t>
      </w:r>
    </w:p>
    <w:p>
      <w:pPr>
        <w:pStyle w:val="CaseParagraph"/>
      </w:pPr>
      <w:r>
        <w:t>A leveraged buyout refers to the acquisition of a company (“target corporation”) in which a substantial portion of the purchase price paid for the stock of the target corporation is borrowed and where the loan is secured by the target corporation’s assets. Commonly, the acquirer invests little or no equity. Thus, a fundamental feature of leveraged buyouts is that equity is exchanged for debt.</w:t>
      </w:r>
    </w:p>
    <w:p>
      <w:pPr>
        <w:pStyle w:val="CaseParagraph"/>
      </w:pPr>
      <w:r>
        <w:t>[For purposes of fraudulent transfer analysis, the court “collaps[ed]” the multiple steps of the LBO into a single integrated transaction, and asked whether the target corporation received reasonably equivalent value in exchange for granting liens on its assets.] The trustee must establish that the debtor did not receive reasonably equivalent value in exchange for the transfer. When the only consideration the debtor receives is the purchase of its own stock, it receives nothing of value for itself. The stockholders receive value, but the debtor does not. The lenders receive security, but the debtor does not receive equivalent value.</w:t>
      </w:r>
    </w:p>
    <w:p>
      <w:pPr>
        <w:pStyle w:val="CaseParagraph"/>
      </w:pPr>
      <w:r>
        <w:t>Despite this general principle, the court affirmed the district court’s finding for the defendants. The financial projections prepared at the time of the LBO, which were based on Jeannette’s historical performance and reasonable assumptions about market conditions, showed that the company would be able to service its debt. The fact that those projections proved incorrect does not, by itself, establish that the transaction was unreasonably risky at the time it was made. Courts must be careful not to use hindsight to convert commercially reasonable optimism into fraudulent conduct.</w:t>
      </w:r>
    </w:p>
    <w:p>
      <w:pPr>
        <w:pStyle w:val="CaseParagraph"/>
      </w:pPr>
      <w:r>
        <w:t>…</w:t>
      </w:r>
    </w:p>
    <w:p>
      <w:pPr>
        <w:pStyle w:val="CaseInternalHeading"/>
        <w:keepNext/>
      </w:pPr>
      <w:r>
        <w:t>Leveraged Buyouts Notes and Questions</w:t>
      </w:r>
    </w:p>
    <w:p>
      <w:pPr>
        <w:pStyle w:val="Normal"/>
      </w:pPr>
      <w:r>
        <w:t>The Collapse Doctrine. When courts “collapse” the steps of an LBO, they treat the entire transaction as a single economic event rather than as a series of discrete transfers. This means that the proceeds of the acquisition loan are traced through the acquiring entity to the selling shareholders, and the target corporation is treated as having provided the security for a loan that ultimately benefited those shareholders. Is this economic-substance analysis consistent with the statutory text of § 548, which asks whether the debtor received reasonably equivalent value? Who is the “debtor” for purposes of this analysis?</w:t>
      </w:r>
    </w:p>
    <w:p>
      <w:pPr>
        <w:pStyle w:val="Normal"/>
      </w:pPr>
      <w:r>
        <w:t>Projections as Evidence. Moody turns in part on the adequacy of the financial projections used to justify the LBO at the time. What standard should courts apply to such projections? Should a projection be deemed reasonable if it was prepared by a reputable financial advisor, even if it proved wildly wrong? Compare the treatment of projections in Moody with their treatment in TOUSA, where internal documents showed that company insiders believed the transaction would fail even before it closed.</w:t>
      </w:r>
    </w:p>
    <w:p>
      <w:pPr>
        <w:pStyle w:val="Normal"/>
      </w:pPr>
      <w:r>
        <w:t>Policy Implications. LBOs are a significant mechanism for transferring corporate ownership, creating management incentives, and restructuring underperforming businesses. If every failed LBO were a fraudulent transfer, the economic consequences would be severe. How should courts calibrate the fraudulent transfer doctrine to punish genuinely abusive transactions while preserving access to legitimate acquisition financing? Consider the role of due diligence, solvency opinions, and structural safeguards in this analysis.</w:t>
      </w:r>
    </w:p>
    <w:p>
      <w:pPr>
        <w:pStyle w:val="Heading2"/>
      </w:pPr>
      <w:r>
        <w:t>Priority, Equitable Subordination, and the Waterfall</w:t>
      </w:r>
    </w:p>
    <w:p>
      <w:pPr>
        <w:pStyle w:val="Heading3"/>
      </w:pPr>
      <w:r>
        <w:t>The Absolute Priority Rule and the Creditor Hierarchy</w:t>
      </w:r>
    </w:p>
    <w:p>
      <w:pPr>
        <w:pStyle w:val="Normal"/>
      </w:pPr>
      <w:r>
        <w:t>When a corporation enters bankruptcy, the distribution of its assets is governed by the absolute priority rule: claims must be paid in strict priority order, with no junior class receiving any distribution until every senior class has been paid in full. Secured creditors are paid first, from the collateral securing their claims. Administrative expenses come next—the costs of running the bankruptcy estate, including professional fees. Then come priority unsecured claims: certain employee wage claims, tax obligations, and other categories listed in § 507 of the Bankruptcy Code. General unsecured creditors share whatever remains, pro rata. Equity holders receive distributions only if all creditor classes have been paid in full—a circumstance that rarely arises in a distressed company’s bankruptcy.</w:t>
      </w:r>
    </w:p>
    <w:p>
      <w:pPr>
        <w:pStyle w:val="Normal"/>
      </w:pPr>
      <w:r>
        <w:t>The apparent simplicity of the priority waterfall is complicated by two related doctrines. The first is claim recharacterization: a court may determine that what was structured as a loan—and therefore a senior unsecured or even secured creditor claim—is, in economic substance, an equity contribution that should be treated as a subordinated interest. The second doctrine is equitable subordination: even if a claim is genuine debt rather than disguised equity, a court may subordinate it to the claims of other creditors if the claimant engaged in inequitable conduct that harmed those creditors. Both doctrines are invoked most frequently when insider lenders—shareholders, directors, or their affiliates—have provided financing to a distressed enterprise.</w:t>
      </w:r>
    </w:p>
    <w:p>
      <w:pPr>
        <w:pStyle w:val="GuidingQuestions"/>
      </w:pPr>
      <w:r>
        <w:t>Pepper v. Litton is the foundational case for the equitable treatment of insider claims in bankruptcy. Litton’s scheme is almost admirably brazen: he caused his own corporation to confess a judgment in his favor on accumulated salary claims, then sat on that judgment until Pepper obtained hers, then executed on his judgment first and filed for bankruptcy to extinguish what remained. As you read the opinion, consider what formal legal rules Litton violated—if any—and whether Justice Douglas’s holding rests on positive law or on something more like moral outrage translated into equitable principle. The opinion is written in 1939, when the law-equity distinction still carried real weight; does the broad equitable power it recognizes pose a risk of unpredictability that more rule-bound approaches to insider claims would avoid?</w:t>
      </w:r>
    </w:p>
    <w:p>
      <w:pPr>
        <w:pStyle w:val="CaseInternalHeading"/>
        <w:keepNext/>
      </w:pPr>
      <w:r>
        <w:t>Pepper v. Litton, 308 U.S. 295 (1939)</w:t>
      </w:r>
    </w:p>
    <w:p>
      <w:pPr>
        <w:pStyle w:val="CaseParagraph"/>
      </w:pPr>
      <w:r>
        <w:t>The case presents the question of the power of the bankruptcy court to disallow either as a secured or as a general or unsecured claim a judgment obtained by the dominant and controlling stockholder of the bankrupt corporation on alleged salary claims.</w:t>
      </w:r>
    </w:p>
    <w:p>
      <w:pPr>
        <w:pStyle w:val="CaseParagraph"/>
      </w:pPr>
      <w:r>
        <w:t>The findings of the District Court, amply supported by the evidence, reveal a scheme to defraud creditors reminiscent of some of the evils with which 13 Eliz. c. 5 was designed to cope. But for the use of a so-called “one-man” or family corporation, Dixie Splint Coal Company, of which respondent was the dominant and controlling stockholder, that scheme followed an ancient pattern.</w:t>
      </w:r>
    </w:p>
    <w:p>
      <w:pPr>
        <w:pStyle w:val="CaseParagraph"/>
      </w:pPr>
      <w:r>
        <w:t>In 1931 Pepper brought suit… against Dixie Splint Coal Company and Litton … for an accounting of royalties due Pepper under a lease. While this suit was pending and in anticipation that Pepper would recover, Litton caused Dixie Splint Coal Company to confess a judgment in Litton’s favor in the amount of $33,468.89, representing alleged accumulated salary claims dating back at least five years.</w:t>
      </w:r>
    </w:p>
    <w:p>
      <w:pPr>
        <w:pStyle w:val="CaseParagraph"/>
      </w:pPr>
      <w:r>
        <w:t>In the exercise of its equitable jurisdiction, the bankruptcy court has the power to sift the circumstances surrounding any claim to see that injustice or unfairness is not done in administration of the bankrupt estate. And in passing on such claims it will give effect to the substance of the transaction rather than its form. A director is a fiduciary. So is a dominant or controlling stockholder or group of stockholders. Their dealings with the corporation are subjected to rigorous scrutiny. When any of their contracts or engagements with the corporation is challenged, the burden is on the director or stockholder not only to prove the good faith of the transaction but also to show its inherent fairness from the viewpoint of the corporation and those interested therein.</w:t>
      </w:r>
    </w:p>
    <w:p>
      <w:pPr>
        <w:pStyle w:val="CaseParagraph"/>
      </w:pPr>
      <w:r>
        <w:t>The strict rule that the salary claims would have to be subordinated or disallowed seems to us to be correct under the circumstances of this case. Since Litton was at all times in complete control of the corporation, and since he arranged to have this corporation “confess” a judgment in his favor on these claims and then sat on the judgment until it was clear that Pepper would obtain her judgment, and since these circumstances make it plain that the judgment was obtained and used not as a legitimate business transaction but as a device for defrauding a creditor, we can see no reason why the equitable arm of the court should not subordinate these claims.</w:t>
      </w:r>
    </w:p>
    <w:p>
      <w:pPr>
        <w:pStyle w:val="CaseParagraph"/>
      </w:pPr>
      <w:r>
        <w:t>…</w:t>
      </w:r>
    </w:p>
    <w:p>
      <w:pPr>
        <w:pStyle w:val="CaseInternalHeading"/>
        <w:keepNext/>
      </w:pPr>
      <w:r>
        <w:t>Pepper v. Litton Notes and Questions</w:t>
      </w:r>
    </w:p>
    <w:p>
      <w:pPr>
        <w:pStyle w:val="Normal"/>
      </w:pPr>
      <w:r>
        <w:t>The Fiduciary Framework. Justice Douglas treats the dominant shareholder’s dealings with the corporation as fiduciary transactions, subject to the entire fairness standard—the burden falls on the insider to prove both the “good faith of the transaction” and “its inherent fairness from the viewpoint of the corporation and those interested therein.” Compare this standard to the business judgment rule. Why should insider transactions be subject to more exacting scrutiny in a bankruptcy context than they would be in ordinary corporate governance litigation?</w:t>
      </w:r>
    </w:p>
    <w:p>
      <w:pPr>
        <w:pStyle w:val="Normal"/>
      </w:pPr>
      <w:r>
        <w:t>Salary Claims as Instruments of Fraud. The salary claims Litton asserted had apparently accumulated over five years without payment—a circumstance the Court treats as suspicious. Is this inference fair? A controlling shareholder who foregoes salary to keep a struggling company alive might have a legitimate claim for deferred compensation. What facts would distinguish a legitimate deferred salary claim from the device Litton employed?</w:t>
      </w:r>
    </w:p>
    <w:p>
      <w:pPr>
        <w:pStyle w:val="GuidingQuestions"/>
      </w:pPr>
      <w:r>
        <w:t>In re Mobile Steel establishes the three-part test for equitable subordination that courts have applied ever since. The Fifth Circuit must decide whether the claims of Mobile Steel’s founders—who financed the company through a combination of debt and equity and were closely involved in its management—should be subordinated to those of arm’s-length creditors on account of their self-dealing in an intercompany real estate transaction. As you read the case, consider why the court ultimately declines to subordinate the claims, notwithstanding the questionable real estate deal. Does the outcome suggest that Mobile Steel’s test protects insiders too much—or does it appropriately limit subordination to cases of genuine bad faith? And ask yourself how the Mobile Steel criteria would apply to Litton in Pepper v. Litton: would his claims have survived the Mobile Steel test?</w:t>
      </w:r>
    </w:p>
    <w:p>
      <w:pPr>
        <w:pStyle w:val="CaseInternalHeading"/>
        <w:keepNext/>
      </w:pPr>
      <w:r>
        <w:t>Benjamin v. Diamond (In re Mobile Steel Co.), 563 F.2d 692 (5th Cir. 1977)</w:t>
      </w:r>
    </w:p>
    <w:p>
      <w:pPr>
        <w:pStyle w:val="CaseParagraph"/>
      </w:pPr>
      <w:r>
        <w:t>The principal question presented is whether the claimants violated the “rules of fair play and good conscience” in their dealings with the corporation and its creditors, and in their management of corporate affairs. We hold that they did not.</w:t>
      </w:r>
    </w:p>
    <w:p>
      <w:pPr>
        <w:pStyle w:val="CaseParagraph"/>
      </w:pPr>
      <w:r>
        <w:t>The standard for determining whether equitable subordination is appropriate has three elements: (i) The claimant must have engaged in some type of inequitable conduct; (ii) The misconduct must have resulted in injury to the creditors of the bankrupt or conferred an unfair advantage on the claimant; (iii) Equitable subordination of the claim must not be inconsistent with the provisions of the Bankruptcy Act.</w:t>
      </w:r>
    </w:p>
    <w:p>
      <w:pPr>
        <w:pStyle w:val="CaseParagraph"/>
      </w:pPr>
      <w:r>
        <w:t>Courts have found the first element of this test satisfied in three broad categories of cases: (A) fraud, illegality, breach of fiduciary duties; (B) undercapitalization; (C) claimant’s use of the debtor as a mere instrumentality or alter ego.</w:t>
      </w:r>
    </w:p>
    <w:p>
      <w:pPr>
        <w:pStyle w:val="CaseParagraph"/>
      </w:pPr>
      <w:r>
        <w:t>Applying these standards, we hold that the claimants in this case did not engage in inequitable conduct. … The bankruptcy judge subordinated Claims 20 and 24 because the claimants had failed to demonstrate that they had properly performed their fiduciary duties and acted in good faith. [But] we think that the bankruptcy judge placed an undue burden on the claimants when he required them to affirmatively demonstrate that they had acted in good faith in arranging the [real estate] transaction. The claimants should not be required to negate any inference that they acted in bad faith absent specific evidence of misconduct.</w:t>
      </w:r>
    </w:p>
    <w:p>
      <w:pPr>
        <w:pStyle w:val="CaseParagraph"/>
      </w:pPr>
      <w:r>
        <w:t>…</w:t>
      </w:r>
    </w:p>
    <w:p>
      <w:pPr>
        <w:pStyle w:val="CaseInternalHeading"/>
        <w:keepNext/>
      </w:pPr>
      <w:r>
        <w:t>Mobile Steel Notes and Questions</w:t>
      </w:r>
    </w:p>
    <w:p>
      <w:pPr>
        <w:pStyle w:val="Normal"/>
      </w:pPr>
      <w:r>
        <w:t>The Three-Part Test and Its Application. The Mobile Steel court declines to subordinate the founders’ claims, in part because the bankruptcy judge improperly placed the burden of proving good faith on the insiders rather than the burden of proving inequitable conduct on the trustee. Is this allocation of the burden correct? Compare it to the burden-shifting rule that Pepper v. Litton applies to insider fiduciary transactions. Why might bankruptcy courts apply different burdens in equitable subordination than Pepper would suggest?</w:t>
      </w:r>
    </w:p>
    <w:p>
      <w:pPr>
        <w:pStyle w:val="Normal"/>
      </w:pPr>
      <w:r>
        <w:t>Undercapitalization as a Basis for Subordination. Category (B) of the Mobile Steel test allows subordination of insider claims where the company was undercapitalized from the outset. The theory is that founders who provide inadequate initial equity and then lend money to their undercapitalized creation are, in substance, shifting entrepreneurial risk to creditors: if the business succeeds, the founders collect interest and repayment of principal; if it fails, they lose only their equity while creditors absorb the shortfall. What initial capitalization level is “adequate” for this purpose? Consult In re AtlanticRancher, Inc., 279 B.R. 411 (Bankr. D. Mass. 2002), for an application of the test to a closely-held retail company funded primarily by insider loans.</w:t>
      </w:r>
    </w:p>
    <w:p>
      <w:pPr>
        <w:pStyle w:val="Normal"/>
      </w:pPr>
      <w:r>
        <w:t>Recharacterization Distinguished. Equitable subordination and recharacterization are distinct remedies with distinct legal standards. Recharacterization asks whether a purported loan is, in economic substance, an equity contribution—in which case it is not a debt claim at all, and the claimant receives nothing until all creditors are paid in full. Equitable subordination accepts that the instrument is genuine debt but ranks it below other creditors as a sanction for misconduct. The practical difference can be enormous: subordinated debt still participates in distributions above equity, while recharacterized equity participates last. Which remedy is more appropriate when an insider makes a genuine loan on arm’s-length terms but engages in collateral misconduct?</w:t>
      </w:r>
    </w:p>
    <w:p>
      <w:pPr>
        <w:pStyle w:val="Heading2"/>
      </w:pPr>
      <w:r>
        <w:t>Conclusion: The Market for Legal Numeracy</w:t>
      </w:r>
    </w:p>
    <w:p>
      <w:pPr>
        <w:pStyle w:val="Normal"/>
      </w:pPr>
      <w:r>
        <w:t>The cases collected in this chapter share a common narrative structure: a transaction that seemed commercially defensible at the time—or at least commercially understandable—was subsequently exposed, in the X-ray light of bankruptcy, as legally indefensible. The subsidiaries that guaranteed TOUSA’s obligations were not acting in bad faith; their boards were trying to preserve an enterprise from which everyone, including creditors, might benefit. The Crown shareholders who took a pre-closing dividend were not stealing from creditors; they were extracting value that they believed, incorrectly as it turned out, was properly theirs. Litton’s salary claims may have been inflated, but the salaries themselves were not entirely fictional. The LBO investors who acquired Jeannette Corporation were not conspiring to defraud; they were making a bet on the company’s future cash flows that the evidence, at the time, supported.</w:t>
      </w:r>
    </w:p>
    <w:p>
      <w:pPr>
        <w:pStyle w:val="Normal"/>
      </w:pPr>
      <w:r>
        <w:t>What distinguishes the cases in which liability attaches from those in which it does not is not subjective intent but the relationship between the financial structure of the transaction and the financial condition of the entity that bears the risk. TOUSA’s subsidiaries were insolvent before the transaction and became more insolvent after it; the deal loaded risk onto parties who were already unable to bear the risks they had. Crown’s shareholders extracted cash that the buyer had already priced into the sale; the removal of that cash left the enterprise with less capital than the purchase price implied. Litton manipulated the corporate form to give himself priority over a judgment creditor whose claim was valid and unpaid. In each case, the legal system’s response was to look through the formal structure of the transaction to its economic substance, and to restore, as nearly as possible, the distribution that the creditors would have received had the offending transaction not occurred.</w:t>
      </w:r>
    </w:p>
    <w:p>
      <w:pPr>
        <w:pStyle w:val="Normal"/>
      </w:pPr>
      <w:r>
        <w:t>As bankruptcy courts continue to apply these principles to novel financing structures—from cryptocurrency-backed loans to special purpose acquisition companies—the fundamental principle remains constant: courts will look through form to economic substance, and any transaction that leaves a company unable to bear foreseeable risks invites post-bankruptcy scrutiny, however sophisticated its structuring. See, e.g., In re Celsius Network LLC, No. 22-10964 (Bankr. S.D.N.Y. 2023) (applying fraudulent transfer and preference analysis to cryptocurrency lending arrangements in which counterparty insolvency was foreseeable well before the petition date).</w:t>
      </w:r>
    </w:p>
    <w:p>
      <w:pPr>
        <w:pStyle w:val="Normal"/>
      </w:pPr>
      <w:r>
        <w:t>The lesson for the practicing lawyer is not that all aggressive transactions are vulnerable to attack, but that vulnerability is a function of numbers. A solvency analysis prepared before the closing, supported by a reputable valuation expert and documented in the board minutes, is not a guarantee against fraudulent transfer liability, but it is the strongest available evidence that the transaction was undertaken in good faith on the basis of a reasonable assessment of the company’s financial condition. The lawyer who cannot read the balance sheet, interrogate the cash flow projections, and identify which of the three solvency tests is most at risk in a given transaction is not equipped to give that advice. Corporate numeracy, in this sense, is not a supplementary skill for the specialist—it is the foundation on which the general practice of business law rests.</w:t>
      </w:r>
    </w:p>
    <w:sectPr w:rsidR="007E4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A08C23"/>
    <w:multiLevelType w:val="hybridMultilevel"/>
    <w:tmpl w:val="D402ED6C"/>
    <w:lvl w:ilvl="0" w:tplc="FB58E418">
      <w:start w:val="1"/>
      <w:numFmt w:val="bullet"/>
      <w:lvlText w:val=""/>
      <w:lvlJc w:val="left"/>
      <w:pPr>
        <w:ind w:left="720" w:hanging="360"/>
      </w:pPr>
      <w:rPr>
        <w:rFonts w:ascii="Symbol" w:hAnsi="Symbol" w:hint="default"/>
      </w:rPr>
    </w:lvl>
    <w:lvl w:ilvl="1" w:tplc="2D9AE04E">
      <w:start w:val="1"/>
      <w:numFmt w:val="bullet"/>
      <w:lvlText w:val=""/>
      <w:lvlJc w:val="left"/>
      <w:pPr>
        <w:ind w:left="1440" w:hanging="360"/>
      </w:pPr>
      <w:rPr>
        <w:rFonts w:ascii="Symbol" w:hAnsi="Symbol" w:hint="default"/>
      </w:rPr>
    </w:lvl>
    <w:lvl w:ilvl="2" w:tplc="8BCEF598">
      <w:start w:val="1"/>
      <w:numFmt w:val="bullet"/>
      <w:lvlText w:val=""/>
      <w:lvlJc w:val="left"/>
      <w:pPr>
        <w:ind w:left="2160" w:hanging="360"/>
      </w:pPr>
      <w:rPr>
        <w:rFonts w:ascii="Symbol" w:hAnsi="Symbol" w:hint="default"/>
      </w:rPr>
    </w:lvl>
    <w:lvl w:ilvl="3" w:tplc="7F1606E2">
      <w:start w:val="1"/>
      <w:numFmt w:val="bullet"/>
      <w:lvlText w:val=""/>
      <w:lvlJc w:val="left"/>
      <w:pPr>
        <w:ind w:left="2880" w:hanging="360"/>
      </w:pPr>
      <w:rPr>
        <w:rFonts w:ascii="Symbol" w:hAnsi="Symbol" w:hint="default"/>
      </w:rPr>
    </w:lvl>
    <w:lvl w:ilvl="4" w:tplc="769CE036">
      <w:start w:val="1"/>
      <w:numFmt w:val="bullet"/>
      <w:lvlText w:val=""/>
      <w:lvlJc w:val="left"/>
      <w:pPr>
        <w:ind w:left="3600" w:hanging="360"/>
      </w:pPr>
      <w:rPr>
        <w:rFonts w:ascii="Symbol" w:hAnsi="Symbol" w:hint="default"/>
      </w:rPr>
    </w:lvl>
    <w:lvl w:ilvl="5" w:tplc="01AC99C4">
      <w:start w:val="1"/>
      <w:numFmt w:val="bullet"/>
      <w:lvlText w:val=""/>
      <w:lvlJc w:val="left"/>
      <w:pPr>
        <w:ind w:left="4320" w:hanging="360"/>
      </w:pPr>
      <w:rPr>
        <w:rFonts w:ascii="Symbol" w:hAnsi="Symbol" w:hint="default"/>
      </w:rPr>
    </w:lvl>
    <w:lvl w:ilvl="6" w:tplc="8A126366">
      <w:numFmt w:val="decimal"/>
      <w:lvlText w:val=""/>
      <w:lvlJc w:val="left"/>
    </w:lvl>
    <w:lvl w:ilvl="7" w:tplc="B266A3E2">
      <w:numFmt w:val="decimal"/>
      <w:lvlText w:val=""/>
      <w:lvlJc w:val="left"/>
    </w:lvl>
    <w:lvl w:ilvl="8" w:tplc="A76C5D46">
      <w:numFmt w:val="decimal"/>
      <w:lvlText w:val=""/>
      <w:lvlJc w:val="left"/>
    </w:lvl>
  </w:abstractNum>
  <w:abstractNum w:abstractNumId="1" w15:restartNumberingAfterBreak="0">
    <w:nsid w:val="99A08C32"/>
    <w:multiLevelType w:val="hybridMultilevel"/>
    <w:tmpl w:val="C4D01242"/>
    <w:lvl w:ilvl="0" w:tplc="F32681CC">
      <w:start w:val="1"/>
      <w:numFmt w:val="decimal"/>
      <w:lvlText w:val="%1."/>
      <w:lvlJc w:val="left"/>
      <w:pPr>
        <w:ind w:left="720" w:hanging="360"/>
      </w:pPr>
    </w:lvl>
    <w:lvl w:ilvl="1" w:tplc="0AD29E68">
      <w:start w:val="1"/>
      <w:numFmt w:val="decimal"/>
      <w:lvlText w:val="%2."/>
      <w:lvlJc w:val="left"/>
      <w:pPr>
        <w:ind w:left="1440" w:hanging="360"/>
      </w:pPr>
    </w:lvl>
    <w:lvl w:ilvl="2" w:tplc="A9C433FA">
      <w:start w:val="1"/>
      <w:numFmt w:val="decimal"/>
      <w:lvlText w:val="%3."/>
      <w:lvlJc w:val="left"/>
      <w:pPr>
        <w:ind w:left="2160" w:hanging="360"/>
      </w:pPr>
    </w:lvl>
    <w:lvl w:ilvl="3" w:tplc="671E4954">
      <w:start w:val="1"/>
      <w:numFmt w:val="decimal"/>
      <w:lvlText w:val="%4."/>
      <w:lvlJc w:val="left"/>
      <w:pPr>
        <w:ind w:left="2880" w:hanging="360"/>
      </w:pPr>
    </w:lvl>
    <w:lvl w:ilvl="4" w:tplc="8A100702">
      <w:start w:val="1"/>
      <w:numFmt w:val="decimal"/>
      <w:lvlText w:val="%5."/>
      <w:lvlJc w:val="left"/>
      <w:pPr>
        <w:ind w:left="3600" w:hanging="360"/>
      </w:pPr>
    </w:lvl>
    <w:lvl w:ilvl="5" w:tplc="530E9DF4">
      <w:start w:val="1"/>
      <w:numFmt w:val="decimal"/>
      <w:lvlText w:val="%6."/>
      <w:lvlJc w:val="left"/>
      <w:pPr>
        <w:ind w:left="4320" w:hanging="360"/>
      </w:pPr>
    </w:lvl>
    <w:lvl w:ilvl="6" w:tplc="036E0348">
      <w:numFmt w:val="decimal"/>
      <w:lvlText w:val=""/>
      <w:lvlJc w:val="left"/>
    </w:lvl>
    <w:lvl w:ilvl="7" w:tplc="59DC9F98">
      <w:numFmt w:val="decimal"/>
      <w:lvlText w:val=""/>
      <w:lvlJc w:val="left"/>
    </w:lvl>
    <w:lvl w:ilvl="8" w:tplc="2F8C7776">
      <w:numFmt w:val="decimal"/>
      <w:lvlText w:val=""/>
      <w:lvlJc w:val="left"/>
    </w:lvl>
  </w:abstractNum>
  <w:abstractNum w:abstractNumId="2" w15:restartNumberingAfterBreak="0">
    <w:nsid w:val="099A08C1"/>
    <w:multiLevelType w:val="hybridMultilevel"/>
    <w:tmpl w:val="FAA67460"/>
    <w:lvl w:ilvl="0" w:tplc="02503992">
      <w:start w:val="1"/>
      <w:numFmt w:val="bullet"/>
      <w:lvlText w:val=""/>
      <w:lvlJc w:val="left"/>
      <w:pPr>
        <w:ind w:left="720" w:hanging="360"/>
      </w:pPr>
      <w:rPr>
        <w:rFonts w:ascii="Symbol" w:hAnsi="Symbol" w:hint="default"/>
      </w:rPr>
    </w:lvl>
    <w:lvl w:ilvl="1" w:tplc="00BCA156">
      <w:start w:val="1"/>
      <w:numFmt w:val="bullet"/>
      <w:lvlText w:val=""/>
      <w:lvlJc w:val="left"/>
      <w:pPr>
        <w:ind w:left="1440" w:hanging="360"/>
      </w:pPr>
      <w:rPr>
        <w:rFonts w:ascii="Symbol" w:hAnsi="Symbol" w:hint="default"/>
      </w:rPr>
    </w:lvl>
    <w:lvl w:ilvl="2" w:tplc="106EC9D6">
      <w:start w:val="1"/>
      <w:numFmt w:val="bullet"/>
      <w:lvlText w:val=""/>
      <w:lvlJc w:val="left"/>
      <w:pPr>
        <w:ind w:left="2160" w:hanging="360"/>
      </w:pPr>
      <w:rPr>
        <w:rFonts w:ascii="Symbol" w:hAnsi="Symbol" w:hint="default"/>
      </w:rPr>
    </w:lvl>
    <w:lvl w:ilvl="3" w:tplc="BEFE8BBE">
      <w:start w:val="1"/>
      <w:numFmt w:val="bullet"/>
      <w:lvlText w:val=""/>
      <w:lvlJc w:val="left"/>
      <w:pPr>
        <w:ind w:left="2880" w:hanging="360"/>
      </w:pPr>
      <w:rPr>
        <w:rFonts w:ascii="Symbol" w:hAnsi="Symbol" w:hint="default"/>
      </w:rPr>
    </w:lvl>
    <w:lvl w:ilvl="4" w:tplc="6B18F62E">
      <w:start w:val="1"/>
      <w:numFmt w:val="bullet"/>
      <w:lvlText w:val=""/>
      <w:lvlJc w:val="left"/>
      <w:pPr>
        <w:ind w:left="3600" w:hanging="360"/>
      </w:pPr>
      <w:rPr>
        <w:rFonts w:ascii="Symbol" w:hAnsi="Symbol" w:hint="default"/>
      </w:rPr>
    </w:lvl>
    <w:lvl w:ilvl="5" w:tplc="D44C080E">
      <w:start w:val="1"/>
      <w:numFmt w:val="bullet"/>
      <w:lvlText w:val=""/>
      <w:lvlJc w:val="left"/>
      <w:pPr>
        <w:ind w:left="4320" w:hanging="360"/>
      </w:pPr>
      <w:rPr>
        <w:rFonts w:ascii="Symbol" w:hAnsi="Symbol" w:hint="default"/>
      </w:rPr>
    </w:lvl>
    <w:lvl w:ilvl="6" w:tplc="58FAC01C">
      <w:numFmt w:val="decimal"/>
      <w:lvlText w:val=""/>
      <w:lvlJc w:val="left"/>
    </w:lvl>
    <w:lvl w:ilvl="7" w:tplc="973C675A">
      <w:numFmt w:val="decimal"/>
      <w:lvlText w:val=""/>
      <w:lvlJc w:val="left"/>
    </w:lvl>
    <w:lvl w:ilvl="8" w:tplc="3F4A4DF0">
      <w:numFmt w:val="decimal"/>
      <w:lvlText w:val=""/>
      <w:lvlJc w:val="left"/>
    </w:lvl>
  </w:abstractNum>
  <w:abstractNum w:abstractNumId="3" w15:restartNumberingAfterBreak="0">
    <w:nsid w:val="099A08C2"/>
    <w:multiLevelType w:val="hybridMultilevel"/>
    <w:tmpl w:val="8D22D274"/>
    <w:lvl w:ilvl="0" w:tplc="243EE6F0">
      <w:start w:val="1"/>
      <w:numFmt w:val="decimal"/>
      <w:lvlText w:val="%1."/>
      <w:lvlJc w:val="left"/>
      <w:pPr>
        <w:ind w:left="720" w:hanging="360"/>
      </w:pPr>
    </w:lvl>
    <w:lvl w:ilvl="1" w:tplc="3BFEF8F2">
      <w:start w:val="1"/>
      <w:numFmt w:val="decimal"/>
      <w:lvlText w:val="%2."/>
      <w:lvlJc w:val="left"/>
      <w:pPr>
        <w:ind w:left="1440" w:hanging="360"/>
      </w:pPr>
    </w:lvl>
    <w:lvl w:ilvl="2" w:tplc="2562634E">
      <w:start w:val="1"/>
      <w:numFmt w:val="decimal"/>
      <w:lvlText w:val="%3."/>
      <w:lvlJc w:val="left"/>
      <w:pPr>
        <w:ind w:left="2160" w:hanging="360"/>
      </w:pPr>
    </w:lvl>
    <w:lvl w:ilvl="3" w:tplc="0428CC06">
      <w:start w:val="1"/>
      <w:numFmt w:val="decimal"/>
      <w:lvlText w:val="%4."/>
      <w:lvlJc w:val="left"/>
      <w:pPr>
        <w:ind w:left="2880" w:hanging="360"/>
      </w:pPr>
    </w:lvl>
    <w:lvl w:ilvl="4" w:tplc="912E2FB4">
      <w:start w:val="1"/>
      <w:numFmt w:val="decimal"/>
      <w:lvlText w:val="%5."/>
      <w:lvlJc w:val="left"/>
      <w:pPr>
        <w:ind w:left="3600" w:hanging="360"/>
      </w:pPr>
    </w:lvl>
    <w:lvl w:ilvl="5" w:tplc="6068D47A">
      <w:start w:val="1"/>
      <w:numFmt w:val="decimal"/>
      <w:lvlText w:val="%6."/>
      <w:lvlJc w:val="left"/>
      <w:pPr>
        <w:ind w:left="4320" w:hanging="360"/>
      </w:pPr>
    </w:lvl>
    <w:lvl w:ilvl="6" w:tplc="C4AA5516">
      <w:numFmt w:val="decimal"/>
      <w:lvlText w:val=""/>
      <w:lvlJc w:val="left"/>
    </w:lvl>
    <w:lvl w:ilvl="7" w:tplc="B7968A7C">
      <w:numFmt w:val="decimal"/>
      <w:lvlText w:val=""/>
      <w:lvlJc w:val="left"/>
    </w:lvl>
    <w:lvl w:ilvl="8" w:tplc="53DC7A78">
      <w:numFmt w:val="decimal"/>
      <w:lvlText w:val=""/>
      <w:lvlJc w:val="left"/>
    </w:lvl>
  </w:abstractNum>
  <w:abstractNum w:abstractNumId="4" w15:restartNumberingAfterBreak="0">
    <w:nsid w:val="099A08C3"/>
    <w:multiLevelType w:val="hybridMultilevel"/>
    <w:tmpl w:val="59F0C5DC"/>
    <w:lvl w:ilvl="0" w:tplc="1090E8AA">
      <w:start w:val="1"/>
      <w:numFmt w:val="decimal"/>
      <w:lvlText w:val="%1."/>
      <w:lvlJc w:val="left"/>
      <w:pPr>
        <w:ind w:left="720" w:hanging="360"/>
      </w:pPr>
    </w:lvl>
    <w:lvl w:ilvl="1" w:tplc="4F44760C">
      <w:start w:val="1"/>
      <w:numFmt w:val="decimal"/>
      <w:lvlText w:val="%2."/>
      <w:lvlJc w:val="left"/>
      <w:pPr>
        <w:ind w:left="1440" w:hanging="360"/>
      </w:pPr>
    </w:lvl>
    <w:lvl w:ilvl="2" w:tplc="4836D1F0">
      <w:start w:val="1"/>
      <w:numFmt w:val="decimal"/>
      <w:lvlText w:val="%3."/>
      <w:lvlJc w:val="left"/>
      <w:pPr>
        <w:ind w:left="2160" w:hanging="360"/>
      </w:pPr>
    </w:lvl>
    <w:lvl w:ilvl="3" w:tplc="9C5AD4CC">
      <w:start w:val="1"/>
      <w:numFmt w:val="decimal"/>
      <w:lvlText w:val="%4."/>
      <w:lvlJc w:val="left"/>
      <w:pPr>
        <w:ind w:left="2880" w:hanging="360"/>
      </w:pPr>
    </w:lvl>
    <w:lvl w:ilvl="4" w:tplc="4FA6EDAC">
      <w:start w:val="1"/>
      <w:numFmt w:val="decimal"/>
      <w:lvlText w:val="%5."/>
      <w:lvlJc w:val="left"/>
      <w:pPr>
        <w:ind w:left="3600" w:hanging="360"/>
      </w:pPr>
    </w:lvl>
    <w:lvl w:ilvl="5" w:tplc="8AB6E3DA">
      <w:start w:val="1"/>
      <w:numFmt w:val="decimal"/>
      <w:lvlText w:val="%6."/>
      <w:lvlJc w:val="left"/>
      <w:pPr>
        <w:ind w:left="4320" w:hanging="360"/>
      </w:pPr>
    </w:lvl>
    <w:lvl w:ilvl="6" w:tplc="CF2C458C">
      <w:numFmt w:val="decimal"/>
      <w:lvlText w:val=""/>
      <w:lvlJc w:val="left"/>
    </w:lvl>
    <w:lvl w:ilvl="7" w:tplc="77E4E8D8">
      <w:numFmt w:val="decimal"/>
      <w:lvlText w:val=""/>
      <w:lvlJc w:val="left"/>
    </w:lvl>
    <w:lvl w:ilvl="8" w:tplc="4CB8AB38">
      <w:numFmt w:val="decimal"/>
      <w:lvlText w:val=""/>
      <w:lvlJc w:val="left"/>
    </w:lvl>
  </w:abstractNum>
  <w:abstractNum w:abstractNumId="5" w15:restartNumberingAfterBreak="0">
    <w:nsid w:val="099A08C4"/>
    <w:multiLevelType w:val="hybridMultilevel"/>
    <w:tmpl w:val="8700B0B6"/>
    <w:lvl w:ilvl="0" w:tplc="CEFAE858">
      <w:start w:val="1"/>
      <w:numFmt w:val="decimal"/>
      <w:lvlText w:val="%1."/>
      <w:lvlJc w:val="left"/>
      <w:pPr>
        <w:ind w:left="720" w:hanging="360"/>
      </w:pPr>
    </w:lvl>
    <w:lvl w:ilvl="1" w:tplc="064048AE">
      <w:start w:val="1"/>
      <w:numFmt w:val="decimal"/>
      <w:lvlText w:val="%2."/>
      <w:lvlJc w:val="left"/>
      <w:pPr>
        <w:ind w:left="1440" w:hanging="360"/>
      </w:pPr>
    </w:lvl>
    <w:lvl w:ilvl="2" w:tplc="9300E63C">
      <w:start w:val="1"/>
      <w:numFmt w:val="decimal"/>
      <w:lvlText w:val="%3."/>
      <w:lvlJc w:val="left"/>
      <w:pPr>
        <w:ind w:left="2160" w:hanging="360"/>
      </w:pPr>
    </w:lvl>
    <w:lvl w:ilvl="3" w:tplc="1D3E4DF6">
      <w:start w:val="1"/>
      <w:numFmt w:val="decimal"/>
      <w:lvlText w:val="%4."/>
      <w:lvlJc w:val="left"/>
      <w:pPr>
        <w:ind w:left="2880" w:hanging="360"/>
      </w:pPr>
    </w:lvl>
    <w:lvl w:ilvl="4" w:tplc="6B7C05C6">
      <w:start w:val="1"/>
      <w:numFmt w:val="decimal"/>
      <w:lvlText w:val="%5."/>
      <w:lvlJc w:val="left"/>
      <w:pPr>
        <w:ind w:left="3600" w:hanging="360"/>
      </w:pPr>
    </w:lvl>
    <w:lvl w:ilvl="5" w:tplc="E2B6219E">
      <w:start w:val="1"/>
      <w:numFmt w:val="decimal"/>
      <w:lvlText w:val="%6."/>
      <w:lvlJc w:val="left"/>
      <w:pPr>
        <w:ind w:left="4320" w:hanging="360"/>
      </w:pPr>
    </w:lvl>
    <w:lvl w:ilvl="6" w:tplc="3516DF20">
      <w:numFmt w:val="decimal"/>
      <w:lvlText w:val=""/>
      <w:lvlJc w:val="left"/>
    </w:lvl>
    <w:lvl w:ilvl="7" w:tplc="6EAADE20">
      <w:numFmt w:val="decimal"/>
      <w:lvlText w:val=""/>
      <w:lvlJc w:val="left"/>
    </w:lvl>
    <w:lvl w:ilvl="8" w:tplc="0F5CA568">
      <w:numFmt w:val="decimal"/>
      <w:lvlText w:val=""/>
      <w:lvlJc w:val="left"/>
    </w:lvl>
  </w:abstractNum>
  <w:abstractNum w:abstractNumId="6" w15:restartNumberingAfterBreak="0">
    <w:nsid w:val="099A08C5"/>
    <w:multiLevelType w:val="hybridMultilevel"/>
    <w:tmpl w:val="2ABA8928"/>
    <w:lvl w:ilvl="0" w:tplc="524A49EE">
      <w:start w:val="1"/>
      <w:numFmt w:val="decimal"/>
      <w:lvlText w:val="%1."/>
      <w:lvlJc w:val="left"/>
      <w:pPr>
        <w:ind w:left="720" w:hanging="360"/>
      </w:pPr>
    </w:lvl>
    <w:lvl w:ilvl="1" w:tplc="B20AA6D8">
      <w:start w:val="1"/>
      <w:numFmt w:val="decimal"/>
      <w:lvlText w:val="%2."/>
      <w:lvlJc w:val="left"/>
      <w:pPr>
        <w:ind w:left="1440" w:hanging="360"/>
      </w:pPr>
    </w:lvl>
    <w:lvl w:ilvl="2" w:tplc="387EA350">
      <w:start w:val="1"/>
      <w:numFmt w:val="decimal"/>
      <w:lvlText w:val="%3."/>
      <w:lvlJc w:val="left"/>
      <w:pPr>
        <w:ind w:left="2160" w:hanging="360"/>
      </w:pPr>
    </w:lvl>
    <w:lvl w:ilvl="3" w:tplc="E3B08D9A">
      <w:start w:val="1"/>
      <w:numFmt w:val="decimal"/>
      <w:lvlText w:val="%4."/>
      <w:lvlJc w:val="left"/>
      <w:pPr>
        <w:ind w:left="2880" w:hanging="360"/>
      </w:pPr>
    </w:lvl>
    <w:lvl w:ilvl="4" w:tplc="E2100262">
      <w:start w:val="1"/>
      <w:numFmt w:val="decimal"/>
      <w:lvlText w:val="%5."/>
      <w:lvlJc w:val="left"/>
      <w:pPr>
        <w:ind w:left="3600" w:hanging="360"/>
      </w:pPr>
    </w:lvl>
    <w:lvl w:ilvl="5" w:tplc="B998AE12">
      <w:start w:val="1"/>
      <w:numFmt w:val="decimal"/>
      <w:lvlText w:val="%6."/>
      <w:lvlJc w:val="left"/>
      <w:pPr>
        <w:ind w:left="4320" w:hanging="360"/>
      </w:pPr>
    </w:lvl>
    <w:lvl w:ilvl="6" w:tplc="9BB8876A">
      <w:numFmt w:val="decimal"/>
      <w:lvlText w:val=""/>
      <w:lvlJc w:val="left"/>
    </w:lvl>
    <w:lvl w:ilvl="7" w:tplc="86F877CA">
      <w:numFmt w:val="decimal"/>
      <w:lvlText w:val=""/>
      <w:lvlJc w:val="left"/>
    </w:lvl>
    <w:lvl w:ilvl="8" w:tplc="0F045AFE">
      <w:numFmt w:val="decimal"/>
      <w:lvlText w:val=""/>
      <w:lvlJc w:val="left"/>
    </w:lvl>
  </w:abstractNum>
  <w:abstractNum w:abstractNumId="7" w15:restartNumberingAfterBreak="0">
    <w:nsid w:val="099A08C6"/>
    <w:multiLevelType w:val="hybridMultilevel"/>
    <w:tmpl w:val="35ECE8D4"/>
    <w:lvl w:ilvl="0" w:tplc="938E5652">
      <w:start w:val="1"/>
      <w:numFmt w:val="decimal"/>
      <w:lvlText w:val="%1."/>
      <w:lvlJc w:val="left"/>
      <w:pPr>
        <w:ind w:left="720" w:hanging="360"/>
      </w:pPr>
    </w:lvl>
    <w:lvl w:ilvl="1" w:tplc="2436AB4C">
      <w:start w:val="1"/>
      <w:numFmt w:val="decimal"/>
      <w:lvlText w:val="%2."/>
      <w:lvlJc w:val="left"/>
      <w:pPr>
        <w:ind w:left="1440" w:hanging="360"/>
      </w:pPr>
    </w:lvl>
    <w:lvl w:ilvl="2" w:tplc="29A293B8">
      <w:start w:val="1"/>
      <w:numFmt w:val="decimal"/>
      <w:lvlText w:val="%3."/>
      <w:lvlJc w:val="left"/>
      <w:pPr>
        <w:ind w:left="2160" w:hanging="360"/>
      </w:pPr>
    </w:lvl>
    <w:lvl w:ilvl="3" w:tplc="5C98A440">
      <w:start w:val="1"/>
      <w:numFmt w:val="decimal"/>
      <w:lvlText w:val="%4."/>
      <w:lvlJc w:val="left"/>
      <w:pPr>
        <w:ind w:left="2880" w:hanging="360"/>
      </w:pPr>
    </w:lvl>
    <w:lvl w:ilvl="4" w:tplc="DC02C8A6">
      <w:start w:val="1"/>
      <w:numFmt w:val="decimal"/>
      <w:lvlText w:val="%5."/>
      <w:lvlJc w:val="left"/>
      <w:pPr>
        <w:ind w:left="3600" w:hanging="360"/>
      </w:pPr>
    </w:lvl>
    <w:lvl w:ilvl="5" w:tplc="3872BE56">
      <w:start w:val="1"/>
      <w:numFmt w:val="decimal"/>
      <w:lvlText w:val="%6."/>
      <w:lvlJc w:val="left"/>
      <w:pPr>
        <w:ind w:left="4320" w:hanging="360"/>
      </w:pPr>
    </w:lvl>
    <w:lvl w:ilvl="6" w:tplc="6B08905E">
      <w:numFmt w:val="decimal"/>
      <w:lvlText w:val=""/>
      <w:lvlJc w:val="left"/>
    </w:lvl>
    <w:lvl w:ilvl="7" w:tplc="EC369188">
      <w:numFmt w:val="decimal"/>
      <w:lvlText w:val=""/>
      <w:lvlJc w:val="left"/>
    </w:lvl>
    <w:lvl w:ilvl="8" w:tplc="A40E60AE">
      <w:numFmt w:val="decimal"/>
      <w:lvlText w:val=""/>
      <w:lvlJc w:val="left"/>
    </w:lvl>
  </w:abstractNum>
  <w:abstractNum w:abstractNumId="8" w15:restartNumberingAfterBreak="0">
    <w:nsid w:val="099A08C7"/>
    <w:multiLevelType w:val="hybridMultilevel"/>
    <w:tmpl w:val="E06421CE"/>
    <w:lvl w:ilvl="0" w:tplc="5D085EB2">
      <w:start w:val="1"/>
      <w:numFmt w:val="decimal"/>
      <w:lvlText w:val="%1."/>
      <w:lvlJc w:val="left"/>
      <w:pPr>
        <w:ind w:left="720" w:hanging="360"/>
      </w:pPr>
    </w:lvl>
    <w:lvl w:ilvl="1" w:tplc="3612C220">
      <w:start w:val="1"/>
      <w:numFmt w:val="bullet"/>
      <w:lvlText w:val="o"/>
      <w:lvlJc w:val="left"/>
      <w:pPr>
        <w:ind w:left="1440" w:hanging="360"/>
      </w:pPr>
      <w:rPr>
        <w:rFonts w:ascii="Courier New" w:hAnsi="Courier New" w:cs="Courier New" w:hint="default"/>
      </w:rPr>
    </w:lvl>
    <w:lvl w:ilvl="2" w:tplc="D9EA86CA">
      <w:start w:val="1"/>
      <w:numFmt w:val="decimal"/>
      <w:lvlText w:val="%3."/>
      <w:lvlJc w:val="left"/>
      <w:pPr>
        <w:ind w:left="2160" w:hanging="360"/>
      </w:pPr>
    </w:lvl>
    <w:lvl w:ilvl="3" w:tplc="92149908">
      <w:start w:val="1"/>
      <w:numFmt w:val="decimal"/>
      <w:lvlText w:val="%4."/>
      <w:lvlJc w:val="left"/>
      <w:pPr>
        <w:ind w:left="2880" w:hanging="360"/>
      </w:pPr>
    </w:lvl>
    <w:lvl w:ilvl="4" w:tplc="6ED0A0B0">
      <w:start w:val="1"/>
      <w:numFmt w:val="decimal"/>
      <w:lvlText w:val="%5."/>
      <w:lvlJc w:val="left"/>
      <w:pPr>
        <w:ind w:left="3600" w:hanging="360"/>
      </w:pPr>
    </w:lvl>
    <w:lvl w:ilvl="5" w:tplc="2EC48FDE">
      <w:start w:val="1"/>
      <w:numFmt w:val="decimal"/>
      <w:lvlText w:val="%6."/>
      <w:lvlJc w:val="left"/>
      <w:pPr>
        <w:ind w:left="4320" w:hanging="360"/>
      </w:pPr>
    </w:lvl>
    <w:lvl w:ilvl="6" w:tplc="CEC63C02">
      <w:numFmt w:val="decimal"/>
      <w:lvlText w:val=""/>
      <w:lvlJc w:val="left"/>
    </w:lvl>
    <w:lvl w:ilvl="7" w:tplc="62A02E3C">
      <w:numFmt w:val="decimal"/>
      <w:lvlText w:val=""/>
      <w:lvlJc w:val="left"/>
    </w:lvl>
    <w:lvl w:ilvl="8" w:tplc="F88A913E">
      <w:numFmt w:val="decimal"/>
      <w:lvlText w:val=""/>
      <w:lvlJc w:val="left"/>
    </w:lvl>
  </w:abstractNum>
  <w:abstractNum w:abstractNumId="9" w15:restartNumberingAfterBreak="0">
    <w:nsid w:val="12824A7D"/>
    <w:multiLevelType w:val="multilevel"/>
    <w:tmpl w:val="4B3A7ACE"/>
    <w:styleLink w:val="CurrentList1"/>
    <w:lvl w:ilvl="0">
      <w:start w:val="1"/>
      <w:numFmt w:val="decimal"/>
      <w:suff w:val="space"/>
      <w:lvlText w:val="Chapter %1:"/>
      <w:lvlJc w:val="left"/>
      <w:pPr>
        <w:ind w:left="360" w:hanging="360"/>
      </w:pPr>
      <w:rPr>
        <w:rFonts w:hint="default"/>
      </w:rPr>
    </w:lvl>
    <w:lvl w:ilvl="1">
      <w:start w:val="1"/>
      <w:numFmt w:val="upperRoman"/>
      <w:suff w:val="space"/>
      <w:lvlText w:val="Part %2."/>
      <w:lvlJc w:val="left"/>
      <w:pPr>
        <w:ind w:left="720" w:hanging="360"/>
      </w:pPr>
      <w:rPr>
        <w:rFonts w:hint="default"/>
      </w:rPr>
    </w:lvl>
    <w:lvl w:ilvl="2">
      <w:start w:val="1"/>
      <w:numFmt w:val="upperLetter"/>
      <w:suff w:val="space"/>
      <w:lvlText w:val="%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none"/>
      <w:suff w:val="nothing"/>
      <w:lvlText w:val=""/>
      <w:lvlJc w:val="left"/>
      <w:pPr>
        <w:ind w:left="1800" w:hanging="360"/>
      </w:pPr>
      <w:rPr>
        <w:rFonts w:hint="default"/>
      </w:rPr>
    </w:lvl>
    <w:lvl w:ilvl="5">
      <w:start w:val="1"/>
      <w:numFmt w:val="none"/>
      <w:suff w:val="nothing"/>
      <w:lvlText w:val=""/>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2EA3320"/>
    <w:multiLevelType w:val="hybridMultilevel"/>
    <w:tmpl w:val="A0A0A294"/>
    <w:lvl w:ilvl="0" w:tplc="954608B2">
      <w:start w:val="1"/>
      <w:numFmt w:val="decimal"/>
      <w:pStyle w:val="CaseParagraph"/>
      <w:lvlText w:val="¶ %1"/>
      <w:lvlJc w:val="left"/>
      <w:pPr>
        <w:ind w:left="720" w:hanging="72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FE10ED"/>
    <w:multiLevelType w:val="hybridMultilevel"/>
    <w:tmpl w:val="2CBA64F0"/>
    <w:lvl w:ilvl="0" w:tplc="730AA6CC">
      <w:start w:val="1"/>
      <w:numFmt w:val="decimal"/>
      <w:pStyle w:val="NotesandQuestions"/>
      <w:lvlText w:val="%1."/>
      <w:lvlJc w:val="left"/>
      <w:pPr>
        <w:ind w:left="360" w:hanging="360"/>
      </w:pPr>
      <w:rPr>
        <w:rFonts w:hint="default"/>
        <w:color w:val="auto"/>
      </w:rPr>
    </w:lvl>
    <w:lvl w:ilvl="1" w:tplc="BCE2C8D8">
      <w:start w:val="5"/>
      <w:numFmt w:val="bullet"/>
      <w:lvlText w:val="•"/>
      <w:lvlJc w:val="left"/>
      <w:pPr>
        <w:ind w:left="1440" w:hanging="360"/>
      </w:pPr>
      <w:rPr>
        <w:rFonts w:ascii="Century Schoolbook" w:eastAsiaTheme="minorEastAsia" w:hAnsi="Century Schoolbook"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60637D5"/>
    <w:multiLevelType w:val="multilevel"/>
    <w:tmpl w:val="FBCED438"/>
    <w:styleLink w:val="CurrentList4"/>
    <w:lvl w:ilvl="0">
      <w:start w:val="7"/>
      <w:numFmt w:val="decimal"/>
      <w:suff w:val="space"/>
      <w:lvlText w:val="Chapter %1:"/>
      <w:lvlJc w:val="left"/>
      <w:pPr>
        <w:ind w:left="360" w:hanging="360"/>
      </w:pPr>
      <w:rPr>
        <w:rFonts w:hint="default"/>
      </w:rPr>
    </w:lvl>
    <w:lvl w:ilvl="1">
      <w:start w:val="1"/>
      <w:numFmt w:val="upperRoman"/>
      <w:suff w:val="space"/>
      <w:lvlText w:val="Part %2."/>
      <w:lvlJc w:val="left"/>
      <w:pPr>
        <w:ind w:left="720" w:hanging="360"/>
      </w:pPr>
      <w:rPr>
        <w:rFonts w:hint="default"/>
      </w:rPr>
    </w:lvl>
    <w:lvl w:ilvl="2">
      <w:start w:val="1"/>
      <w:numFmt w:val="upperLetter"/>
      <w:suff w:val="space"/>
      <w:lvlText w:val="%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none"/>
      <w:suff w:val="nothing"/>
      <w:lvlText w:val=""/>
      <w:lvlJc w:val="left"/>
      <w:pPr>
        <w:ind w:left="1800" w:hanging="360"/>
      </w:pPr>
      <w:rPr>
        <w:rFonts w:hint="default"/>
      </w:rPr>
    </w:lvl>
    <w:lvl w:ilvl="5">
      <w:start w:val="1"/>
      <w:numFmt w:val="none"/>
      <w:suff w:val="nothing"/>
      <w:lvlText w:val=""/>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FDE77EC"/>
    <w:multiLevelType w:val="multilevel"/>
    <w:tmpl w:val="F3801D62"/>
    <w:styleLink w:val="CurrentList2"/>
    <w:lvl w:ilvl="0">
      <w:start w:val="4"/>
      <w:numFmt w:val="decimal"/>
      <w:suff w:val="space"/>
      <w:lvlText w:val="Chapter %1:"/>
      <w:lvlJc w:val="left"/>
      <w:pPr>
        <w:ind w:left="360" w:hanging="360"/>
      </w:pPr>
      <w:rPr>
        <w:rFonts w:hint="default"/>
      </w:rPr>
    </w:lvl>
    <w:lvl w:ilvl="1">
      <w:start w:val="1"/>
      <w:numFmt w:val="upperRoman"/>
      <w:suff w:val="space"/>
      <w:lvlText w:val="Part %2."/>
      <w:lvlJc w:val="left"/>
      <w:pPr>
        <w:ind w:left="720" w:hanging="360"/>
      </w:pPr>
    </w:lvl>
    <w:lvl w:ilvl="2">
      <w:start w:val="1"/>
      <w:numFmt w:val="upperLetter"/>
      <w:suff w:val="space"/>
      <w:lvlText w:val="%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none"/>
      <w:suff w:val="nothing"/>
      <w:lvlText w:val=""/>
      <w:lvlJc w:val="left"/>
      <w:pPr>
        <w:ind w:left="1800" w:hanging="360"/>
      </w:pPr>
      <w:rPr>
        <w:rFonts w:hint="default"/>
      </w:rPr>
    </w:lvl>
    <w:lvl w:ilvl="5">
      <w:start w:val="1"/>
      <w:numFmt w:val="none"/>
      <w:suff w:val="nothing"/>
      <w:lvlText w:val=""/>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A601B86"/>
    <w:multiLevelType w:val="multilevel"/>
    <w:tmpl w:val="FBCED438"/>
    <w:styleLink w:val="CurrentList3"/>
    <w:lvl w:ilvl="0">
      <w:start w:val="7"/>
      <w:numFmt w:val="decimal"/>
      <w:suff w:val="space"/>
      <w:lvlText w:val="Chapter %1:"/>
      <w:lvlJc w:val="left"/>
      <w:pPr>
        <w:ind w:left="360" w:hanging="360"/>
      </w:pPr>
      <w:rPr>
        <w:rFonts w:hint="default"/>
      </w:rPr>
    </w:lvl>
    <w:lvl w:ilvl="1">
      <w:start w:val="1"/>
      <w:numFmt w:val="upperRoman"/>
      <w:suff w:val="space"/>
      <w:lvlText w:val="Part %2."/>
      <w:lvlJc w:val="left"/>
      <w:pPr>
        <w:ind w:left="720" w:hanging="360"/>
      </w:pPr>
      <w:rPr>
        <w:rFonts w:hint="default"/>
      </w:rPr>
    </w:lvl>
    <w:lvl w:ilvl="2">
      <w:start w:val="1"/>
      <w:numFmt w:val="upperLetter"/>
      <w:suff w:val="space"/>
      <w:lvlText w:val="%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none"/>
      <w:suff w:val="nothing"/>
      <w:lvlText w:val=""/>
      <w:lvlJc w:val="left"/>
      <w:pPr>
        <w:ind w:left="1800" w:hanging="360"/>
      </w:pPr>
      <w:rPr>
        <w:rFonts w:hint="default"/>
      </w:rPr>
    </w:lvl>
    <w:lvl w:ilvl="5">
      <w:start w:val="1"/>
      <w:numFmt w:val="none"/>
      <w:suff w:val="nothing"/>
      <w:lvlText w:val=""/>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2DD040A"/>
    <w:multiLevelType w:val="hybridMultilevel"/>
    <w:tmpl w:val="AFC819C8"/>
    <w:lvl w:ilvl="0" w:tplc="8C866EA4">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321161"/>
    <w:multiLevelType w:val="multilevel"/>
    <w:tmpl w:val="500660CC"/>
    <w:lvl w:ilvl="0">
      <w:start w:val="11"/>
      <w:numFmt w:val="decimal"/>
      <w:pStyle w:val="Heading1"/>
      <w:suff w:val="space"/>
      <w:lvlText w:val="Chapter %1:"/>
      <w:lvlJc w:val="left"/>
      <w:pPr>
        <w:ind w:left="360" w:hanging="360"/>
      </w:pPr>
      <w:rPr>
        <w:rFonts w:hint="default"/>
      </w:rPr>
    </w:lvl>
    <w:lvl w:ilvl="1">
      <w:start w:val="1"/>
      <w:numFmt w:val="upperRoman"/>
      <w:pStyle w:val="Heading2"/>
      <w:suff w:val="space"/>
      <w:lvlText w:val="Part %2."/>
      <w:lvlJc w:val="left"/>
      <w:pPr>
        <w:ind w:left="720" w:hanging="360"/>
      </w:pPr>
      <w:rPr>
        <w:rFonts w:hint="default"/>
      </w:rPr>
    </w:lvl>
    <w:lvl w:ilvl="2">
      <w:start w:val="1"/>
      <w:numFmt w:val="upperLetter"/>
      <w:pStyle w:val="Heading3"/>
      <w:suff w:val="space"/>
      <w:lvlText w:val="%3."/>
      <w:lvlJc w:val="left"/>
      <w:pPr>
        <w:ind w:left="1080" w:hanging="360"/>
      </w:pPr>
      <w:rPr>
        <w:rFonts w:hint="default"/>
      </w:rPr>
    </w:lvl>
    <w:lvl w:ilvl="3">
      <w:start w:val="1"/>
      <w:numFmt w:val="decimal"/>
      <w:pStyle w:val="Heading4"/>
      <w:suff w:val="space"/>
      <w:lvlText w:val="%4."/>
      <w:lvlJc w:val="left"/>
      <w:pPr>
        <w:ind w:left="1440" w:hanging="360"/>
      </w:pPr>
      <w:rPr>
        <w:rFonts w:hint="default"/>
      </w:rPr>
    </w:lvl>
    <w:lvl w:ilvl="4">
      <w:start w:val="1"/>
      <w:numFmt w:val="none"/>
      <w:suff w:val="nothing"/>
      <w:lvlText w:val=""/>
      <w:lvlJc w:val="left"/>
      <w:pPr>
        <w:ind w:left="1800" w:hanging="360"/>
      </w:pPr>
      <w:rPr>
        <w:rFonts w:hint="default"/>
      </w:rPr>
    </w:lvl>
    <w:lvl w:ilvl="5">
      <w:start w:val="1"/>
      <w:numFmt w:val="none"/>
      <w:pStyle w:val="Heading6"/>
      <w:suff w:val="nothing"/>
      <w:lvlText w:val=""/>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76248675">
    <w:abstractNumId w:val="2"/>
  </w:num>
  <w:num w:numId="2" w16cid:durableId="2019038557">
    <w:abstractNumId w:val="3"/>
  </w:num>
  <w:num w:numId="3" w16cid:durableId="630210054">
    <w:abstractNumId w:val="4"/>
  </w:num>
  <w:num w:numId="4" w16cid:durableId="10760626">
    <w:abstractNumId w:val="5"/>
  </w:num>
  <w:num w:numId="5" w16cid:durableId="969164635">
    <w:abstractNumId w:val="6"/>
  </w:num>
  <w:num w:numId="6" w16cid:durableId="1469202241">
    <w:abstractNumId w:val="7"/>
  </w:num>
  <w:num w:numId="7" w16cid:durableId="1886329655">
    <w:abstractNumId w:val="8"/>
  </w:num>
  <w:num w:numId="8" w16cid:durableId="1040545771">
    <w:abstractNumId w:val="15"/>
  </w:num>
  <w:num w:numId="9" w16cid:durableId="971710432">
    <w:abstractNumId w:val="10"/>
  </w:num>
  <w:num w:numId="10" w16cid:durableId="333461884">
    <w:abstractNumId w:val="9"/>
  </w:num>
  <w:num w:numId="11" w16cid:durableId="200678775">
    <w:abstractNumId w:val="13"/>
  </w:num>
  <w:num w:numId="12" w16cid:durableId="594288362">
    <w:abstractNumId w:val="14"/>
  </w:num>
  <w:num w:numId="13" w16cid:durableId="1021976271">
    <w:abstractNumId w:val="16"/>
  </w:num>
  <w:num w:numId="14" w16cid:durableId="490871154">
    <w:abstractNumId w:val="16"/>
  </w:num>
  <w:num w:numId="15" w16cid:durableId="1867980446">
    <w:abstractNumId w:val="16"/>
  </w:num>
  <w:num w:numId="16" w16cid:durableId="982082678">
    <w:abstractNumId w:val="16"/>
  </w:num>
  <w:num w:numId="17" w16cid:durableId="1138957935">
    <w:abstractNumId w:val="16"/>
  </w:num>
  <w:num w:numId="18" w16cid:durableId="1006901940">
    <w:abstractNumId w:val="11"/>
  </w:num>
  <w:num w:numId="19" w16cid:durableId="819544799">
    <w:abstractNumId w:val="11"/>
  </w:num>
  <w:num w:numId="20" w16cid:durableId="2080472978">
    <w:abstractNumId w:val="0"/>
  </w:num>
  <w:num w:numId="21" w16cid:durableId="2137332653">
    <w:abstractNumId w:val="1"/>
  </w:num>
  <w:num w:numId="22" w16cid:durableId="1928270377">
    <w:abstractNumId w:val="10"/>
    <w:lvlOverride w:ilvl="0">
      <w:startOverride w:val="1"/>
    </w:lvlOverride>
  </w:num>
  <w:num w:numId="23" w16cid:durableId="1678389565">
    <w:abstractNumId w:val="10"/>
    <w:lvlOverride w:ilvl="0">
      <w:startOverride w:val="1"/>
    </w:lvlOverride>
  </w:num>
  <w:num w:numId="24" w16cid:durableId="666053419">
    <w:abstractNumId w:val="10"/>
    <w:lvlOverride w:ilvl="0">
      <w:startOverride w:val="1"/>
    </w:lvlOverride>
  </w:num>
  <w:num w:numId="25" w16cid:durableId="608515388">
    <w:abstractNumId w:val="10"/>
    <w:lvlOverride w:ilvl="0">
      <w:startOverride w:val="1"/>
    </w:lvlOverride>
  </w:num>
  <w:num w:numId="26" w16cid:durableId="1352759601">
    <w:abstractNumId w:val="10"/>
    <w:lvlOverride w:ilvl="0">
      <w:startOverride w:val="1"/>
    </w:lvlOverride>
  </w:num>
  <w:num w:numId="27" w16cid:durableId="2019455779">
    <w:abstractNumId w:val="10"/>
    <w:lvlOverride w:ilvl="0">
      <w:startOverride w:val="1"/>
    </w:lvlOverride>
  </w:num>
  <w:num w:numId="28" w16cid:durableId="475689504">
    <w:abstractNumId w:val="10"/>
    <w:lvlOverride w:ilvl="0">
      <w:startOverride w:val="1"/>
    </w:lvlOverride>
  </w:num>
  <w:num w:numId="29" w16cid:durableId="485628803">
    <w:abstractNumId w:val="12"/>
  </w:num>
  <w:num w:numId="30" w16cid:durableId="1836728262">
    <w:abstractNumId w:val="10"/>
    <w:lvlOverride w:ilvl="0">
      <w:startOverride w:val="1"/>
    </w:lvlOverride>
  </w:num>
  <w:num w:numId="31" w16cid:durableId="704063230">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FB8"/>
    <w:rsid w:val="001F10E4"/>
    <w:rsid w:val="00230600"/>
    <w:rsid w:val="002371BF"/>
    <w:rsid w:val="002543E7"/>
    <w:rsid w:val="002B437E"/>
    <w:rsid w:val="002D2B47"/>
    <w:rsid w:val="004C49EA"/>
    <w:rsid w:val="005D7669"/>
    <w:rsid w:val="00696F3F"/>
    <w:rsid w:val="006E248C"/>
    <w:rsid w:val="006E5FB8"/>
    <w:rsid w:val="007765AB"/>
    <w:rsid w:val="007B501F"/>
    <w:rsid w:val="007D5F0C"/>
    <w:rsid w:val="007E4F16"/>
    <w:rsid w:val="007E6A5D"/>
    <w:rsid w:val="00824EA3"/>
    <w:rsid w:val="00E27303"/>
    <w:rsid w:val="00E3418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7469F0"/>
  <w14:defaultImageDpi w14:val="300"/>
  <w15:docId w15:val="{DC5A2541-58BA-E140-8DEF-B9CA315BE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1BF"/>
    <w:pPr>
      <w:spacing w:after="40" w:line="264" w:lineRule="auto"/>
      <w:ind w:firstLine="360"/>
    </w:pPr>
    <w:rPr>
      <w:rFonts w:ascii="Century Schoolbook" w:hAnsi="Century Schoolbook" w:cs="Times New Roman"/>
      <w:sz w:val="24"/>
      <w:szCs w:val="24"/>
    </w:rPr>
  </w:style>
  <w:style w:type="paragraph" w:styleId="Heading1">
    <w:name w:val="heading 1"/>
    <w:basedOn w:val="Normal"/>
    <w:next w:val="Normal"/>
    <w:link w:val="Heading1Char"/>
    <w:uiPriority w:val="9"/>
    <w:qFormat/>
    <w:rsid w:val="002371BF"/>
    <w:pPr>
      <w:numPr>
        <w:numId w:val="13"/>
      </w:numPr>
      <w:spacing w:before="100" w:beforeAutospacing="1" w:after="100" w:afterAutospacing="1"/>
      <w:outlineLvl w:val="0"/>
    </w:pPr>
    <w:rPr>
      <w:rFonts w:eastAsia="Times New Roman"/>
      <w:b/>
      <w:bCs/>
      <w:kern w:val="36"/>
      <w:sz w:val="48"/>
      <w:szCs w:val="48"/>
    </w:rPr>
  </w:style>
  <w:style w:type="paragraph" w:styleId="Heading2">
    <w:name w:val="heading 2"/>
    <w:basedOn w:val="Normal"/>
    <w:next w:val="Normal"/>
    <w:link w:val="Heading2Char"/>
    <w:uiPriority w:val="9"/>
    <w:qFormat/>
    <w:rsid w:val="002371BF"/>
    <w:pPr>
      <w:keepNext/>
      <w:numPr>
        <w:ilvl w:val="1"/>
        <w:numId w:val="13"/>
      </w:numPr>
      <w:spacing w:before="100" w:beforeAutospacing="1" w:after="100" w:afterAutospacing="1"/>
      <w:outlineLvl w:val="1"/>
    </w:pPr>
    <w:rPr>
      <w:rFonts w:eastAsia="Times New Roman"/>
      <w:b/>
      <w:bCs/>
      <w:i/>
      <w:iCs/>
      <w:sz w:val="36"/>
      <w:szCs w:val="36"/>
    </w:rPr>
  </w:style>
  <w:style w:type="paragraph" w:styleId="Heading3">
    <w:name w:val="heading 3"/>
    <w:basedOn w:val="Normal"/>
    <w:next w:val="Normal"/>
    <w:link w:val="Heading3Char"/>
    <w:uiPriority w:val="9"/>
    <w:qFormat/>
    <w:rsid w:val="002371BF"/>
    <w:pPr>
      <w:keepNext/>
      <w:numPr>
        <w:ilvl w:val="2"/>
        <w:numId w:val="13"/>
      </w:numPr>
      <w:spacing w:before="100" w:beforeAutospacing="1" w:after="100" w:afterAutospacing="1" w:line="240" w:lineRule="auto"/>
      <w:outlineLvl w:val="2"/>
    </w:pPr>
    <w:rPr>
      <w:rFonts w:ascii="Times New Roman" w:hAnsi="Times New Roman"/>
      <w:b/>
      <w:bCs/>
      <w:sz w:val="27"/>
      <w:szCs w:val="27"/>
    </w:rPr>
  </w:style>
  <w:style w:type="paragraph" w:styleId="Heading4">
    <w:name w:val="heading 4"/>
    <w:basedOn w:val="Heading3"/>
    <w:next w:val="Normal"/>
    <w:link w:val="Heading4Char"/>
    <w:uiPriority w:val="9"/>
    <w:unhideWhenUsed/>
    <w:qFormat/>
    <w:rsid w:val="002371BF"/>
    <w:pPr>
      <w:numPr>
        <w:ilvl w:val="3"/>
      </w:numPr>
      <w:outlineLvl w:val="3"/>
    </w:pPr>
  </w:style>
  <w:style w:type="paragraph" w:styleId="Heading5">
    <w:name w:val="heading 5"/>
    <w:basedOn w:val="Normal"/>
    <w:next w:val="Normal"/>
    <w:link w:val="Heading5Char"/>
    <w:uiPriority w:val="9"/>
    <w:unhideWhenUsed/>
    <w:qFormat/>
    <w:rsid w:val="002371BF"/>
    <w:pPr>
      <w:keepNext/>
      <w:spacing w:before="100" w:beforeAutospacing="1" w:after="100" w:afterAutospacing="1"/>
      <w:ind w:firstLine="0"/>
      <w:outlineLvl w:val="4"/>
    </w:pPr>
    <w:rPr>
      <w:rFonts w:ascii="Times New Roman" w:hAnsi="Times New Roman"/>
      <w:b/>
      <w:bCs/>
    </w:rPr>
  </w:style>
  <w:style w:type="paragraph" w:styleId="Heading6">
    <w:name w:val="heading 6"/>
    <w:basedOn w:val="Normal"/>
    <w:next w:val="Normal"/>
    <w:link w:val="Heading6Char"/>
    <w:uiPriority w:val="9"/>
    <w:unhideWhenUsed/>
    <w:qFormat/>
    <w:rsid w:val="002371BF"/>
    <w:pPr>
      <w:keepNext/>
      <w:keepLines/>
      <w:numPr>
        <w:ilvl w:val="5"/>
        <w:numId w:val="13"/>
      </w:numPr>
      <w:spacing w:before="300" w:after="10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uiPriority w:val="10"/>
    <w:qFormat/>
    <w:rsid w:val="002371BF"/>
    <w:pPr>
      <w:spacing w:before="120" w:after="120"/>
      <w:ind w:left="720" w:right="720" w:firstLine="0"/>
    </w:pPr>
  </w:style>
  <w:style w:type="character" w:customStyle="1" w:styleId="Heading1Char">
    <w:name w:val="Heading 1 Char"/>
    <w:basedOn w:val="DefaultParagraphFont"/>
    <w:link w:val="Heading1"/>
    <w:uiPriority w:val="9"/>
    <w:rsid w:val="002371BF"/>
    <w:rPr>
      <w:rFonts w:ascii="Century Schoolbook" w:eastAsia="Times New Roman" w:hAnsi="Century Schoolbook" w:cs="Times New Roman"/>
      <w:b/>
      <w:bCs/>
      <w:kern w:val="36"/>
      <w:sz w:val="48"/>
      <w:szCs w:val="48"/>
    </w:rPr>
  </w:style>
  <w:style w:type="character" w:customStyle="1" w:styleId="Heading2Char">
    <w:name w:val="Heading 2 Char"/>
    <w:basedOn w:val="DefaultParagraphFont"/>
    <w:link w:val="Heading2"/>
    <w:uiPriority w:val="9"/>
    <w:rsid w:val="002371BF"/>
    <w:rPr>
      <w:rFonts w:ascii="Century Schoolbook" w:eastAsia="Times New Roman" w:hAnsi="Century Schoolbook" w:cs="Times New Roman"/>
      <w:b/>
      <w:bCs/>
      <w:i/>
      <w:iCs/>
      <w:sz w:val="36"/>
      <w:szCs w:val="36"/>
    </w:rPr>
  </w:style>
  <w:style w:type="character" w:customStyle="1" w:styleId="Heading3Char">
    <w:name w:val="Heading 3 Char"/>
    <w:basedOn w:val="DefaultParagraphFont"/>
    <w:link w:val="Heading3"/>
    <w:uiPriority w:val="9"/>
    <w:rsid w:val="002371BF"/>
    <w:rPr>
      <w:rFonts w:ascii="Times New Roman" w:hAnsi="Times New Roman" w:cs="Times New Roman"/>
      <w:b/>
      <w:bCs/>
      <w:sz w:val="27"/>
      <w:szCs w:val="27"/>
    </w:rPr>
  </w:style>
  <w:style w:type="character" w:customStyle="1" w:styleId="Heading4Char">
    <w:name w:val="Heading 4 Char"/>
    <w:basedOn w:val="DefaultParagraphFont"/>
    <w:link w:val="Heading4"/>
    <w:uiPriority w:val="9"/>
    <w:rsid w:val="002371BF"/>
    <w:rPr>
      <w:rFonts w:ascii="Times New Roman" w:hAnsi="Times New Roman" w:cs="Times New Roman"/>
      <w:b/>
      <w:bCs/>
      <w:sz w:val="27"/>
      <w:szCs w:val="27"/>
    </w:rPr>
  </w:style>
  <w:style w:type="character" w:customStyle="1" w:styleId="Heading5Char">
    <w:name w:val="Heading 5 Char"/>
    <w:basedOn w:val="DefaultParagraphFont"/>
    <w:link w:val="Heading5"/>
    <w:uiPriority w:val="9"/>
    <w:rsid w:val="002371BF"/>
    <w:rPr>
      <w:rFonts w:ascii="Times New Roman" w:hAnsi="Times New Roman" w:cs="Times New Roman"/>
      <w:b/>
      <w:bCs/>
      <w:sz w:val="24"/>
      <w:szCs w:val="24"/>
    </w:rPr>
  </w:style>
  <w:style w:type="character" w:customStyle="1" w:styleId="Heading6Char">
    <w:name w:val="Heading 6 Char"/>
    <w:basedOn w:val="DefaultParagraphFont"/>
    <w:link w:val="Heading6"/>
    <w:uiPriority w:val="9"/>
    <w:rsid w:val="002371BF"/>
    <w:rPr>
      <w:rFonts w:asciiTheme="majorHAnsi" w:eastAsiaTheme="majorEastAsia" w:hAnsiTheme="majorHAnsi" w:cstheme="majorBidi"/>
      <w:sz w:val="24"/>
      <w:szCs w:val="24"/>
    </w:rPr>
  </w:style>
  <w:style w:type="character" w:styleId="Emphasis">
    <w:name w:val="Emphasis"/>
    <w:basedOn w:val="DefaultParagraphFont"/>
    <w:uiPriority w:val="20"/>
    <w:qFormat/>
    <w:rsid w:val="002371BF"/>
    <w:rPr>
      <w:i/>
      <w:iCs/>
    </w:rPr>
  </w:style>
  <w:style w:type="character" w:styleId="Strong">
    <w:name w:val="Strong"/>
    <w:uiPriority w:val="22"/>
    <w:qFormat/>
    <w:rsid w:val="002371BF"/>
    <w:rPr>
      <w:rFonts w:ascii="Century Schoolbook" w:hAnsi="Century Schoolbook"/>
      <w:b/>
      <w:bCs/>
      <w:sz w:val="36"/>
      <w:szCs w:val="36"/>
    </w:rPr>
  </w:style>
  <w:style w:type="character" w:customStyle="1" w:styleId="Code">
    <w:name w:val="Code"/>
    <w:basedOn w:val="DefaultParagraphFont"/>
    <w:uiPriority w:val="24"/>
    <w:qFormat/>
    <w:rsid w:val="002371BF"/>
    <w:rPr>
      <w:rFonts w:ascii="Consolas" w:hAnsi="Consolas" w:cs="Consolas"/>
    </w:rPr>
  </w:style>
  <w:style w:type="character" w:customStyle="1" w:styleId="FootnoteTextChar">
    <w:name w:val="Footnote Text Char"/>
    <w:basedOn w:val="DefaultParagraphFont"/>
    <w:uiPriority w:val="99"/>
    <w:semiHidden/>
    <w:rsid w:val="002371BF"/>
  </w:style>
  <w:style w:type="character" w:styleId="FootnoteReference">
    <w:name w:val="footnote reference"/>
    <w:basedOn w:val="DefaultParagraphFont"/>
    <w:uiPriority w:val="99"/>
    <w:semiHidden/>
    <w:unhideWhenUsed/>
    <w:rsid w:val="002371BF"/>
    <w:rPr>
      <w:vertAlign w:val="superscript"/>
    </w:rPr>
  </w:style>
  <w:style w:type="paragraph" w:styleId="Caption">
    <w:name w:val="caption"/>
    <w:basedOn w:val="Normal"/>
    <w:next w:val="Normal"/>
    <w:uiPriority w:val="35"/>
    <w:unhideWhenUsed/>
    <w:qFormat/>
    <w:rsid w:val="002371BF"/>
    <w:pPr>
      <w:spacing w:after="200"/>
    </w:pPr>
    <w:rPr>
      <w:i/>
    </w:rPr>
  </w:style>
  <w:style w:type="paragraph" w:customStyle="1" w:styleId="BreakoutBox">
    <w:name w:val="Breakout Box"/>
    <w:basedOn w:val="Normal"/>
    <w:qFormat/>
    <w:rsid w:val="002371BF"/>
    <w:pPr>
      <w:pBdr>
        <w:top w:val="single" w:sz="4" w:space="1" w:color="auto"/>
        <w:left w:val="single" w:sz="4" w:space="4" w:color="auto"/>
        <w:bottom w:val="single" w:sz="4" w:space="1" w:color="auto"/>
        <w:right w:val="single" w:sz="4" w:space="4" w:color="auto"/>
      </w:pBdr>
      <w:ind w:left="720" w:right="720" w:firstLine="0"/>
    </w:pPr>
  </w:style>
  <w:style w:type="paragraph" w:customStyle="1" w:styleId="BulletList">
    <w:name w:val="Bullet List"/>
    <w:basedOn w:val="Normal"/>
    <w:qFormat/>
    <w:rsid w:val="002371BF"/>
    <w:pPr>
      <w:numPr>
        <w:numId w:val="8"/>
      </w:numPr>
      <w:ind w:right="432"/>
    </w:pPr>
  </w:style>
  <w:style w:type="paragraph" w:styleId="ListParagraph">
    <w:name w:val="List Paragraph"/>
    <w:basedOn w:val="Normal"/>
    <w:uiPriority w:val="34"/>
    <w:qFormat/>
    <w:rsid w:val="002371BF"/>
    <w:pPr>
      <w:ind w:left="720"/>
      <w:contextualSpacing/>
    </w:pPr>
  </w:style>
  <w:style w:type="paragraph" w:customStyle="1" w:styleId="CaseParagraph">
    <w:name w:val="Case Paragraph"/>
    <w:basedOn w:val="ListParagraph"/>
    <w:qFormat/>
    <w:rsid w:val="002371BF"/>
    <w:pPr>
      <w:numPr>
        <w:numId w:val="9"/>
      </w:numPr>
      <w:contextualSpacing w:val="0"/>
    </w:pPr>
  </w:style>
  <w:style w:type="paragraph" w:customStyle="1" w:styleId="CaseInternalHeading">
    <w:name w:val="Case Internal Heading"/>
    <w:basedOn w:val="CaseParagraph"/>
    <w:qFormat/>
    <w:rsid w:val="002371BF"/>
    <w:pPr>
      <w:keepNext/>
      <w:numPr>
        <w:numId w:val="0"/>
      </w:numPr>
      <w:spacing w:before="240" w:after="120"/>
    </w:pPr>
    <w:rPr>
      <w:b/>
      <w:bCs/>
    </w:rPr>
  </w:style>
  <w:style w:type="character" w:styleId="CommentReference">
    <w:name w:val="annotation reference"/>
    <w:basedOn w:val="DefaultParagraphFont"/>
    <w:uiPriority w:val="99"/>
    <w:semiHidden/>
    <w:unhideWhenUsed/>
    <w:rsid w:val="002371BF"/>
    <w:rPr>
      <w:sz w:val="16"/>
      <w:szCs w:val="16"/>
    </w:rPr>
  </w:style>
  <w:style w:type="paragraph" w:styleId="CommentText">
    <w:name w:val="annotation text"/>
    <w:basedOn w:val="Normal"/>
    <w:link w:val="CommentTextChar"/>
    <w:uiPriority w:val="99"/>
    <w:semiHidden/>
    <w:unhideWhenUsed/>
    <w:rsid w:val="002371BF"/>
    <w:pPr>
      <w:ind w:firstLine="0"/>
    </w:pPr>
    <w:rPr>
      <w:rFonts w:ascii="Times New Roman" w:hAnsi="Times New Roman"/>
      <w:sz w:val="20"/>
      <w:szCs w:val="20"/>
    </w:rPr>
  </w:style>
  <w:style w:type="character" w:customStyle="1" w:styleId="CommentTextChar">
    <w:name w:val="Comment Text Char"/>
    <w:basedOn w:val="DefaultParagraphFont"/>
    <w:link w:val="CommentText"/>
    <w:uiPriority w:val="99"/>
    <w:semiHidden/>
    <w:rsid w:val="002371BF"/>
    <w:rPr>
      <w:rFonts w:ascii="Times New Roman" w:hAnsi="Times New Roman" w:cs="Times New Roman"/>
    </w:rPr>
  </w:style>
  <w:style w:type="numbering" w:customStyle="1" w:styleId="CurrentList1">
    <w:name w:val="Current List1"/>
    <w:uiPriority w:val="99"/>
    <w:rsid w:val="002371BF"/>
    <w:pPr>
      <w:numPr>
        <w:numId w:val="10"/>
      </w:numPr>
    </w:pPr>
  </w:style>
  <w:style w:type="numbering" w:customStyle="1" w:styleId="CurrentList2">
    <w:name w:val="Current List2"/>
    <w:uiPriority w:val="99"/>
    <w:rsid w:val="002371BF"/>
    <w:pPr>
      <w:numPr>
        <w:numId w:val="11"/>
      </w:numPr>
    </w:pPr>
  </w:style>
  <w:style w:type="numbering" w:customStyle="1" w:styleId="CurrentList3">
    <w:name w:val="Current List3"/>
    <w:uiPriority w:val="99"/>
    <w:rsid w:val="002371BF"/>
    <w:pPr>
      <w:numPr>
        <w:numId w:val="12"/>
      </w:numPr>
    </w:pPr>
  </w:style>
  <w:style w:type="paragraph" w:customStyle="1" w:styleId="indenttest1">
    <w:name w:val="indenttest1"/>
    <w:basedOn w:val="Normal"/>
    <w:rsid w:val="002371BF"/>
    <w:pPr>
      <w:spacing w:before="100" w:beforeAutospacing="1" w:after="100" w:afterAutospacing="1"/>
      <w:ind w:firstLine="0"/>
    </w:pPr>
    <w:rPr>
      <w:rFonts w:ascii="Times New Roman" w:hAnsi="Times New Roman"/>
    </w:rPr>
  </w:style>
  <w:style w:type="paragraph" w:customStyle="1" w:styleId="indenttest2">
    <w:name w:val="indenttest2"/>
    <w:basedOn w:val="Normal"/>
    <w:rsid w:val="002371BF"/>
    <w:pPr>
      <w:spacing w:before="100" w:beforeAutospacing="1" w:after="100" w:afterAutospacing="1" w:line="240" w:lineRule="auto"/>
    </w:pPr>
    <w:rPr>
      <w:rFonts w:ascii="Times New Roman" w:hAnsi="Times New Roman"/>
    </w:rPr>
  </w:style>
  <w:style w:type="paragraph" w:customStyle="1" w:styleId="NotesandQuestions">
    <w:name w:val="Notes and Questions"/>
    <w:basedOn w:val="Normal"/>
    <w:qFormat/>
    <w:rsid w:val="002371BF"/>
    <w:pPr>
      <w:numPr>
        <w:numId w:val="19"/>
      </w:numPr>
      <w:spacing w:after="120"/>
    </w:pPr>
  </w:style>
  <w:style w:type="paragraph" w:customStyle="1" w:styleId="NumberedList">
    <w:name w:val="Numbered List"/>
    <w:basedOn w:val="NotesandQuestions"/>
    <w:qFormat/>
    <w:rsid w:val="002371BF"/>
    <w:pPr>
      <w:ind w:left="900"/>
    </w:pPr>
  </w:style>
  <w:style w:type="paragraph" w:customStyle="1" w:styleId="p1">
    <w:name w:val="p1"/>
    <w:basedOn w:val="Normal"/>
    <w:rsid w:val="002371BF"/>
    <w:pPr>
      <w:spacing w:before="100" w:beforeAutospacing="1" w:after="100" w:afterAutospacing="1"/>
      <w:ind w:firstLine="0"/>
    </w:pPr>
    <w:rPr>
      <w:rFonts w:ascii="Times New Roman" w:eastAsia="Times New Roman" w:hAnsi="Times New Roman"/>
    </w:rPr>
  </w:style>
  <w:style w:type="paragraph" w:customStyle="1" w:styleId="StatutoryReference">
    <w:name w:val="Statutory Reference"/>
    <w:basedOn w:val="Normal"/>
    <w:qFormat/>
    <w:rsid w:val="002371BF"/>
    <w:pPr>
      <w:tabs>
        <w:tab w:val="left" w:pos="3600"/>
      </w:tabs>
      <w:spacing w:after="120"/>
      <w:ind w:firstLine="0"/>
    </w:pPr>
  </w:style>
  <w:style w:type="paragraph" w:customStyle="1" w:styleId="StrongHeading">
    <w:name w:val="Strong Heading"/>
    <w:basedOn w:val="Normal"/>
    <w:next w:val="Normal"/>
    <w:qFormat/>
    <w:rsid w:val="002371BF"/>
    <w:pPr>
      <w:jc w:val="center"/>
    </w:pPr>
  </w:style>
  <w:style w:type="paragraph" w:customStyle="1" w:styleId="TableNormalPar">
    <w:name w:val="Table Normal Par"/>
    <w:basedOn w:val="Normal"/>
    <w:qFormat/>
    <w:rsid w:val="002371BF"/>
    <w:pPr>
      <w:spacing w:after="0"/>
      <w:ind w:firstLine="0"/>
    </w:pPr>
    <w:rPr>
      <w:bCs/>
    </w:rPr>
  </w:style>
  <w:style w:type="paragraph" w:customStyle="1" w:styleId="TextHanging">
    <w:name w:val="Text Hanging"/>
    <w:next w:val="Normal"/>
    <w:qFormat/>
    <w:rsid w:val="002371BF"/>
    <w:pPr>
      <w:spacing w:before="100" w:after="100" w:line="250" w:lineRule="exact"/>
      <w:ind w:left="432" w:hanging="432"/>
      <w:jc w:val="both"/>
    </w:pPr>
    <w:rPr>
      <w:rFonts w:ascii="Century Schoolbook" w:eastAsia="Times New Roman" w:hAnsi="Century Schoolbook" w:cs="Times New Roman"/>
      <w:sz w:val="21"/>
      <w:szCs w:val="24"/>
    </w:rPr>
  </w:style>
  <w:style w:type="paragraph" w:customStyle="1" w:styleId="TextParagraph">
    <w:name w:val="Text Paragraph"/>
    <w:link w:val="TextParagraphChar"/>
    <w:qFormat/>
    <w:rsid w:val="002371BF"/>
    <w:pPr>
      <w:spacing w:before="100" w:after="100" w:line="250" w:lineRule="exact"/>
      <w:ind w:firstLine="432"/>
      <w:jc w:val="both"/>
    </w:pPr>
    <w:rPr>
      <w:rFonts w:ascii="Century Schoolbook" w:eastAsia="Times New Roman" w:hAnsi="Century Schoolbook" w:cs="Times New Roman"/>
      <w:sz w:val="21"/>
      <w:szCs w:val="28"/>
    </w:rPr>
  </w:style>
  <w:style w:type="character" w:customStyle="1" w:styleId="TextParagraphChar">
    <w:name w:val="Text Paragraph Char"/>
    <w:basedOn w:val="DefaultParagraphFont"/>
    <w:link w:val="TextParagraph"/>
    <w:rsid w:val="002371BF"/>
    <w:rPr>
      <w:rFonts w:ascii="Century Schoolbook" w:eastAsia="Times New Roman" w:hAnsi="Century Schoolbook" w:cs="Times New Roman"/>
      <w:sz w:val="21"/>
      <w:szCs w:val="28"/>
    </w:rPr>
  </w:style>
  <w:style w:type="numbering" w:customStyle="1" w:styleId="CurrentList4">
    <w:name w:val="Current List4"/>
    <w:uiPriority w:val="99"/>
    <w:rsid w:val="00230600"/>
    <w:pPr>
      <w:numPr>
        <w:numId w:val="29"/>
      </w:numPr>
    </w:pPr>
  </w:style>
  <w:style w:type="paragraph" w:customStyle="1" w:styleId="GuidingQuestions">
    <w:name w:val="Guiding Questions"/>
    <w:basedOn w:val="Normal"/>
    <w:next w:val="Normal"/>
    <w:qFormat/>
    <w:rsid w:val="007E6A5D"/>
    <w:pPr>
      <w:spacing w:before="240"/>
      <w:ind w:firstLine="0"/>
    </w:pPr>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38</Pages>
  <Words>15883</Words>
  <Characters>82756</Characters>
  <Application>Microsoft Office Word</Application>
  <DocSecurity>0</DocSecurity>
  <Lines>1451</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Oranburg</dc:creator>
  <cp:keywords/>
  <dc:description/>
  <cp:lastModifiedBy>Seth Oranburg</cp:lastModifiedBy>
  <cp:revision>5</cp:revision>
  <dcterms:created xsi:type="dcterms:W3CDTF">2026-03-06T19:34:00Z</dcterms:created>
  <dcterms:modified xsi:type="dcterms:W3CDTF">2026-03-06T20:52:00Z</dcterms:modified>
</cp:coreProperties>
</file>