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C23B0" w14:textId="18DA2C77" w:rsidR="00D6627B" w:rsidRPr="00D6627B" w:rsidRDefault="00D6627B" w:rsidP="00D6627B">
      <w:pPr>
        <w:pStyle w:val="Title"/>
        <w:spacing w:before="480" w:after="480"/>
        <w:rPr>
          <w:rStyle w:val="PlaceholderText"/>
          <w:b/>
          <w:bCs/>
          <w:color w:val="auto"/>
        </w:rPr>
      </w:pPr>
      <w:r w:rsidRPr="00D6627B">
        <w:rPr>
          <w:rStyle w:val="PlaceholderText"/>
          <w:b/>
          <w:bCs/>
          <w:color w:val="auto"/>
        </w:rPr>
        <w:t>Shadow of Law: Teaching Doctrine to Students Who Already Know Everything</w:t>
      </w:r>
    </w:p>
    <w:p w14:paraId="520644E7" w14:textId="490E9663" w:rsidR="003A2AA0" w:rsidRDefault="00BF743F">
      <w:r>
        <w:t>Seth C. Oranburg</w:t>
      </w:r>
      <w:r>
        <w:rPr>
          <w:rStyle w:val="FootnoteReference"/>
        </w:rPr>
        <w:footnoteReference w:id="1"/>
      </w:r>
    </w:p>
    <w:p w14:paraId="558E3A98" w14:textId="77777777" w:rsidR="003A2AA0" w:rsidRDefault="00BF743F" w:rsidP="006D4C51">
      <w:pPr>
        <w:pStyle w:val="Heading1"/>
      </w:pPr>
      <w:bookmarkStart w:id="0" w:name="abstract"/>
      <w:r>
        <w:t>ABSTRACT</w:t>
      </w:r>
    </w:p>
    <w:p w14:paraId="4C6AA98B" w14:textId="1DEB3D24" w:rsidR="003A2AA0" w:rsidRDefault="00BF743F">
      <w:r>
        <w:t>Mid-career professionals who enroll in online and hybrid J.D. programs arrive at their first-year Contracts course carrying a specific form of expertise that resembles (and actively obscures)</w:t>
      </w:r>
      <w:r w:rsidR="008441B9">
        <w:t xml:space="preserve"> </w:t>
      </w:r>
      <w:r>
        <w:t>the doctrinal knowledge they need to acquire. They have negotiated force majeure clauses, reviewed redlines, and closed deals. They have not understood why those contracts are enforceable. This essay examines the pedagogical problem that results: not ordinary doctrinal ignorance but operational fluency in an adjacent domain, acquired across years of professional practice, that forecloses the receptive condition genuine instruction is designed to fill.</w:t>
      </w:r>
    </w:p>
    <w:p w14:paraId="32F7088C" w14:textId="77777777" w:rsidR="003A2AA0" w:rsidRDefault="00BF743F">
      <w:r>
        <w:t>Drawing on the Dunning-Kruger research and three philosophical frameworks, Tolkien’s portrait of Boromir’s adjacent-competence failure, Maimonides’ excavation principle in the Moreh Nevukhim, and Aquinas’s ordo doctrinae in the Summa Theologiae, the essay argues that the Valley of Despair is not a pedagogical accident to be mitigated but a designed necessity to be preserved. Part II situates this argument within existing legal education scholarship on online pedagogy, Universal Design for Instruction, Socratic method debates, and desirable difficulties in learning. Part III formally defines operational and doctrinal knowledge and develops a taxonomy for distinguishing them. Part IV addresses equity implications and differential impacts across student populations. Part V identifies specific instruments by which hybrid and asynchronous programs can perform the Socratic function without the live cold-call. Part VI names the institutional pressures that systematically incentivize accommodation, course evaluations, retention metrics, the accessibility argument, and curriculum redesign conversations, and includes a dedicated subsection distinguishing legitimate accommodations (cultural, linguistic, disability-related) from problematic accommodations that reinforce the Dunning-Kruger dynamic. The essay argues that the professor’s obligation to hold the Socratic line extends beyond the student to the law, the profession, and the public that relies on the credential’s integrity.</w:t>
      </w:r>
    </w:p>
    <w:p w14:paraId="4A0FAE89" w14:textId="77777777" w:rsidR="003A2AA0" w:rsidRDefault="00BF743F" w:rsidP="006D4C51">
      <w:pPr>
        <w:pStyle w:val="Heading1"/>
      </w:pPr>
      <w:bookmarkStart w:id="1" w:name="part-i-the-new-landscape"/>
      <w:bookmarkEnd w:id="0"/>
      <w:r>
        <w:t>PART I: THE NEW LANDSCAPE</w:t>
      </w:r>
    </w:p>
    <w:p w14:paraId="56A7A924" w14:textId="77777777" w:rsidR="003A2AA0" w:rsidRDefault="00BF743F">
      <w:r>
        <w:t>He has signed, he tells the class, hundreds of contracts. Force majeure clauses, limitation of liability provisions, indemnification riders, he has negotiated them all. He has sat across conference room tables from lawyers, reviewed redlines, pushed back on delivery terms, and closed deals. He is not wrong. He has done exactly that. What he has not done, and cannot yet know he has not done, is understand why any of them are enforceable. The gap between those two things is the entire curriculum.</w:t>
      </w:r>
    </w:p>
    <w:p w14:paraId="7910AF14" w14:textId="77777777" w:rsidR="003A2AA0" w:rsidRDefault="00BF743F">
      <w:r>
        <w:t>Call him Ray. He is a composite, a senior director of supply chain operations, or a commercial real estate principal, or a fifteen-year veteran of corporate finance. He is also, depending on the semester, at least three of the twenty students in the room. He came to this online J.D. program without leaving his career, which is the program’s promise and, as this essay argues, its distinctive pedagogical problem. He arrived believing, in the most genuine and non-cynical way possible, that he already had a substantial head start on Contracts. He is at the peak of what the psychology literature calls the Dunning-Kruger curve (maximum confidence, minimum doctrinal foundation)and he does not yet know it.</w:t>
      </w:r>
      <w:r>
        <w:rPr>
          <w:rStyle w:val="FootnoteReference"/>
        </w:rPr>
        <w:footnoteReference w:id="2"/>
      </w:r>
    </w:p>
    <w:p w14:paraId="10198CC7" w14:textId="77777777" w:rsidR="003A2AA0" w:rsidRDefault="00BF743F">
      <w:r>
        <w:t>He is recognizable to the author because this essay is written from inside that room.</w:t>
      </w:r>
      <w:r>
        <w:rPr>
          <w:rStyle w:val="FootnoteReference"/>
        </w:rPr>
        <w:footnoteReference w:id="3"/>
      </w:r>
      <w:r>
        <w:t xml:space="preserve"> The author has spent seven years building online education courses and programs, then teaching well over a thousand students in hybrid live and asynchronous and online legal education at Duquesne University and the University of New Hampshire Franklin Pierce School of Law, using the full range of modalities that the format makes available: synchronous video sessions, asynchronous pre-recorded lectures, podcast-format audio lessons, original casebook materials, structured discussion board activities in multiple formats, group projects in both synchronous and asynchronous modes, and one-on-one video conferences. The author has taught first-year Contracts, upper-level Business Associations, and advanced seminars in corporate governance and securities regulation. The author has watched Ray arrive, watched him struggle, and (when the pedagogy held)watched him emerge on the other side with something he did not have before: not operational fluency plus doctrinal vocabulary, but doctrinal knowledge that reorganized the operational fluency he brought with him.</w:t>
      </w:r>
    </w:p>
    <w:p w14:paraId="3F3A612B" w14:textId="77777777" w:rsidR="003A2AA0" w:rsidRDefault="00BF743F">
      <w:r>
        <w:t>This essay is about what happens when the pedagogy does not hold. It is about the specific pressures, institutional, technological, and rhetorical, that make it difficult to preserve the designed discomfort that produces that reorganization. And it is about why preserving that discomfort is not optional.</w:t>
      </w:r>
    </w:p>
    <w:p w14:paraId="3DAE9546" w14:textId="77777777" w:rsidR="003A2AA0" w:rsidRDefault="00BF743F">
      <w:r>
        <w:t>The problem Ray presents is not ignorance. Ignorance is the ordinary condition of the first-year law student, and legal education has seven hundred years of experience addressing it. The problem is adjacent competence, fluency in a domain that resembles the target domain closely enough to simulate understanding while the actual understanding is absent</w:t>
      </w:r>
      <w:r>
        <w:rPr>
          <w:rStyle w:val="FootnoteReference"/>
        </w:rPr>
        <w:footnoteReference w:id="4"/>
      </w:r>
      <w:r>
        <w:t>. Ray has negotiated contracts. He has not studied contract law. The distance between those two activities is not a matter of degree but of kind, and the pedagogical challenge is that Ray’s operational fluency actively prevents him from recognizing that distance.</w:t>
      </w:r>
    </w:p>
    <w:p w14:paraId="6DA1726C" w14:textId="77777777" w:rsidR="003A2AA0" w:rsidRDefault="00BF743F">
      <w:r>
        <w:t xml:space="preserve">The challenge is compounded by the modality. Online and hybrid J.D. programs have expanded rapidly over the past decade, driven by technological capability, market demand, and institutional revenue needs </w:t>
      </w:r>
      <w:r>
        <w:rPr>
          <w:rStyle w:val="FootnoteReference"/>
        </w:rPr>
        <w:footnoteReference w:id="5"/>
      </w:r>
      <w:r>
        <w:t xml:space="preserve"> and institutional revenue needs.</w:t>
      </w:r>
      <w:r>
        <w:rPr>
          <w:rStyle w:val="FootnoteReference"/>
        </w:rPr>
        <w:footnoteReference w:id="6"/>
      </w:r>
      <w:r>
        <w:t xml:space="preserve"> These programs enroll a distinctive population: mid-career professionals who cannot or will not leave their careers to attend residential programs</w:t>
      </w:r>
      <w:r>
        <w:rPr>
          <w:rStyle w:val="FootnoteReference"/>
        </w:rPr>
        <w:footnoteReference w:id="7"/>
      </w:r>
      <w:r>
        <w:t>. They are older, more professionally experienced, and more confident in their existing knowledge than traditional residential students</w:t>
      </w:r>
      <w:r>
        <w:rPr>
          <w:rStyle w:val="FootnoteReference"/>
        </w:rPr>
        <w:footnoteReference w:id="8"/>
      </w:r>
      <w:r>
        <w:t xml:space="preserve">. They are also, in many cases, paying their own tuition rather than relying on family support or loans, which creates a consumer orientation toward the educational product </w:t>
      </w:r>
      <w:r>
        <w:rPr>
          <w:rStyle w:val="FootnoteReference"/>
        </w:rPr>
        <w:footnoteReference w:id="9"/>
      </w:r>
      <w:r>
        <w:t>. They expect the curriculum to accommodate their existing expertise, and they evaluate the instruction based on whether it does.</w:t>
      </w:r>
    </w:p>
    <w:p w14:paraId="65AF8AD3" w14:textId="77777777" w:rsidR="003A2AA0" w:rsidRDefault="00BF743F">
      <w:r>
        <w:t>This essay argues that accommodating Ray’s operational fluency, designing the curriculum to build on rather than displace it, is a pedagogical error with systemic consequences. The error is not unique to online programs, but the modality makes it easier to commit and harder to detect. The absence of the live classroom, the asynchronous format, the technological mediation, and the institutional pressures specific to online programs all create conditions in which the accommodation becomes the path of least resistance. The essay’s purpose is to name the error, explain why it is an error, identify the pressures that produce it, and describe the instruments by which online and hybrid programs can resist it.</w:t>
      </w:r>
    </w:p>
    <w:p w14:paraId="1A6DA895" w14:textId="77777777" w:rsidR="003A2AA0" w:rsidRDefault="00BF743F">
      <w:r>
        <w:t>The argument proceeds in seven parts. Part II situates the problem within existing legal education scholarship, engaging with literature on online pedagogy, Universal Design for Instruction, Socratic method debates, desirable difficulties, the Dunning-Kruger effect, and adult learning theory. Part III formally defines operational and doctrinal knowledge and develops a taxonomy for distinguishing them. Part IV addresses equity implications, examining whether the Valley of Despair affects different student populations differently and explaining how the argument is compatible with diversity, equity, and inclusion commitments. Part V presents the theoretical framework: the Dunning-Kruger curve, three philosophical analogies (Tolkien’s Boromir, Maimonides’ excavation principle, Aquinas’s ordo doctrinae), and the argument that the Valley of Despair is a designed necessity. Part VI identifies specific instruments for performing the Socratic function in hybrid and asynchronous contexts. Part VII examines institutional pressures that incentivize accommodation and includes a dedicated subsection distinguishing legitimate accommodations (cultural, linguistic, disability-related) from problematic accommodations that reinforce the Dunning-Kruger dynamic. Part VIII concludes.</w:t>
      </w:r>
    </w:p>
    <w:p w14:paraId="7BE90D21" w14:textId="77777777" w:rsidR="003A2AA0" w:rsidRDefault="00BF743F" w:rsidP="006D4C51">
      <w:pPr>
        <w:pStyle w:val="Heading1"/>
      </w:pPr>
      <w:bookmarkStart w:id="2" w:name="X0cf9722620decd9bceda487ff01a657186bd685"/>
      <w:bookmarkEnd w:id="1"/>
      <w:r>
        <w:t xml:space="preserve">PART II: </w:t>
      </w:r>
      <w:r w:rsidRPr="006D4C51">
        <w:t>SITUATING</w:t>
      </w:r>
      <w:r>
        <w:t xml:space="preserve"> THE PROBLEM IN LEGAL EDUCATION SCHOLARSHIP</w:t>
      </w:r>
    </w:p>
    <w:p w14:paraId="36A9A340" w14:textId="77777777" w:rsidR="003A2AA0" w:rsidRDefault="00BF743F">
      <w:r>
        <w:t>This essay’s argument, that mid-career professionals’ operational fluency actively impedes doctrinal learning and that the Valley of Despair must be preserved rather than mitigated, intersects with several established conversations in legal education scholarship. This Part positions the essay’s contribution within those conversations, identifying points of agreement, disagreement, and extension.</w:t>
      </w:r>
    </w:p>
    <w:p w14:paraId="24E89642" w14:textId="77777777" w:rsidR="003A2AA0" w:rsidRPr="006D4C51" w:rsidRDefault="00BF743F" w:rsidP="006D4C51">
      <w:pPr>
        <w:pStyle w:val="Heading2"/>
      </w:pPr>
      <w:bookmarkStart w:id="3" w:name="Xd4ad0f8d965ab50c438ec5c75986556241b79a2"/>
      <w:r>
        <w:t>A. Online and Hybrid Legal Education: Effectiveness and Challenges</w:t>
      </w:r>
    </w:p>
    <w:p w14:paraId="09D92ACF" w14:textId="77777777" w:rsidR="003A2AA0" w:rsidRDefault="00BF743F">
      <w:r>
        <w:t>The expansion of online and hybrid J.D. programs has generated substantial scholarship examining their effectiveness, pedagogical challenges, and implications for professional formation. Early skepticism about online legal education’s capacity to replicate the rigor and socialization of residential programs.</w:t>
      </w:r>
      <w:r>
        <w:rPr>
          <w:rStyle w:val="FootnoteReference"/>
        </w:rPr>
        <w:footnoteReference w:id="10"/>
      </w:r>
      <w:r>
        <w:t xml:space="preserve"> Early skeptics questioned whether online programs could replicate the rigor of residential instruction.</w:t>
      </w:r>
      <w:r>
        <w:rPr>
          <w:rStyle w:val="FootnoteReference"/>
        </w:rPr>
        <w:footnoteReference w:id="11"/>
      </w:r>
      <w:r>
        <w:t xml:space="preserve"> These concerns have given way to more nuanced assessments recognizing that well-designed online programs can achieve learning outcomes comparable to residential programs when pedagogy is intentionally adapted to the modality</w:t>
      </w:r>
      <w:r>
        <w:rPr>
          <w:rStyle w:val="FootnoteReference"/>
        </w:rPr>
        <w:footnoteReference w:id="12"/>
      </w:r>
      <w:r>
        <w:t xml:space="preserve">, </w:t>
      </w:r>
      <w:r>
        <w:rPr>
          <w:rStyle w:val="FootnoteReference"/>
        </w:rPr>
        <w:footnoteReference w:id="13"/>
      </w:r>
      <w:r>
        <w:t xml:space="preserve"> when pedagogy is intentionally adapted to the modality.</w:t>
      </w:r>
      <w:r>
        <w:rPr>
          <w:rStyle w:val="FootnoteReference"/>
        </w:rPr>
        <w:footnoteReference w:id="14"/>
      </w:r>
    </w:p>
    <w:p w14:paraId="6B4C0FF4" w14:textId="77777777" w:rsidR="003A2AA0" w:rsidRDefault="00BF743F">
      <w:r>
        <w:t>Hess and Friedland’s work on online legal education emphasizes that effectiveness depends on intentional pedagogical design rather than simply replicating residential instruction in digital format</w:t>
      </w:r>
      <w:r>
        <w:rPr>
          <w:rStyle w:val="FootnoteReference"/>
        </w:rPr>
        <w:footnoteReference w:id="15"/>
      </w:r>
      <w:r>
        <w:t>. They identify key challenges including maintaining student engagement, facilitating meaningful interaction, providing timely feedback, and assessing higher-order thinking skills</w:t>
      </w:r>
      <w:r>
        <w:rPr>
          <w:rStyle w:val="FootnoteReference"/>
        </w:rPr>
        <w:footnoteReference w:id="16"/>
      </w:r>
      <w:r>
        <w:t>. Dutton’s research on online teaching in law schools similarly emphasizes the importance of active learning strategies, clear learning objectives, and frequent low-stakes assessment</w:t>
      </w:r>
      <w:r>
        <w:rPr>
          <w:rStyle w:val="FootnoteReference"/>
        </w:rPr>
        <w:footnoteReference w:id="17"/>
      </w:r>
      <w:r>
        <w:t>.</w:t>
      </w:r>
    </w:p>
    <w:p w14:paraId="600CEBCA" w14:textId="77777777" w:rsidR="003A2AA0" w:rsidRDefault="00BF743F">
      <w:r>
        <w:t xml:space="preserve">Wang’s comparative study of online and residential legal education found no significant differences in bar passage rates or employment outcomes when online programs employed evidence-based pedagogical practices </w:t>
      </w:r>
      <w:r>
        <w:rPr>
          <w:rStyle w:val="FootnoteReference"/>
        </w:rPr>
        <w:footnoteReference w:id="18"/>
      </w:r>
      <w:r>
        <w:t>. However, Wang also identified distinctive challenges in online contexts, including difficulty maintaining academic integrity, reduced opportunities for informal mentoring, and challenges in developing professional identity</w:t>
      </w:r>
      <w:r>
        <w:rPr>
          <w:rStyle w:val="FootnoteReference"/>
        </w:rPr>
        <w:footnoteReference w:id="19"/>
      </w:r>
      <w:r>
        <w:t>.</w:t>
      </w:r>
    </w:p>
    <w:p w14:paraId="6ABE90A7" w14:textId="77777777" w:rsidR="003A2AA0" w:rsidRDefault="00BF743F">
      <w:r>
        <w:t xml:space="preserve">This essay extends this literature by identifying a challenge specific to online programs that enroll mid-career professionals: the operational fluency problem. While existing scholarship addresses general challenges of online pedagogy (engagement, interaction, assessment), it has not systematically examined how prior professional experience in law-adjacent domains creates a distinctive pedagogical impediment. The mid-career professional’s operational fluency is not simply a matter of diverse prior knowledge (which adult learning theory treats as an asset </w:t>
      </w:r>
      <w:r>
        <w:rPr>
          <w:rStyle w:val="FootnoteReference"/>
        </w:rPr>
        <w:footnoteReference w:id="20"/>
      </w:r>
      <w:r>
        <w:t>) but a specific form of adjacent competence that actively obscures the doctrinal knowledge to be acquired.</w:t>
      </w:r>
    </w:p>
    <w:p w14:paraId="2BC04291" w14:textId="77777777" w:rsidR="003A2AA0" w:rsidRDefault="00BF743F" w:rsidP="006D4C51">
      <w:pPr>
        <w:pStyle w:val="Heading2"/>
      </w:pPr>
      <w:bookmarkStart w:id="4" w:name="Xce66c1119fb74cce6b4a17d0b95cea157108cb3"/>
      <w:bookmarkEnd w:id="3"/>
      <w:r>
        <w:t>B. Universal Design for Instruction and Accessibility</w:t>
      </w:r>
    </w:p>
    <w:p w14:paraId="09C67DBC" w14:textId="77777777" w:rsidR="003A2AA0" w:rsidRDefault="00BF743F">
      <w:r>
        <w:t>Universal Design for Instruction (UDI) scholarship argues that legal education should proactively design curricula to be accessible to diverse learners, including students with disabilities, rather than treating accessibility as an afterthought requiring individual accommodations.</w:t>
      </w:r>
      <w:r>
        <w:rPr>
          <w:rStyle w:val="FootnoteReference"/>
        </w:rPr>
        <w:footnoteReference w:id="21"/>
      </w:r>
      <w:r>
        <w:t xml:space="preserve"> Colker has extended this argument specifically to Socratic pedagogy,</w:t>
      </w:r>
      <w:r>
        <w:rPr>
          <w:rStyle w:val="FootnoteReference"/>
        </w:rPr>
        <w:footnoteReference w:id="22"/>
      </w:r>
      <w:r>
        <w:t xml:space="preserve"> and other scholars have developed frameworks for reaching all learners through universal design.</w:t>
      </w:r>
      <w:r>
        <w:rPr>
          <w:rStyle w:val="FootnoteReference"/>
        </w:rPr>
        <w:footnoteReference w:id="23"/>
      </w:r>
      <w:r>
        <w:t xml:space="preserve"> George’s influential work on UDI in legal education emphasizes that accessible design benefits all students, not only those with disabilities, by providing multiple means of representation, engagement, and expression</w:t>
      </w:r>
      <w:r>
        <w:rPr>
          <w:rStyle w:val="FootnoteReference"/>
        </w:rPr>
        <w:footnoteReference w:id="24"/>
      </w:r>
      <w:r>
        <w:t>.</w:t>
      </w:r>
    </w:p>
    <w:p w14:paraId="1ED24C99" w14:textId="77777777" w:rsidR="003A2AA0" w:rsidRDefault="00BF743F">
      <w:r>
        <w:t>Colker’s scholarship on disability rights in legal education argues that traditional legal pedagogy (particularly the Socratic method)creates unnecessary barriers for students with certain disabilities and that these barriers can be removed without compromising rigor</w:t>
      </w:r>
      <w:r>
        <w:rPr>
          <w:rStyle w:val="FootnoteReference"/>
        </w:rPr>
        <w:footnoteReference w:id="25"/>
      </w:r>
      <w:r>
        <w:t>. She advocates for providing students with advance notice of cold-call questions, allowing alternative forms of participation, and offering flexible assessment options</w:t>
      </w:r>
      <w:r>
        <w:rPr>
          <w:rStyle w:val="FootnoteReference"/>
        </w:rPr>
        <w:footnoteReference w:id="26"/>
      </w:r>
      <w:r>
        <w:t>.</w:t>
      </w:r>
    </w:p>
    <w:p w14:paraId="04D13F03" w14:textId="77777777" w:rsidR="003A2AA0" w:rsidRDefault="00BF743F">
      <w:r>
        <w:t>Recent scholarship on neurodivergent students in legal education extends this argument, emphasizing that traditional pedagogical practices (cold-calling, timed exams, emphasis on oral performance) privilege neurotypical students and create barriers for students with ADHD, autism spectrum disorders, anxiety disorders, and other conditions</w:t>
      </w:r>
      <w:r>
        <w:rPr>
          <w:rStyle w:val="FootnoteReference"/>
        </w:rPr>
        <w:footnoteReference w:id="27"/>
      </w:r>
      <w:r>
        <w:t xml:space="preserve">, </w:t>
      </w:r>
      <w:r>
        <w:rPr>
          <w:rStyle w:val="FootnoteReference"/>
        </w:rPr>
        <w:footnoteReference w:id="28"/>
      </w:r>
      <w:r>
        <w:t>. This literature advocates for flexibility in participation formats, extended time on assessments, and reduced emphasis on spontaneous oral performance</w:t>
      </w:r>
      <w:r>
        <w:rPr>
          <w:rStyle w:val="FootnoteReference"/>
        </w:rPr>
        <w:footnoteReference w:id="29"/>
      </w:r>
      <w:r>
        <w:t>.</w:t>
      </w:r>
    </w:p>
    <w:p w14:paraId="6A6AF6C2" w14:textId="77777777" w:rsidR="003A2AA0" w:rsidRDefault="00BF743F">
      <w:r>
        <w:t>This essay engages with UDI scholarship but distinguishes between two categories of accommodation that existing literature often conflates. The first category includes accommodations that remove barriers unrelated to learning objectives, providing materials in accessible formats, allowing alternative means of demonstrating knowledge, adjusting for cultural or linguistic differences, and accommodating disabilities. These accommodations are pedagogically legitimate and often required by law. The second category includes accommodations that bypass the designed difficulty itself, allowing students to avoid the Valley of Despair by building on operational fluency rather than displacing it. These accommodations are pedagogically problematic because they prevent the cognitive reorganization that is the learning objective.</w:t>
      </w:r>
    </w:p>
    <w:p w14:paraId="248951CF" w14:textId="77777777" w:rsidR="003A2AA0" w:rsidRDefault="00BF743F">
      <w:r>
        <w:t>The distinction is crucial because UDI scholarship’s emphasis on flexibility and multiple means of engagement can be misapplied to justify accommodations in the second category. Part VII.D develops this distinction in detail, providing concrete examples and practical decision-making criteria for faculty. The essay’s argument is not hostile to accessibility or UDI principles; rather, it argues that accessibility requires careful attention to which barriers are pedagogically necessary and which are not.</w:t>
      </w:r>
    </w:p>
    <w:p w14:paraId="43144A2A" w14:textId="77777777" w:rsidR="003A2AA0" w:rsidRDefault="00BF743F" w:rsidP="006D4C51">
      <w:pPr>
        <w:pStyle w:val="Heading2"/>
      </w:pPr>
      <w:bookmarkStart w:id="5" w:name="X90605c26e1aab35f87a729929fe12d59f69062f"/>
      <w:bookmarkEnd w:id="4"/>
      <w:r>
        <w:t>C. The Socratic Method: Debates, Critiques, and Alternatives</w:t>
      </w:r>
    </w:p>
    <w:p w14:paraId="7C6E1089" w14:textId="77777777" w:rsidR="003A2AA0" w:rsidRDefault="00BF743F">
      <w:r>
        <w:rPr>
          <w:i/>
          <w:iCs/>
        </w:rPr>
        <w:t>The Socratic Method</w:t>
      </w:r>
      <w:r>
        <w:t xml:space="preserve"> has been the subject of sustained debate in legal education scholarship for decades. Defenders argue that it develops critical thinking, teaches students to think on their feet, simulates the adversarial nature of legal practice, and creates a distinctive professional identity.</w:t>
      </w:r>
      <w:r>
        <w:rPr>
          <w:rStyle w:val="FootnoteReference"/>
        </w:rPr>
        <w:footnoteReference w:id="30"/>
      </w:r>
      <w:r>
        <w:t xml:space="preserve"> These defenders emphasize that the method’s confrontational format prepares students for the adversarial demands of practice.</w:t>
      </w:r>
      <w:r>
        <w:rPr>
          <w:rStyle w:val="FootnoteReference"/>
        </w:rPr>
        <w:footnoteReference w:id="31"/>
      </w:r>
      <w:r>
        <w:t xml:space="preserve"> Critics argue that it is pedagogically inefficient, creates unnecessary anxiety, privileges certain communication styles, perpetuates hierarchical power dynamics, and serves primarily to socialize students into professional norms rather than to teach substantive knowledge.</w:t>
      </w:r>
      <w:r>
        <w:rPr>
          <w:rStyle w:val="FootnoteReference"/>
        </w:rPr>
        <w:footnoteReference w:id="32"/>
      </w:r>
      <w:r>
        <w:t xml:space="preserve"> Critics emphasize that the method privileges certain communication styles and perpetuates hierarchical power dynamics,</w:t>
      </w:r>
      <w:r>
        <w:rPr>
          <w:rStyle w:val="FootnoteReference"/>
        </w:rPr>
        <w:footnoteReference w:id="33"/>
      </w:r>
      <w:r>
        <w:t xml:space="preserve"> and that its primary function is professional socialization rather than genuine knowledge transmission.</w:t>
      </w:r>
      <w:r>
        <w:rPr>
          <w:rStyle w:val="FootnoteReference"/>
        </w:rPr>
        <w:footnoteReference w:id="34"/>
      </w:r>
    </w:p>
    <w:p w14:paraId="257D4B76" w14:textId="77777777" w:rsidR="003A2AA0" w:rsidRDefault="00BF743F">
      <w:r>
        <w:t>Abrams’ empirical study of the Socratic method found that while students reported high anxiety levels, they also reported that the method improved their analytical skills and prepared them for practice</w:t>
      </w:r>
      <w:r>
        <w:rPr>
          <w:rStyle w:val="FootnoteReference"/>
        </w:rPr>
        <w:footnoteReference w:id="35"/>
      </w:r>
      <w:r>
        <w:t>. However, Abrams also found significant variation in how the method was implemented, with some professors using it primarily for intimidation and others using it as a genuine pedagogical tool</w:t>
      </w:r>
      <w:r>
        <w:rPr>
          <w:rStyle w:val="FootnoteReference"/>
        </w:rPr>
        <w:footnoteReference w:id="36"/>
      </w:r>
      <w:r>
        <w:t>.</w:t>
      </w:r>
    </w:p>
    <w:p w14:paraId="52C4B2BA" w14:textId="77777777" w:rsidR="003A2AA0" w:rsidRDefault="00BF743F">
      <w:r>
        <w:t>Madison’s critique of the Socratic method emphasizes its historical role in maintaining barriers to legal education for women, racial minorities, and first-generation students</w:t>
      </w:r>
      <w:r>
        <w:rPr>
          <w:rStyle w:val="FootnoteReference"/>
        </w:rPr>
        <w:footnoteReference w:id="37"/>
      </w:r>
      <w:r>
        <w:t>. She argues that the method privileges students who are comfortable with confrontational dialogue, spontaneous oral performance, and public risk-taking, characteristics correlated with privileged social backgrounds</w:t>
      </w:r>
      <w:r>
        <w:rPr>
          <w:rStyle w:val="FootnoteReference"/>
        </w:rPr>
        <w:footnoteReference w:id="38"/>
      </w:r>
      <w:r>
        <w:t>. Madison advocates for alternative pedagogical approaches including collaborative learning, problem-based learning, and reflective writing</w:t>
      </w:r>
      <w:r>
        <w:rPr>
          <w:rStyle w:val="FootnoteReference"/>
        </w:rPr>
        <w:footnoteReference w:id="39"/>
      </w:r>
      <w:r>
        <w:t>.</w:t>
      </w:r>
    </w:p>
    <w:p w14:paraId="5F0960A3" w14:textId="77777777" w:rsidR="003A2AA0" w:rsidRDefault="00BF743F">
      <w:r>
        <w:t>Silver’s work on the Socratic method distinguishes between its use as a teaching tool and its use as a socialization mechanism</w:t>
      </w:r>
      <w:r>
        <w:rPr>
          <w:rStyle w:val="FootnoteReference"/>
        </w:rPr>
        <w:footnoteReference w:id="40"/>
      </w:r>
      <w:r>
        <w:t>. He argues that the method’s pedagogical value lies in forcing students to articulate and defend positions, identify weaknesses in their own reasoning, and recognize complexity, functions that can be performed through other pedagogical instruments</w:t>
      </w:r>
      <w:r>
        <w:rPr>
          <w:rStyle w:val="FootnoteReference"/>
        </w:rPr>
        <w:footnoteReference w:id="41"/>
      </w:r>
      <w:r>
        <w:t>. However, Silver also argues that the method’s socialization function, teaching students to perform under pressure, respond to challenges, and maintain composure, is valuable for professional formation even if it is not strictly necessary for learning doctrine</w:t>
      </w:r>
      <w:r>
        <w:rPr>
          <w:rStyle w:val="FootnoteReference"/>
        </w:rPr>
        <w:footnoteReference w:id="42"/>
      </w:r>
      <w:r>
        <w:t>.</w:t>
      </w:r>
    </w:p>
    <w:p w14:paraId="05CD299B" w14:textId="77777777" w:rsidR="003A2AA0" w:rsidRDefault="00BF743F">
      <w:r>
        <w:t>This essay contributes to this debate by arguing that the Socratic method’s essential function is not the cold-call itself but the production of the Valley of Despair, the moment when the student’s existing framework is revealed as inadequate. For traditional residential students, the cold-call is an effective instrument for producing this moment. For mid-career professionals with operational fluency, the cold-call may be insufficient because they can perform adequately using operational knowledge without recognizing its inadequacy. Part VI identifies alternative instruments for producing the Valley in hybrid and asynchronous contexts, including pre-recorded case analysis with embedded errors, structured discussion boards with Socratic sequencing, and asynchronous cold-calls via video response.</w:t>
      </w:r>
    </w:p>
    <w:p w14:paraId="2AC1D15D" w14:textId="77777777" w:rsidR="003A2AA0" w:rsidRDefault="00BF743F">
      <w:r>
        <w:t>The essay also engages with critiques of the Socratic method’s exclusionary effects. Part IV addresses equity implications directly, examining whether the Valley affects different populations differently and explaining how to maintain the designed difficulty while removing unnecessary barriers. The argument is that the Valley itself is pedagogically necessary, but the specific instrument for producing it (the live cold-call) is not, and alternative instruments may be more equitable.</w:t>
      </w:r>
    </w:p>
    <w:p w14:paraId="68899D25" w14:textId="77777777" w:rsidR="003A2AA0" w:rsidRDefault="00BF743F" w:rsidP="006D4C51">
      <w:pPr>
        <w:pStyle w:val="Heading2"/>
      </w:pPr>
      <w:bookmarkStart w:id="6" w:name="Xeacbcf27ddad875955475a999365521ccb5d30f"/>
      <w:bookmarkEnd w:id="5"/>
      <w:r>
        <w:t>D. Desirable Difficulties and Cognitive Load Theory</w:t>
      </w:r>
    </w:p>
    <w:p w14:paraId="025E95C6" w14:textId="77777777" w:rsidR="003A2AA0" w:rsidRDefault="00BF743F">
      <w:r>
        <w:t>Cognitive science research on “desirable difficulties” provides empirical support for the essay’s central claim that the Valley of Despair is pedagogically necessary.</w:t>
      </w:r>
      <w:r>
        <w:rPr>
          <w:rStyle w:val="FootnoteReference"/>
        </w:rPr>
        <w:footnoteReference w:id="43"/>
      </w:r>
      <w:r>
        <w:t xml:space="preserve"> This scholarship draws on cognitive science findings to argue that difficulty can be a feature rather than a bug of effective instruction,</w:t>
      </w:r>
      <w:r>
        <w:rPr>
          <w:rStyle w:val="FootnoteReference"/>
        </w:rPr>
        <w:footnoteReference w:id="44"/>
      </w:r>
      <w:r>
        <w:t xml:space="preserve"> and that premature smoothing of the learning path undermines long-term retention.</w:t>
      </w:r>
      <w:r>
        <w:rPr>
          <w:rStyle w:val="FootnoteReference"/>
        </w:rPr>
        <w:footnoteReference w:id="45"/>
      </w:r>
      <w:r>
        <w:t xml:space="preserve"> Bjork and Bjork’s foundational work demonstrates that learning conditions that introduce difficulty, spacing, interleaving, variation, testing, produce better long-term retention and transfer than conditions that maximize immediate performance</w:t>
      </w:r>
      <w:r>
        <w:rPr>
          <w:rStyle w:val="FootnoteReference"/>
        </w:rPr>
        <w:footnoteReference w:id="46"/>
      </w:r>
      <w:r>
        <w:t>. The mechanism is that desirable difficulties require learners to engage in effortful retrieval and reconstruction, which strengthens memory traces and promotes deeper processing</w:t>
      </w:r>
      <w:r>
        <w:rPr>
          <w:rStyle w:val="FootnoteReference"/>
        </w:rPr>
        <w:footnoteReference w:id="47"/>
      </w:r>
      <w:r>
        <w:t>.</w:t>
      </w:r>
    </w:p>
    <w:p w14:paraId="01A46DAD" w14:textId="77777777" w:rsidR="003A2AA0" w:rsidRDefault="00BF743F">
      <w:r>
        <w:t>Schulze’s application of desirable difficulties to legal education argues that traditional legal pedagogy, particularly the case method and Socratic dialogue, incorporates several desirable difficulties including spacing (cases are distributed across weeks), interleaving (multiple doctrines are taught simultaneously), and testing (cold-calls function as retrieval practice)</w:t>
      </w:r>
      <w:r>
        <w:rPr>
          <w:rStyle w:val="FootnoteReference"/>
        </w:rPr>
        <w:footnoteReference w:id="48"/>
      </w:r>
      <w:r>
        <w:t>. However, Schulze also notes that many contemporary pedagogical reforms, providing detailed outlines, offering practice exams with model answers, allowing open-book exams, reduce desirable difficulties in ways that may improve student satisfaction while reducing long-term learning</w:t>
      </w:r>
      <w:r>
        <w:rPr>
          <w:rStyle w:val="FootnoteReference"/>
        </w:rPr>
        <w:footnoteReference w:id="49"/>
      </w:r>
      <w:r>
        <w:t>.</w:t>
      </w:r>
    </w:p>
    <w:p w14:paraId="1C1047CA" w14:textId="77777777" w:rsidR="003A2AA0" w:rsidRDefault="00BF743F">
      <w:r>
        <w:t>Cognitive load theory provides a complementary framework for understanding when difficulty is desirable and when it is counterproductive.</w:t>
      </w:r>
      <w:r>
        <w:rPr>
          <w:rStyle w:val="FootnoteReference"/>
        </w:rPr>
        <w:footnoteReference w:id="50"/>
      </w:r>
      <w:r>
        <w:t xml:space="preserve"> Sweller’s cognitive load framework provides the conceptual vocabulary for distinguishing productive from unproductive difficulty.</w:t>
      </w:r>
      <w:r>
        <w:rPr>
          <w:rStyle w:val="FootnoteReference"/>
        </w:rPr>
        <w:footnoteReference w:id="51"/>
      </w:r>
      <w:r>
        <w:t xml:space="preserve"> Sweller’s work distinguishes between intrinsic cognitive load (difficulty inherent in the material), extraneous cognitive load (difficulty created by poor instructional design), and germane cognitive load (difficulty that promotes learning by requiring effortful processing)</w:t>
      </w:r>
      <w:r>
        <w:rPr>
          <w:rStyle w:val="FootnoteReference"/>
        </w:rPr>
        <w:footnoteReference w:id="52"/>
      </w:r>
      <w:r>
        <w:t>. Effective instruction minimizes extraneous load while optimizing germane load</w:t>
      </w:r>
      <w:r>
        <w:rPr>
          <w:rStyle w:val="FootnoteReference"/>
        </w:rPr>
        <w:footnoteReference w:id="53"/>
      </w:r>
      <w:r>
        <w:t>.</w:t>
      </w:r>
    </w:p>
    <w:p w14:paraId="379ED4DD" w14:textId="77777777" w:rsidR="003A2AA0" w:rsidRDefault="00BF743F">
      <w:r>
        <w:t>This essay applies these frameworks to the operational fluency problem. The Valley of Despair represents a desirable difficulty: it requires the student to recognize that her existing framework is inadequate and to engage in the effortful cognitive work of constructing a new framework. Accommodating operational fluency, allowing the student to build on her existing framework rather than replacing it, eliminates this desirable difficulty. The result is that the student acquires doctrinal vocabulary without doctrinal knowledge, which creates the illusion of learning while the actual learning has not occurred.</w:t>
      </w:r>
    </w:p>
    <w:p w14:paraId="6358E9C4" w14:textId="77777777" w:rsidR="003A2AA0" w:rsidRDefault="00BF743F">
      <w:r>
        <w:t>However, the essay also recognizes that not all difficulty is desirable. Extraneous cognitive load, difficulty created by poor instructional design, inaccessible materials, unclear expectations, or unnecessary barriers, does not promote learning and should be minimized. Part VII.D’s distinction between legitimate and problematic accommodation is grounded in this framework: legitimate accommodations remove extraneous load (barriers unrelated to learning objectives), while problematic accommodations remove germane load (the designed difficulty itself).</w:t>
      </w:r>
    </w:p>
    <w:p w14:paraId="650CE8FB" w14:textId="77777777" w:rsidR="003A2AA0" w:rsidRDefault="00BF743F" w:rsidP="006D4C51">
      <w:pPr>
        <w:pStyle w:val="Heading2"/>
      </w:pPr>
      <w:bookmarkStart w:id="7" w:name="X30b680c024b4e252a2cdc0e8d699e5658556f89"/>
      <w:bookmarkEnd w:id="6"/>
      <w:r>
        <w:t>E. The Dunning-Kruger Effect in Educational Contexts</w:t>
      </w:r>
    </w:p>
    <w:p w14:paraId="3B52CAC9" w14:textId="77777777" w:rsidR="003A2AA0" w:rsidRDefault="00BF743F">
      <w:r>
        <w:t>The Dunning-Kruger effect, the phenomenon whereby individuals with low competence in a domain systematically overestimate their competence, provides the psychological foundation for this essay’s argument.</w:t>
      </w:r>
      <w:r>
        <w:rPr>
          <w:rStyle w:val="FootnoteReference"/>
        </w:rPr>
        <w:footnoteReference w:id="54"/>
      </w:r>
      <w:r>
        <w:t xml:space="preserve"> The original Dunning-Kruger research demonstrated empirically that low-competence individuals systematically overestimate their own performance.</w:t>
      </w:r>
      <w:r>
        <w:rPr>
          <w:rStyle w:val="FootnoteReference"/>
        </w:rPr>
        <w:footnoteReference w:id="55"/>
      </w:r>
      <w:r>
        <w:t xml:space="preserve"> Kruger and Dunning’s original research demonstrated that individuals in the bottom quartile of performance on tests of grammar, logic, and humor rated their performance as above average, while top performers slightly underestimated their performance </w:t>
      </w:r>
      <w:r>
        <w:rPr>
          <w:rStyle w:val="FootnoteReference"/>
        </w:rPr>
        <w:footnoteReference w:id="56"/>
      </w:r>
      <w:r>
        <w:t>. Subsequent research has replicated this effect across numerous domains including academic performance, professional skills, and metacognitive abilities.</w:t>
      </w:r>
      <w:r>
        <w:rPr>
          <w:rStyle w:val="FootnoteReference"/>
        </w:rPr>
        <w:footnoteReference w:id="57"/>
      </w:r>
      <w:r>
        <w:t xml:space="preserve"> Subsequent research has confirmed and extended this finding across diverse domains.</w:t>
      </w:r>
      <w:r>
        <w:rPr>
          <w:rStyle w:val="FootnoteReference"/>
        </w:rPr>
        <w:footnoteReference w:id="58"/>
      </w:r>
    </w:p>
    <w:p w14:paraId="723A668B" w14:textId="77777777" w:rsidR="003A2AA0" w:rsidRDefault="00BF743F">
      <w:r>
        <w:t>The mechanism underlying the Dunning-Kruger effect is metacognitive: the knowledge required to perform well in a domain is the same knowledge required to recognize one’s own incompetence</w:t>
      </w:r>
      <w:r>
        <w:rPr>
          <w:rStyle w:val="FootnoteReference"/>
        </w:rPr>
        <w:footnoteReference w:id="59"/>
      </w:r>
      <w:r>
        <w:t>. Individuals who lack domain knowledge therefore lack the metacognitive tools to assess their own performance accurately</w:t>
      </w:r>
      <w:r>
        <w:rPr>
          <w:rStyle w:val="FootnoteReference"/>
        </w:rPr>
        <w:footnoteReference w:id="60"/>
      </w:r>
      <w:r>
        <w:t>. Importantly, the effect is not simply overconfidence; it is specifically the combination of low competence and high confidence that creates the characteristic peak at the left side of the competence-confidence curve</w:t>
      </w:r>
      <w:r>
        <w:rPr>
          <w:rStyle w:val="FootnoteReference"/>
        </w:rPr>
        <w:footnoteReference w:id="61"/>
      </w:r>
      <w:r>
        <w:t>.</w:t>
      </w:r>
    </w:p>
    <w:p w14:paraId="457CE76B" w14:textId="77777777" w:rsidR="003A2AA0" w:rsidRDefault="00BF743F">
      <w:r>
        <w:t>Educational research has examined the Dunning-Kruger effect in academic contexts, finding that students with weak foundational knowledge often express high confidence in their understanding, resist corrective feedback, and attribute poor performance to external factors rather than knowledge gaps.</w:t>
      </w:r>
      <w:r>
        <w:rPr>
          <w:rStyle w:val="FootnoteReference"/>
        </w:rPr>
        <w:footnoteReference w:id="62"/>
      </w:r>
      <w:r>
        <w:t xml:space="preserve"> Recent scholarship on metacognitive training in professional education supports targeted intervention to accelerate this awareness.</w:t>
      </w:r>
      <w:r>
        <w:rPr>
          <w:rStyle w:val="FootnoteReference"/>
        </w:rPr>
        <w:footnoteReference w:id="63"/>
      </w:r>
      <w:r>
        <w:t xml:space="preserve"> Interventions that improve metacognitive awareness, including self-assessment exercises, peer review, and explicit instruction in self-monitoring strategies, can reduce the effect.</w:t>
      </w:r>
      <w:r>
        <w:rPr>
          <w:rStyle w:val="FootnoteReference"/>
        </w:rPr>
        <w:footnoteReference w:id="64"/>
      </w:r>
      <w:r>
        <w:t xml:space="preserve"> This research has direct implications for how legal educators structure feedback and self-assessment opportunities.</w:t>
      </w:r>
      <w:r>
        <w:rPr>
          <w:rStyle w:val="FootnoteReference"/>
        </w:rPr>
        <w:footnoteReference w:id="65"/>
      </w:r>
    </w:p>
    <w:p w14:paraId="63C6D68D" w14:textId="77777777" w:rsidR="003A2AA0" w:rsidRDefault="00BF743F">
      <w:r>
        <w:t>This essay extends this literature by identifying a specific population for whom the Dunning-Kruger effect is particularly pronounced: mid-career professionals with operational fluency in law-adjacent domains. Ray’s operational fluency creates a distinctive form of overconfidence because it is grounded in genuine professional accomplishment. He has successfully negotiated contracts, which provides experiential evidence that he understands contracts. The problem is that operational success does not require doctrinal knowledge, and Ray’s operational fluency prevents him from recognizing this distinction.</w:t>
      </w:r>
    </w:p>
    <w:p w14:paraId="5E21C187" w14:textId="77777777" w:rsidR="003A2AA0" w:rsidRDefault="00BF743F">
      <w:r>
        <w:t>The essay argues that the Valley of Despair, the moment when confidence drops as competence begins to increase, is the pedagogical mechanism for correcting the Dunning-Kruger effect. The Valley occurs when the student’s existing framework is revealed as inadequate, which creates the metacognitive awareness necessary for genuine learning. Accommodating the Dunning-Kruger dynamic, allowing the student to maintain high confidence by building on operational fluency, prevents this correction and sends the student into practice with the overconfidence intact.</w:t>
      </w:r>
    </w:p>
    <w:p w14:paraId="500A3DDF" w14:textId="77777777" w:rsidR="003A2AA0" w:rsidRDefault="00BF743F" w:rsidP="006D4C51">
      <w:pPr>
        <w:pStyle w:val="Heading2"/>
      </w:pPr>
      <w:bookmarkStart w:id="8" w:name="X727b93ea6e9eae37c7e9fb4095a443e41f02fbd"/>
      <w:bookmarkEnd w:id="7"/>
      <w:r>
        <w:t>F. Adult Learners and Mid-Career Professional Students</w:t>
      </w:r>
    </w:p>
    <w:p w14:paraId="33F46815" w14:textId="77777777" w:rsidR="003A2AA0" w:rsidRDefault="00BF743F">
      <w:r>
        <w:t>Adult learning theory (andragogy) emphasizes that adult learners differ from traditional students in several respects: they are self-directed, bring substantial life experience, are motivated by immediate applicability, and prefer problem-centered rather than subject-centered learning.</w:t>
      </w:r>
      <w:r>
        <w:rPr>
          <w:rStyle w:val="FootnoteReference"/>
        </w:rPr>
        <w:footnoteReference w:id="66"/>
      </w:r>
      <w:r>
        <w:t xml:space="preserve"> Adult learners bring substantial life experience that enriches the educational setting.</w:t>
      </w:r>
      <w:r>
        <w:rPr>
          <w:rStyle w:val="FootnoteReference"/>
        </w:rPr>
        <w:footnoteReference w:id="67"/>
      </w:r>
      <w:r>
        <w:t xml:space="preserve"> Knowles’ foundational work on andragogy argues that effective instruction for adults should leverage their experience, provide autonomy, connect learning to practical problems, and respect their status as experienced professionals</w:t>
      </w:r>
      <w:r>
        <w:rPr>
          <w:rStyle w:val="FootnoteReference"/>
        </w:rPr>
        <w:footnoteReference w:id="68"/>
      </w:r>
      <w:r>
        <w:t>.</w:t>
      </w:r>
    </w:p>
    <w:p w14:paraId="4249BFD3" w14:textId="77777777" w:rsidR="003A2AA0" w:rsidRDefault="00BF743F">
      <w:r>
        <w:t>Legal education scholarship on adult learners and mid-career professional students has generally adopted this framework, arguing that online J.D. programs should be designed to accommodate adult learners’ distinctive needs and leverage their professional experience as a pedagogical asset.</w:t>
      </w:r>
      <w:r>
        <w:rPr>
          <w:rStyle w:val="FootnoteReference"/>
        </w:rPr>
        <w:footnoteReference w:id="69"/>
      </w:r>
      <w:r>
        <w:t xml:space="preserve"> Scholars have found that experiential learning and problem-based approaches resonate particularly well with adult learners who can connect new material to real contexts.</w:t>
      </w:r>
      <w:r>
        <w:rPr>
          <w:rStyle w:val="FootnoteReference"/>
        </w:rPr>
        <w:footnoteReference w:id="70"/>
      </w:r>
      <w:r>
        <w:t xml:space="preserve"> Peer coaching and collaborative inquiry further leverage the distinctive expertise mid-career students bring.</w:t>
      </w:r>
      <w:r>
        <w:rPr>
          <w:rStyle w:val="FootnoteReference"/>
        </w:rPr>
        <w:footnoteReference w:id="71"/>
      </w:r>
      <w:r>
        <w:t xml:space="preserve"> This literature emphasizes that adult learners are highly motivated, bring valuable real-world perspectives, and can connect doctrinal concepts to practical applications more readily than traditional students</w:t>
      </w:r>
      <w:r>
        <w:rPr>
          <w:rStyle w:val="FootnoteReference"/>
        </w:rPr>
        <w:footnoteReference w:id="72"/>
      </w:r>
      <w:r>
        <w:t>.</w:t>
      </w:r>
    </w:p>
    <w:p w14:paraId="2250E575" w14:textId="77777777" w:rsidR="003A2AA0" w:rsidRDefault="00BF743F">
      <w:r>
        <w:t>This essay challenges a key assumption in this literature: that adult learners’ professional experience is uniformly beneficial for legal learning. The essay argues that while professional experience can be an asset in some contexts (e.g., understanding business realities in a Corporations course), it can be a liability in others (e.g., when operational fluency in contract negotiation obscures the need for doctrinal knowledge of contract law). The distinction depends on whether the prior experience is in the target domain (law) or an adjacent domain (law-adjacent professional practice).</w:t>
      </w:r>
    </w:p>
    <w:p w14:paraId="147F913F" w14:textId="77777777" w:rsidR="003A2AA0" w:rsidRDefault="00BF743F">
      <w:r>
        <w:t>The essay also challenges andragogy’s emphasis on building on learners’ existing knowledge. For adult learners whose existing knowledge is in an adjacent domain, building on that knowledge reinforces the operational framework when the pedagogical objective is to replace it with a doctrinal framework. The essay argues that effective instruction for mid-career professionals with operational fluency requires displacing rather than building on their existing knowledge, a pedagogical move that andragogy does not anticipate and that adult learners often resist.</w:t>
      </w:r>
    </w:p>
    <w:p w14:paraId="7CF3EC42" w14:textId="77777777" w:rsidR="003A2AA0" w:rsidRDefault="00BF743F">
      <w:r>
        <w:t>This is not to say that andragogical principles are irrelevant for legal education. Adult learners’ self-direction, motivation, and desire for practical applicability are genuine assets. However, these assets must be deployed in service of doctrinal learning rather than as substitutes for it. Part VI’s pedagogical instruments are designed to leverage adult learners’ strengths (self-direction, motivation, professional experience) while producing the Valley of Despair that displaces operational fluency.</w:t>
      </w:r>
    </w:p>
    <w:p w14:paraId="34BBA008" w14:textId="77777777" w:rsidR="003A2AA0" w:rsidRDefault="00BF743F" w:rsidP="006D4C51">
      <w:pPr>
        <w:pStyle w:val="Heading2"/>
      </w:pPr>
      <w:bookmarkStart w:id="9" w:name="g.-positioning-this-essays-contribution"/>
      <w:bookmarkEnd w:id="8"/>
      <w:r>
        <w:t>G. Positioning This Essay’s Contribution</w:t>
      </w:r>
    </w:p>
    <w:p w14:paraId="1CF716B8" w14:textId="77777777" w:rsidR="003A2AA0" w:rsidRDefault="00BF743F">
      <w:r>
        <w:t>This essay makes three distinctive contributions to legal education scholarship:</w:t>
      </w:r>
    </w:p>
    <w:p w14:paraId="4E2F5314" w14:textId="77777777" w:rsidR="003A2AA0" w:rsidRDefault="00BF743F">
      <w:r>
        <w:t>First, it identifies and theorizes a specific pedagogical challenge that has not been systematically addressed in existing literature: the operational fluency problem. While scholarship on online legal education, adult learners, and the Socratic method has examined various challenges in teaching mid-career professionals, it has not recognized that operational fluency in law-adjacent domains creates a distinctive impediment to doctrinal learning. The essay names this phenomenon, explains its mechanism (the Dunning-Kruger effect combined with adjacent competence), and argues that it requires pedagogical strategies distinct from those used for traditional students.</w:t>
      </w:r>
    </w:p>
    <w:p w14:paraId="089315FD" w14:textId="77777777" w:rsidR="003A2AA0" w:rsidRDefault="00BF743F">
      <w:r>
        <w:t>Second, it integrates cognitive science research (desirable difficulties, Dunning-Kruger effect, cognitive load theory) with philosophical frameworks (Maimonides, Aquinas, Tolkien) to provide both empirical and normative justification for preserving the Valley of Despair. Existing legal education scholarship has drawn on cognitive science to critique traditional pedagogy</w:t>
      </w:r>
      <w:r>
        <w:rPr>
          <w:rStyle w:val="FootnoteReference"/>
        </w:rPr>
        <w:footnoteReference w:id="73"/>
      </w:r>
      <w:r>
        <w:t xml:space="preserve"> and to show that learner-centered reforms produce better outcomes,</w:t>
      </w:r>
      <w:r>
        <w:rPr>
          <w:rStyle w:val="FootnoteReference"/>
        </w:rPr>
        <w:footnoteReference w:id="74"/>
      </w:r>
      <w:r>
        <w:t xml:space="preserve"> or to draw on philosophical frameworks to defend traditional practices and justify pedagogical difficulty.</w:t>
      </w:r>
      <w:r>
        <w:rPr>
          <w:rStyle w:val="FootnoteReference"/>
        </w:rPr>
        <w:footnoteReference w:id="75"/>
      </w:r>
      <w:r>
        <w:t xml:space="preserve"> Some scholars integrate both to argue that a challenging but well-designed learning environment is both empirically effective and normatively required.</w:t>
      </w:r>
      <w:r>
        <w:rPr>
          <w:rStyle w:val="FootnoteReference"/>
        </w:rPr>
        <w:footnoteReference w:id="76"/>
      </w:r>
      <w:r>
        <w:t xml:space="preserve"> The existing literature has not systematically integrated both to argue that a specific pedagogical difficulty is both empirically effective and normatively necessary.</w:t>
      </w:r>
    </w:p>
    <w:p w14:paraId="0DBF37B8" w14:textId="77777777" w:rsidR="003A2AA0" w:rsidRDefault="00BF743F">
      <w:r>
        <w:t>Third, it distinguishes between legitimate and problematic accommodation in a way that existing literature has not. UDI scholarship emphasizes flexibility and multiple means of engagement but does not provide criteria for distinguishing accommodations that remove unnecessary barriers from accommodations that bypass designed difficulties. Socratic method scholarship critiques the method’s exclusionary effects but does not distinguish between exclusion based on unnecessary barriers and exclusion based on failure to meet pedagogical objectives. This essay provides a framework for making these distinctions, grounded in the difference between extraneous and germane cognitive load.</w:t>
      </w:r>
    </w:p>
    <w:p w14:paraId="7BC95925" w14:textId="77777777" w:rsidR="003A2AA0" w:rsidRDefault="00BF743F">
      <w:r>
        <w:t>The essay’s argument is not that existing scholarship is wrong but that it is incomplete. Online legal education can be effective, but effectiveness requires recognizing and addressing the operational fluency problem. UDI principles are valuable, but they must be applied with attention to which barriers are pedagogically necessary. The Socratic method has exclusionary effects, but some of those effects are the result of unnecessary barriers (the live cold-call’s privileging of certain communication styles) while others are the result of pedagogical necessity (the requirement that students demonstrate doctrinal knowledge). Adult learning theory provides valuable insights, but it must be adapted to recognize that adult learners’ prior experience can be a liability as well as an asset.</w:t>
      </w:r>
    </w:p>
    <w:p w14:paraId="766DCF55" w14:textId="77777777" w:rsidR="003A2AA0" w:rsidRDefault="00BF743F">
      <w:r>
        <w:t>The following Parts develop these contributions in detail. Part III defines operational and doctrinal knowledge formally. Part IV addresses equity implications. Part V presents the theoretical framework for the Valley of Despair. Part VI identifies pedagogical instruments for hybrid contexts. Part VII examines institutional pressures and distinguishes legitimate from problematic accommodation.</w:t>
      </w:r>
    </w:p>
    <w:p w14:paraId="6DB7E97C" w14:textId="77777777" w:rsidR="003A2AA0" w:rsidRDefault="00BF743F" w:rsidP="006D4C51">
      <w:pPr>
        <w:pStyle w:val="Heading1"/>
      </w:pPr>
      <w:bookmarkStart w:id="10" w:name="X365cc6c463e156f8a2dd221c4406dd41b10a443"/>
      <w:bookmarkEnd w:id="2"/>
      <w:bookmarkEnd w:id="9"/>
      <w:r>
        <w:t>PART III: DEFINING OPERATIONAL AND DOCTRINAL KNOWLEDGE</w:t>
      </w:r>
    </w:p>
    <w:p w14:paraId="438532C2" w14:textId="77777777" w:rsidR="003A2AA0" w:rsidRDefault="00BF743F">
      <w:r>
        <w:t>The distinction between operational and doctrinal knowledge is central to this essay’s argument, yet it has been illustrated rather than formally defined. This Part provides formal definitions, develops a taxonomy of legal knowledge types, offers examples across legal domains, and discusses assessment implications.</w:t>
      </w:r>
    </w:p>
    <w:p w14:paraId="67F907ED" w14:textId="77777777" w:rsidR="003A2AA0" w:rsidRDefault="00BF743F" w:rsidP="006D4C51">
      <w:pPr>
        <w:pStyle w:val="Heading2"/>
      </w:pPr>
      <w:bookmarkStart w:id="11" w:name="a.-formal-definitions"/>
      <w:r>
        <w:t>A. Formal Definitions</w:t>
      </w:r>
    </w:p>
    <w:p w14:paraId="57B20BED" w14:textId="77777777" w:rsidR="003A2AA0" w:rsidRDefault="00BF743F">
      <w:r>
        <w:t>Operational knowledge is knowledge of how to perform law-adjacent tasks successfully without understanding the legal principles that govern those tasks. It is procedural, context-specific, and acquired through professional practice. It enables the practitioner to navigate legal processes, use legal instruments, and achieve practical objectives, but it does not include understanding of why the legal system produces the outcomes it produces or how legal doctrine structures the domain.</w:t>
      </w:r>
    </w:p>
    <w:p w14:paraId="64807476" w14:textId="77777777" w:rsidR="003A2AA0" w:rsidRDefault="00BF743F">
      <w:r>
        <w:t>Operational knowledge has four defining characteristics:</w:t>
      </w:r>
    </w:p>
    <w:p w14:paraId="2F00CC41" w14:textId="77777777" w:rsidR="003A2AA0" w:rsidRDefault="00BF743F">
      <w:pPr>
        <w:numPr>
          <w:ilvl w:val="0"/>
          <w:numId w:val="3"/>
        </w:numPr>
      </w:pPr>
      <w:r>
        <w:t>Procedural orientation: It consists of knowing how to do things (negotiate a contract, file a motion, conduct due diligence) rather than knowing why those things work or what legal principles govern them.</w:t>
      </w:r>
    </w:p>
    <w:p w14:paraId="4CA896FB" w14:textId="77777777" w:rsidR="003A2AA0" w:rsidRDefault="00BF743F">
      <w:pPr>
        <w:numPr>
          <w:ilvl w:val="0"/>
          <w:numId w:val="3"/>
        </w:numPr>
      </w:pPr>
      <w:r>
        <w:t>Context-specificity: It is tied to particular professional contexts, industries, or transaction types. A supply chain director knows how to negotiate force majeure clauses in supply contracts but may not understand force majeure doctrine generally.</w:t>
      </w:r>
    </w:p>
    <w:p w14:paraId="7AB4EBF4" w14:textId="77777777" w:rsidR="003A2AA0" w:rsidRDefault="00BF743F">
      <w:pPr>
        <w:numPr>
          <w:ilvl w:val="0"/>
          <w:numId w:val="3"/>
        </w:numPr>
      </w:pPr>
      <w:r>
        <w:t>Practice-derived: It is acquired through professional experience, mentorship, and observation rather than through systematic study of legal principles.</w:t>
      </w:r>
    </w:p>
    <w:p w14:paraId="09CCE881" w14:textId="77777777" w:rsidR="003A2AA0" w:rsidRDefault="00BF743F">
      <w:pPr>
        <w:numPr>
          <w:ilvl w:val="0"/>
          <w:numId w:val="3"/>
        </w:numPr>
      </w:pPr>
      <w:r>
        <w:t>Outcome-focused: It is validated by practical success (the contract was signed, the deal closed, the dispute was resolved) rather than by doctrinal correctness.</w:t>
      </w:r>
    </w:p>
    <w:p w14:paraId="15004FE4" w14:textId="77777777" w:rsidR="003A2AA0" w:rsidRDefault="00BF743F">
      <w:r>
        <w:t>Doctrinal knowledge is knowledge of the legal principles, rules, policies, and analytical frameworks that structure a legal domain. It is conceptual, generalizable, and acquired through systematic study. It enables the lawyer to explain why the legal system produces particular outcomes, predict how doctrine will apply to novel situations, identify when existing doctrine is inadequate, and construct legal arguments that courts will recognize as valid.</w:t>
      </w:r>
    </w:p>
    <w:p w14:paraId="4805AC0E" w14:textId="77777777" w:rsidR="003A2AA0" w:rsidRDefault="00BF743F">
      <w:r>
        <w:t>Doctrinal knowledge has four defining characteristics:</w:t>
      </w:r>
    </w:p>
    <w:p w14:paraId="1CA660D7" w14:textId="77777777" w:rsidR="003A2AA0" w:rsidRDefault="00BF743F">
      <w:pPr>
        <w:numPr>
          <w:ilvl w:val="0"/>
          <w:numId w:val="4"/>
        </w:numPr>
      </w:pPr>
      <w:r>
        <w:t>Conceptual orientation: It consists of knowing why legal rules exist, what policies they serve, how they relate to other rules, and what principles unify them.</w:t>
      </w:r>
    </w:p>
    <w:p w14:paraId="35DDE415" w14:textId="77777777" w:rsidR="003A2AA0" w:rsidRDefault="00BF743F">
      <w:pPr>
        <w:numPr>
          <w:ilvl w:val="0"/>
          <w:numId w:val="4"/>
        </w:numPr>
      </w:pPr>
      <w:r>
        <w:t>Generalizability: It applies across contexts, jurisdictions, and transaction types. Understanding consideration doctrine enables analysis of any contract formation question, not just those arising in familiar professional contexts.</w:t>
      </w:r>
    </w:p>
    <w:p w14:paraId="1C83DA84" w14:textId="77777777" w:rsidR="003A2AA0" w:rsidRDefault="00BF743F">
      <w:pPr>
        <w:numPr>
          <w:ilvl w:val="0"/>
          <w:numId w:val="4"/>
        </w:numPr>
      </w:pPr>
      <w:r>
        <w:t>Study-derived: It is acquired through systematic engagement with cases, statutes, secondary sources, and doctrinal analysis rather than through professional practice alone.</w:t>
      </w:r>
    </w:p>
    <w:p w14:paraId="0962A81D" w14:textId="77777777" w:rsidR="003A2AA0" w:rsidRDefault="00BF743F">
      <w:pPr>
        <w:numPr>
          <w:ilvl w:val="0"/>
          <w:numId w:val="4"/>
        </w:numPr>
      </w:pPr>
      <w:r>
        <w:t>Principle-focused: It is validated by doctrinal correctness (the analysis is consistent with precedent, identifies relevant policies, recognizes doctrinal tensions) rather than by practical success alone.</w:t>
      </w:r>
    </w:p>
    <w:p w14:paraId="28D80FD1" w14:textId="77777777" w:rsidR="003A2AA0" w:rsidRDefault="00BF743F">
      <w:r>
        <w:t>The relationship between operational and doctrinal knowledge is not hierarchical, neither is inherently superior to the other. Rather, they serve different functions. Operational knowledge enables effective professional practice within familiar contexts. Doctrinal knowledge enables legal analysis, prediction, and argumentation across contexts. The problem this essay addresses is not that mid-career professionals have operational knowledge but that operational knowledge resembles doctrinal knowledge closely enough to create the illusion that doctrinal knowledge is unnecessary.</w:t>
      </w:r>
    </w:p>
    <w:p w14:paraId="03E39002" w14:textId="77777777" w:rsidR="003A2AA0" w:rsidRDefault="00BF743F" w:rsidP="006D4C51">
      <w:pPr>
        <w:pStyle w:val="Heading2"/>
      </w:pPr>
      <w:bookmarkStart w:id="12" w:name="b.-a-taxonomy-of-legal-knowledge-types"/>
      <w:bookmarkEnd w:id="11"/>
      <w:r>
        <w:t>B. A Taxonomy of Legal Knowledge Types</w:t>
      </w:r>
    </w:p>
    <w:p w14:paraId="4C18505A" w14:textId="77777777" w:rsidR="003A2AA0" w:rsidRDefault="00BF743F">
      <w:r>
        <w:t>Legal knowledge exists on a spectrum, and the operational/doctrinal distinction represents two poles rather than a binary. The following taxonomy identifies five knowledge types along this spectrum:</w:t>
      </w:r>
    </w:p>
    <w:p w14:paraId="5BCF6C4D" w14:textId="77777777" w:rsidR="003A2AA0" w:rsidRDefault="00BF743F">
      <w:pPr>
        <w:numPr>
          <w:ilvl w:val="0"/>
          <w:numId w:val="5"/>
        </w:numPr>
      </w:pPr>
      <w:r>
        <w:t>Pure Operational Knowledge: Knowledge of how to perform law-adjacent tasks with no understanding of underlying legal principles.</w:t>
      </w:r>
    </w:p>
    <w:p w14:paraId="3F7ABD7C" w14:textId="77777777" w:rsidR="003A2AA0" w:rsidRDefault="00BF743F">
      <w:r>
        <w:t>Example: A real estate broker knows that purchase agreements must be in writing but does not know why (Statute of Frauds) or what exceptions exist (part performance, promissory estoppel).</w:t>
      </w:r>
    </w:p>
    <w:p w14:paraId="62C40D05" w14:textId="77777777" w:rsidR="003A2AA0" w:rsidRDefault="00BF743F">
      <w:pPr>
        <w:numPr>
          <w:ilvl w:val="0"/>
          <w:numId w:val="6"/>
        </w:numPr>
      </w:pPr>
      <w:r>
        <w:t>Operational Knowledge with Doctrinal Vocabulary: Knowledge of how to perform law-adjacent tasks supplemented with legal terminology but without understanding of underlying principles.</w:t>
      </w:r>
    </w:p>
    <w:p w14:paraId="163463E4" w14:textId="77777777" w:rsidR="003A2AA0" w:rsidRDefault="00BF743F">
      <w:r>
        <w:t>Example: A supply chain director knows that force majeure clauses excuse performance when “unforeseeable events beyond the parties’ control” occur and can use this language in negotiations, but does not understand the doctrine of impossibility, impracticability, or frustration of purpose, or how courts interpret force majeure clauses.</w:t>
      </w:r>
    </w:p>
    <w:p w14:paraId="72E8EAF5" w14:textId="77777777" w:rsidR="003A2AA0" w:rsidRDefault="00BF743F">
      <w:pPr>
        <w:numPr>
          <w:ilvl w:val="0"/>
          <w:numId w:val="7"/>
        </w:numPr>
      </w:pPr>
      <w:r>
        <w:t>Hybrid Knowledge: Partial understanding of legal principles combined with operational fluency, sufficient for routine professional tasks but inadequate for novel situations or legal analysis.</w:t>
      </w:r>
    </w:p>
    <w:p w14:paraId="6C8A9DA1" w14:textId="77777777" w:rsidR="003A2AA0" w:rsidRDefault="00BF743F">
      <w:r>
        <w:t>Example: A corporate compliance officer understands that certain contracts must be approved by the board of directors and knows the procedural requirements for board approval, but has limited understanding of fiduciary duty doctrine, the business judgment rule, or when board approval is legally required versus merely good practice.</w:t>
      </w:r>
    </w:p>
    <w:p w14:paraId="1CCE2798" w14:textId="77777777" w:rsidR="003A2AA0" w:rsidRDefault="00BF743F">
      <w:pPr>
        <w:numPr>
          <w:ilvl w:val="0"/>
          <w:numId w:val="8"/>
        </w:numPr>
      </w:pPr>
      <w:r>
        <w:t>Doctrinal Knowledge with Limited Practical Application: Understanding of legal principles, rules, and analytical frameworks with limited experience applying them in professional contexts.</w:t>
      </w:r>
    </w:p>
    <w:p w14:paraId="2BD1C0AC" w14:textId="77777777" w:rsidR="003A2AA0" w:rsidRDefault="00BF743F">
      <w:r>
        <w:t>Example: A recent law graduate understands consideration doctrine, can analyze consideration issues on an exam, and can identify consideration problems in hypotheticals, but has never negotiated a contract or advised a client on consideration issues.</w:t>
      </w:r>
    </w:p>
    <w:p w14:paraId="28D940C8" w14:textId="77777777" w:rsidR="003A2AA0" w:rsidRDefault="00BF743F">
      <w:pPr>
        <w:numPr>
          <w:ilvl w:val="0"/>
          <w:numId w:val="9"/>
        </w:numPr>
      </w:pPr>
      <w:r>
        <w:t>Integrated Knowledge: Deep understanding of legal principles combined with extensive practical experience, enabling both doctrinal analysis and effective professional practice.</w:t>
      </w:r>
    </w:p>
    <w:p w14:paraId="3196F846" w14:textId="77777777" w:rsidR="003A2AA0" w:rsidRDefault="00BF743F">
      <w:r>
        <w:t>Example: An experienced transactional lawyer understands contract formation doctrine, can analyze novel consideration issues, can predict how courts will resolve ambiguities, and can draft contracts that achieve clients’ objectives while minimizing legal risk.</w:t>
      </w:r>
    </w:p>
    <w:p w14:paraId="07BF5114" w14:textId="77777777" w:rsidR="003A2AA0" w:rsidRDefault="00BF743F">
      <w:r>
        <w:t>The pedagogical challenge this essay addresses occurs when students enter law school with knowledge at levels 1-3 and the curriculum is designed to move them to level 4 (doctrinal knowledge), but their existing knowledge creates resistance to this movement. The student at level 2 (operational knowledge with doctrinal vocabulary) is particularly challenging because she can perform adequately in class discussions and on assessments by deploying doctrinal vocabulary without doctrinal understanding, which creates the illusion of learning while the actual learning has not occurred.</w:t>
      </w:r>
    </w:p>
    <w:p w14:paraId="51960FDB" w14:textId="77777777" w:rsidR="003A2AA0" w:rsidRDefault="00BF743F">
      <w:r>
        <w:t>The ultimate objective is level 5 (integrated knowledge), but this cannot be achieved by building on levels 1-3. It requires first moving to level 4 (doctrinal knowledge) and then, through practice experience, integrating that doctrinal knowledge with operational fluency. The error this essay identifies is attempting to move directly from level 2 or 3 to level 5 by building on operational fluency, which produces a simulation of level 5 (the student can perform in familiar contexts) while the doctrinal foundation is absent.</w:t>
      </w:r>
    </w:p>
    <w:p w14:paraId="04EB291E" w14:textId="77777777" w:rsidR="003A2AA0" w:rsidRDefault="00BF743F" w:rsidP="006D4C51">
      <w:pPr>
        <w:pStyle w:val="Heading2"/>
      </w:pPr>
      <w:bookmarkStart w:id="13" w:name="c.-examples-across-legal-domains"/>
      <w:bookmarkEnd w:id="12"/>
      <w:r>
        <w:t>C. Examples Across Legal Domains</w:t>
      </w:r>
    </w:p>
    <w:p w14:paraId="4C950E3C" w14:textId="77777777" w:rsidR="003A2AA0" w:rsidRDefault="00BF743F">
      <w:r>
        <w:t>The operational/doctrinal distinction manifests differently across legal domains. The following examples illustrate the distinction in Contracts, Torts, Property, and Criminal Law:</w:t>
      </w:r>
    </w:p>
    <w:p w14:paraId="0D4FDF54" w14:textId="77777777" w:rsidR="003A2AA0" w:rsidRDefault="00BF743F">
      <w:r>
        <w:t>Contracts: - Operational: A purchasing manager knows that purchase orders should specify price, quantity, delivery date, and payment terms, and knows from experience that ambiguity in these terms creates problems. She can draft a purchase order that will be accepted by vendors and can negotiate modifications when circumstances change. - Doctrinal: A contracts lawyer understands that purchase orders are offers, that acceptance must be a mirror image of the offer under common law but not under UCC § 2-207, that material terms must be definite for a contract to be enforceable, and that gap-fillers apply when terms are missing. She can analyze whether a contract was formed when the vendor’s acknowledgment included additional terms, whether those terms became part of the contract, and what remedies are available if the vendor fails to deliver.</w:t>
      </w:r>
    </w:p>
    <w:p w14:paraId="4C375096" w14:textId="77777777" w:rsidR="003A2AA0" w:rsidRDefault="00BF743F">
      <w:r>
        <w:t>Torts: - Operational: A risk manager knows that the company should maintain liability insurance, that incident reports should be filed promptly, that certain activities create high litigation risk, and that settlements should include releases. He can implement risk management protocols that reduce the company’s exposure to tort liability. - Doctrinal: A torts lawyer understands negligence doctrine (duty, breach, causation, damages), knows when strict liability applies, can analyze whether a particular incident creates tort liability, can predict how courts will resolve causation issues, and can construct arguments about duty scope or proximate cause.</w:t>
      </w:r>
    </w:p>
    <w:p w14:paraId="011B77BE" w14:textId="77777777" w:rsidR="003A2AA0" w:rsidRDefault="00BF743F">
      <w:r>
        <w:t>Property: - Operational: A commercial real estate developer knows that property transactions require title searches, surveys, environmental assessments, and title insurance. She knows that leases should specify rent, term, maintenance obligations, and default provisions. She can close a real estate transaction and negotiate lease terms. - Doctrinal: A property lawyer understands estates in land, future interests, easements, covenants, adverse possession, and recording statutes. She can analyze whether a particular interest is valid, whether it runs with the land, whether it violates the Rule Against Perpetuities, and how priority disputes will be resolved.</w:t>
      </w:r>
    </w:p>
    <w:p w14:paraId="15CD610F" w14:textId="77777777" w:rsidR="003A2AA0" w:rsidRDefault="00BF743F">
      <w:r>
        <w:t>Criminal Law: - Operational: A corporate compliance officer knows that certain conduct (bribery, fraud, insider trading) is criminal, that the company should have policies prohibiting such conduct, that employees should be trained on these policies, and that violations should be reported to authorities. He can implement a compliance program that reduces criminal liability risk. - Doctrinal: A criminal lawyer understands actus reus, mens rea, causation, complicity, attempt, and defenses. She can analyze whether particular conduct satisfies the elements of a crime, whether a defense is available, whether corporate criminal liability attaches, and how sentencing guidelines apply.</w:t>
      </w:r>
    </w:p>
    <w:p w14:paraId="0311364D" w14:textId="77777777" w:rsidR="003A2AA0" w:rsidRDefault="00BF743F">
      <w:r>
        <w:t>In each domain, operational knowledge enables effective professional practice within familiar contexts, but it does not enable legal analysis, prediction, or argumentation. The mid-career professional who enters law school with operational knowledge can participate in class discussions by drawing on professional experience, can answer questions about what practitioners do, and can identify practical problems with proposed solutions. What she cannot do, until she acquires doctrinal knowledge, is explain why the legal system produces particular outcomes, predict how doctrine will apply to novel situations, or construct legal arguments that courts will recognize as valid.</w:t>
      </w:r>
    </w:p>
    <w:p w14:paraId="465CC947" w14:textId="77777777" w:rsidR="003A2AA0" w:rsidRDefault="00BF743F" w:rsidP="006D4C51">
      <w:pPr>
        <w:pStyle w:val="Heading2"/>
      </w:pPr>
      <w:bookmarkStart w:id="14" w:name="d.-assessment-implications"/>
      <w:bookmarkEnd w:id="13"/>
      <w:r>
        <w:t>D. Assessment Implications</w:t>
      </w:r>
    </w:p>
    <w:p w14:paraId="70A28BCF" w14:textId="77777777" w:rsidR="003A2AA0" w:rsidRDefault="00BF743F">
      <w:r>
        <w:t>The operational/doctrinal distinction has significant implications for assessment. Traditional law school assessments, issue-spotting exams, legal memoranda, appellate briefs, are designed to assess doctrinal knowledge. They require students to identify legal issues, apply doctrine to facts, analyze ambiguities, and construct legal arguments. Students with operational knowledge but without doctrinal knowledge can perform poorly on these assessments even though they have substantial professional expertise.</w:t>
      </w:r>
    </w:p>
    <w:p w14:paraId="26DA89A6" w14:textId="77777777" w:rsidR="003A2AA0" w:rsidRDefault="00BF743F">
      <w:r>
        <w:t>However, some contemporary assessment formats may inadvertently allow students to perform adequately using operational knowledge without demonstrating doctrinal knowledge:</w:t>
      </w:r>
    </w:p>
    <w:p w14:paraId="28DF6C1D" w14:textId="77777777" w:rsidR="003A2AA0" w:rsidRDefault="00BF743F">
      <w:r>
        <w:t>Multiple-choice questions that test recognition of legal terminology rather than application of doctrine can be answered correctly by students with operational knowledge plus doctrinal vocabulary (level 2 in the taxonomy above).</w:t>
      </w:r>
    </w:p>
    <w:p w14:paraId="1E4360F7" w14:textId="77777777" w:rsidR="003A2AA0" w:rsidRDefault="00BF743F">
      <w:r>
        <w:t>Problem-based assessments that ask students to advise a client on a familiar professional scenario can be answered using operational knowledge if the scenario is similar to situations the student has encountered professionally.</w:t>
      </w:r>
    </w:p>
    <w:p w14:paraId="19EBA1B3" w14:textId="77777777" w:rsidR="003A2AA0" w:rsidRDefault="00BF743F">
      <w:r>
        <w:t>Group projects that require students to draft contracts, compliance policies, or other legal instruments can be completed successfully by students with operational knowledge if the project does not require doctrinal analysis or justification.</w:t>
      </w:r>
    </w:p>
    <w:p w14:paraId="7FA70BD1" w14:textId="77777777" w:rsidR="003A2AA0" w:rsidRDefault="00BF743F">
      <w:r>
        <w:t>Participation grades based on class discussion can reward students who contribute professional experience and practical insights even if they have not demonstrated doctrinal understanding.</w:t>
      </w:r>
    </w:p>
    <w:p w14:paraId="467D4F2E" w14:textId="77777777" w:rsidR="003A2AA0" w:rsidRDefault="00BF743F">
      <w:r>
        <w:t>These assessment formats are not inherently problematic, each can be designed to require doctrinal knowledge, but they create opportunities for students to perform adequately using operational knowledge if not carefully designed. The risk is that the student receives passing grades, positive feedback, and ultimately a J.D. degree without having acquired doctrinal knowledge, which creates the credential integrity problem discussed in Part VII.</w:t>
      </w:r>
    </w:p>
    <w:p w14:paraId="50537419" w14:textId="77777777" w:rsidR="003A2AA0" w:rsidRDefault="00BF743F">
      <w:r>
        <w:t>Effective assessment for students with operational fluency requires:</w:t>
      </w:r>
    </w:p>
    <w:p w14:paraId="2C99BB80" w14:textId="77777777" w:rsidR="003A2AA0" w:rsidRDefault="00BF743F">
      <w:pPr>
        <w:numPr>
          <w:ilvl w:val="0"/>
          <w:numId w:val="10"/>
        </w:numPr>
      </w:pPr>
      <w:r>
        <w:t>Explicit doctrinal analysis requirements: Assessments should require students to identify relevant legal rules, explain the policies underlying those rules, apply the rules to facts, and justify their conclusions with doctrinal reasoning.</w:t>
      </w:r>
    </w:p>
    <w:p w14:paraId="20BADDDE" w14:textId="77777777" w:rsidR="003A2AA0" w:rsidRDefault="00BF743F">
      <w:pPr>
        <w:numPr>
          <w:ilvl w:val="0"/>
          <w:numId w:val="10"/>
        </w:numPr>
      </w:pPr>
      <w:r>
        <w:t>Novel scenarios: Assessments should present situations that students have not encountered professionally, which prevents them from relying on operational knowledge and requires doctrinal analysis.</w:t>
      </w:r>
    </w:p>
    <w:p w14:paraId="3BDE4240" w14:textId="77777777" w:rsidR="003A2AA0" w:rsidRDefault="00BF743F">
      <w:pPr>
        <w:numPr>
          <w:ilvl w:val="0"/>
          <w:numId w:val="10"/>
        </w:numPr>
      </w:pPr>
      <w:r>
        <w:t>Justification requirements: Assessments should require students to explain why their answers are correct in doctrinal terms, not merely to identify correct outcomes.</w:t>
      </w:r>
    </w:p>
    <w:p w14:paraId="58A0585B" w14:textId="77777777" w:rsidR="003A2AA0" w:rsidRDefault="00BF743F">
      <w:pPr>
        <w:numPr>
          <w:ilvl w:val="0"/>
          <w:numId w:val="10"/>
        </w:numPr>
      </w:pPr>
      <w:r>
        <w:t>Doctrinal rubrics: Grading rubrics should explicitly assess doctrinal knowledge (identification of relevant rules, accurate statement of doctrine, correct application, recognition of ambiguities and counterarguments) rather than practical judgment or professional experience.</w:t>
      </w:r>
    </w:p>
    <w:p w14:paraId="1A6A835D" w14:textId="77777777" w:rsidR="003A2AA0" w:rsidRDefault="00BF743F">
      <w:r>
        <w:t>Part VI discusses how these assessment principles can be implemented in hybrid and asynchronous contexts.</w:t>
      </w:r>
    </w:p>
    <w:p w14:paraId="033E3445" w14:textId="77777777" w:rsidR="003A2AA0" w:rsidRDefault="00BF743F" w:rsidP="006D4C51">
      <w:pPr>
        <w:pStyle w:val="Heading1"/>
      </w:pPr>
      <w:bookmarkStart w:id="15" w:name="X61c92b3ceffb39b9e33a408c353900dbc76b763"/>
      <w:bookmarkEnd w:id="10"/>
      <w:bookmarkEnd w:id="14"/>
      <w:r>
        <w:t>PART IV: EQUITY IMPLICATIONS AND DIFFERENTIAL IMPACTS</w:t>
      </w:r>
    </w:p>
    <w:p w14:paraId="0467F85D" w14:textId="77777777" w:rsidR="003A2AA0" w:rsidRDefault="00BF743F">
      <w:r>
        <w:t>The argument that the Valley of Despair must be preserved raises important equity questions: Does the Valley affect different student populations differently? Does preserving it perpetuate historical barriers to legal education? Is the argument compatible with commitments to diversity, equity, and inclusion? This Part addresses these questions directly.</w:t>
      </w:r>
    </w:p>
    <w:p w14:paraId="23AFAB3B" w14:textId="77777777" w:rsidR="003A2AA0" w:rsidRDefault="00BF743F" w:rsidP="006D4C51">
      <w:pPr>
        <w:pStyle w:val="Heading2"/>
      </w:pPr>
      <w:bookmarkStart w:id="16" w:name="Xfacf5a9058ad67d0fa5ddf2aba9ac63adeb6e80"/>
      <w:r>
        <w:t>A. Does the Valley Affect Different Populations Differently?</w:t>
      </w:r>
    </w:p>
    <w:p w14:paraId="2548BDB0" w14:textId="77777777" w:rsidR="003A2AA0" w:rsidRDefault="00BF743F">
      <w:r>
        <w:t>The Valley of Despair, the moment when confidence drops as the student recognizes that her existing framework is inadequate, is experienced by all students who successfully learn doctrine, but the intensity, duration, and emotional valence of that experience may vary across populations.</w:t>
      </w:r>
    </w:p>
    <w:p w14:paraId="72A1D12A" w14:textId="77777777" w:rsidR="003A2AA0" w:rsidRDefault="00BF743F">
      <w:r>
        <w:t>Mid-career professionals experience the Valley more intensely than traditional students because their existing framework is grounded in years of professional accomplishment. Ray’s operational fluency is not merely a matter of prior knowledge; it is central to his professional identity and has been validated by professional success. Recognizing that this fluency is inadequate for legal analysis requires not merely learning new information but reorganizing his understanding of his own expertise. This is cognitively and emotionally demanding in ways that traditional students, who have no comparable professional identity to reorganize, do not experience.</w:t>
      </w:r>
    </w:p>
    <w:p w14:paraId="44E23C5B" w14:textId="77777777" w:rsidR="003A2AA0" w:rsidRDefault="00BF743F">
      <w:r>
        <w:t>First-generation law students may experience the Valley differently because they often lack familiarity with academic discourse, legal reasoning, and professional norms that other students take for granted .</w:t>
      </w:r>
      <w:r>
        <w:rPr>
          <w:rStyle w:val="FootnoteReference"/>
        </w:rPr>
        <w:footnoteReference w:id="77"/>
      </w:r>
      <w:r>
        <w:t xml:space="preserve"> They often encounter unfamiliar academic norms and professional expectations that their peers from more privileged backgrounds take for granted.</w:t>
      </w:r>
      <w:r>
        <w:rPr>
          <w:rStyle w:val="FootnoteReference"/>
        </w:rPr>
        <w:footnoteReference w:id="78"/>
      </w:r>
      <w:r>
        <w:t xml:space="preserve"> For these students, the Valley may be compounded by imposter syndrome, anxiety about belonging, and uncertainty about whether their struggles reflect inadequate preparation or normal learning processes</w:t>
      </w:r>
      <w:r>
        <w:rPr>
          <w:rStyle w:val="FootnoteReference"/>
        </w:rPr>
        <w:footnoteReference w:id="79"/>
      </w:r>
      <w:r>
        <w:t>. However, first-generation students typically do not have operational fluency in law-adjacent domains, which means they do not face the specific challenge of displacing adjacent competence.</w:t>
      </w:r>
    </w:p>
    <w:p w14:paraId="363251E4" w14:textId="77777777" w:rsidR="003A2AA0" w:rsidRDefault="00BF743F">
      <w:r>
        <w:t>Students from underrepresented racial and ethnic groups may experience the Valley in the context of stereotype threat, the phenomenon whereby awareness of negative stereotypes about one’s group creates anxiety that impairs performance.</w:t>
      </w:r>
      <w:r>
        <w:rPr>
          <w:rStyle w:val="FootnoteReference"/>
        </w:rPr>
        <w:footnoteReference w:id="80"/>
      </w:r>
      <w:r>
        <w:t xml:space="preserve"> Research consistently shows that activating awareness of such stereotypes depresses test scores and participation, independent of actual ability.</w:t>
      </w:r>
      <w:r>
        <w:rPr>
          <w:rStyle w:val="FootnoteReference"/>
        </w:rPr>
        <w:footnoteReference w:id="81"/>
      </w:r>
      <w:r>
        <w:t xml:space="preserve"> </w:t>
      </w:r>
      <w:r>
        <w:rPr>
          <w:i/>
          <w:iCs/>
        </w:rPr>
        <w:t>The Socratic Method</w:t>
      </w:r>
      <w:r>
        <w:t>’s emphasis on public performance and the risk of appearing incompetent may activate stereotype threat for students from groups stereotyped as less intellectually capable</w:t>
      </w:r>
      <w:r>
        <w:rPr>
          <w:rStyle w:val="FootnoteReference"/>
        </w:rPr>
        <w:footnoteReference w:id="82"/>
      </w:r>
      <w:r>
        <w:t>. However, as with first-generation students, the Valley itself (recognizing that one’s existing framework is inadequate) is not specific to these students; what differs is the social and emotional context in which the Valley is experienced.</w:t>
      </w:r>
    </w:p>
    <w:p w14:paraId="437C61B5" w14:textId="77777777" w:rsidR="003A2AA0" w:rsidRDefault="00BF743F">
      <w:r>
        <w:t>Women have historically experienced the Socratic method as more hostile and exclusionary than men, in part because the method’s confrontational style and emphasis on public performance align with masculine communication norms.</w:t>
      </w:r>
      <w:r>
        <w:rPr>
          <w:rStyle w:val="FootnoteReference"/>
        </w:rPr>
        <w:footnoteReference w:id="83"/>
      </w:r>
      <w:r>
        <w:t xml:space="preserve"> Students who are less comfortable with public confrontation or spontaneous oral performance are systematically disadvantaged by an approach calibrated to those styles.</w:t>
      </w:r>
      <w:r>
        <w:rPr>
          <w:rStyle w:val="FootnoteReference"/>
        </w:rPr>
        <w:footnoteReference w:id="84"/>
      </w:r>
      <w:r>
        <w:t xml:space="preserve"> Madison’s research documents how the Socratic method has been used to intimidate and exclude women from legal education</w:t>
      </w:r>
      <w:r>
        <w:rPr>
          <w:rStyle w:val="FootnoteReference"/>
        </w:rPr>
        <w:footnoteReference w:id="85"/>
      </w:r>
      <w:r>
        <w:t>. However, the Valley of Despair (the cognitive recognition of framework inadequacy) is distinct from the Socratic method’s confrontational style. Part VI argues that the Valley can be produced through pedagogical instruments that do not replicate the Socratic method’s gendered dynamics.</w:t>
      </w:r>
    </w:p>
    <w:p w14:paraId="15BD3A58" w14:textId="77777777" w:rsidR="003A2AA0" w:rsidRDefault="00BF743F">
      <w:r>
        <w:t>Students with disabilities, particularly those with anxiety disorders, ADHD, autism spectrum disorders, or other conditions affecting social interaction or spontaneous performance, may experience the traditional Socratic method as particularly challenging.</w:t>
      </w:r>
      <w:r>
        <w:rPr>
          <w:rStyle w:val="FootnoteReference"/>
        </w:rPr>
        <w:footnoteReference w:id="86"/>
      </w:r>
      <w:r>
        <w:t xml:space="preserve"> Cold-call formats impose processing demands and social-performance pressures that are not intrinsic to the learning objective.</w:t>
      </w:r>
      <w:r>
        <w:rPr>
          <w:rStyle w:val="FootnoteReference"/>
        </w:rPr>
        <w:footnoteReference w:id="87"/>
      </w:r>
      <w:r>
        <w:t xml:space="preserve"> However, the Valley of Despair (the cognitive experience of framework inadequacy) is distinct from the live cold-call (the pedagogical instrument traditionally used to produce the Valley). Part VI identifies alternative instruments for producing the Valley that do not require spontaneous oral performance in a public setting, which may be more accessible for students with certain disabilities.</w:t>
      </w:r>
    </w:p>
    <w:p w14:paraId="1773F06D" w14:textId="77777777" w:rsidR="003A2AA0" w:rsidRDefault="00BF743F">
      <w:r>
        <w:t>Older students and students with caregiving responsibilities may experience time pressure more acutely than traditional students, which can make the Valley more difficult to navigate</w:t>
      </w:r>
      <w:r>
        <w:rPr>
          <w:rStyle w:val="FootnoteReference"/>
        </w:rPr>
        <w:footnoteReference w:id="88"/>
      </w:r>
      <w:r>
        <w:t>. The cognitive work of reorganizing one’s framework requires sustained attention and reflection, which may be difficult for students balancing law school with work, family, and other responsibilities. However, asynchronous formats can provide flexibility that makes this cognitive work more feasible for students with time constraints.</w:t>
      </w:r>
    </w:p>
    <w:p w14:paraId="55DB50C0" w14:textId="77777777" w:rsidR="003A2AA0" w:rsidRDefault="00BF743F">
      <w:r>
        <w:t>The key insight is that while the Valley of Despair is experienced differently across populations, the cognitive process it represents, recognizing that one’s existing framework is inadequate and constructing a new framework, is necessary for all students. The equity question is not whether to preserve the Valley but how to produce it in ways that minimize unnecessary barriers while maintaining the designed difficulty.</w:t>
      </w:r>
    </w:p>
    <w:p w14:paraId="59B5B6B5" w14:textId="77777777" w:rsidR="003A2AA0" w:rsidRDefault="00BF743F" w:rsidP="006D4C51">
      <w:pPr>
        <w:pStyle w:val="Heading2"/>
      </w:pPr>
      <w:bookmarkStart w:id="17" w:name="Xb1e3055431db00795eca0a8795c06d08220f8bd"/>
      <w:bookmarkEnd w:id="16"/>
      <w:r>
        <w:t>B. The Historical Role of the Socratic Method in Maintaining Barriers</w:t>
      </w:r>
    </w:p>
    <w:p w14:paraId="2B2F193E" w14:textId="77777777" w:rsidR="003A2AA0" w:rsidRDefault="00BF743F">
      <w:r>
        <w:rPr>
          <w:i/>
          <w:iCs/>
        </w:rPr>
        <w:t>The Socratic Method</w:t>
      </w:r>
      <w:r>
        <w:t xml:space="preserve"> has historically functioned as a barrier to legal education for women, racial minorities, first-generation students, and others from non-traditional backgrounds.</w:t>
      </w:r>
      <w:r>
        <w:rPr>
          <w:rStyle w:val="FootnoteReference"/>
        </w:rPr>
        <w:footnoteReference w:id="89"/>
      </w:r>
      <w:r>
        <w:t xml:space="preserve"> The method’s reliance on confrontational dialogue and spontaneous performance has historically sorted students along lines of social class, gender, and race rather than doctrinal aptitude.</w:t>
      </w:r>
      <w:r>
        <w:rPr>
          <w:rStyle w:val="FootnoteReference"/>
        </w:rPr>
        <w:footnoteReference w:id="90"/>
      </w:r>
      <w:r>
        <w:t xml:space="preserve"> This history has generated a sustained scholarly effort to identify more equitable pedagogical alternatives.</w:t>
      </w:r>
      <w:r>
        <w:rPr>
          <w:rStyle w:val="FootnoteReference"/>
        </w:rPr>
        <w:footnoteReference w:id="91"/>
      </w:r>
      <w:r>
        <w:t xml:space="preserve"> The method’s emphasis on confrontational dialogue, spontaneous oral performance, and public risk-taking privileges students who are comfortable with these communication styles, characteristics correlated with privileged social backgrounds</w:t>
      </w:r>
      <w:r>
        <w:rPr>
          <w:rStyle w:val="FootnoteReference"/>
        </w:rPr>
        <w:footnoteReference w:id="92"/>
      </w:r>
      <w:r>
        <w:t>. The method has been used to intimidate, humiliate, and exclude students who do not conform to traditional professional norms</w:t>
      </w:r>
      <w:r>
        <w:rPr>
          <w:rStyle w:val="FootnoteReference"/>
        </w:rPr>
        <w:footnoteReference w:id="93"/>
      </w:r>
      <w:r>
        <w:t>.</w:t>
      </w:r>
    </w:p>
    <w:p w14:paraId="48E8310C" w14:textId="77777777" w:rsidR="003A2AA0" w:rsidRDefault="00BF743F">
      <w:r>
        <w:t>This history creates legitimate concern that arguments for preserving “designed difficulty” or “pedagogical rigor” may be coded language for maintaining exclusionary practices. The concern is that faculty who are resistant to pedagogical reform will invoke “rigor” to justify practices that serve primarily to reproduce professional hierarchies rather than to teach doctrine.</w:t>
      </w:r>
    </w:p>
    <w:p w14:paraId="0EAE64D1" w14:textId="77777777" w:rsidR="003A2AA0" w:rsidRDefault="00BF743F">
      <w:r>
        <w:t>This essay takes this concern seriously and argues that the Valley of Despair must be distinguished from the Socratic method’s exclusionary practices. The Valley is a cognitive experience, the recognition that one’s existing framework is inadequate, that is necessary for learning. The live cold-call is a pedagogical instrument for producing that cognitive experience, but it is not the only instrument, and it carries exclusionary effects that are not pedagogically necessary.</w:t>
      </w:r>
    </w:p>
    <w:p w14:paraId="535E5607" w14:textId="77777777" w:rsidR="003A2AA0" w:rsidRDefault="00BF743F">
      <w:r>
        <w:t>Part VI identifies alternative instruments for producing the Valley that do not replicate the Socratic method’s exclusionary dynamics:</w:t>
      </w:r>
    </w:p>
    <w:p w14:paraId="65173BE8" w14:textId="77777777" w:rsidR="003A2AA0" w:rsidRDefault="00BF743F">
      <w:pPr>
        <w:numPr>
          <w:ilvl w:val="0"/>
          <w:numId w:val="11"/>
        </w:numPr>
      </w:pPr>
      <w:r>
        <w:t>Pre-recorded case analysis with embedded errors allows students to engage with doctrinal problems privately, without public performance pressure, and to revise their thinking before submitting responses.</w:t>
      </w:r>
    </w:p>
    <w:p w14:paraId="47622CAA" w14:textId="77777777" w:rsidR="003A2AA0" w:rsidRDefault="00BF743F">
      <w:pPr>
        <w:numPr>
          <w:ilvl w:val="0"/>
          <w:numId w:val="11"/>
        </w:numPr>
      </w:pPr>
      <w:r>
        <w:t>Structured discussion boards with Socratic sequencing provide time for reflection and revision, accommodate different communication styles, and create a written record that allows students to track their own learning.</w:t>
      </w:r>
    </w:p>
    <w:p w14:paraId="1C58597D" w14:textId="77777777" w:rsidR="003A2AA0" w:rsidRDefault="00BF743F">
      <w:pPr>
        <w:numPr>
          <w:ilvl w:val="0"/>
          <w:numId w:val="11"/>
        </w:numPr>
      </w:pPr>
      <w:r>
        <w:t>Asynchronous cold-calls via video response preserve the individual accountability of the cold-call while removing the public performance aspect and allowing students to prepare, record, and revise responses.</w:t>
      </w:r>
    </w:p>
    <w:p w14:paraId="046DE130" w14:textId="77777777" w:rsidR="003A2AA0" w:rsidRDefault="00BF743F">
      <w:pPr>
        <w:numPr>
          <w:ilvl w:val="0"/>
          <w:numId w:val="11"/>
        </w:numPr>
      </w:pPr>
      <w:r>
        <w:t>Peer review with doctrinal rubrics distributes the evaluative function across students rather than concentrating it in the professor, which can reduce power dynamics and create opportunities for collaborative learning.</w:t>
      </w:r>
    </w:p>
    <w:p w14:paraId="06649A93" w14:textId="77777777" w:rsidR="003A2AA0" w:rsidRDefault="00BF743F">
      <w:r>
        <w:t>These instruments are designed to produce the Valley, the cognitive recognition of framework inadequacy, without the exclusionary effects of the live cold-call. They accommodate different communication styles, provide time for reflection, reduce public performance pressure, and allow students to demonstrate doctrinal knowledge through multiple means.</w:t>
      </w:r>
    </w:p>
    <w:p w14:paraId="5C8AAC5A" w14:textId="77777777" w:rsidR="003A2AA0" w:rsidRDefault="00BF743F">
      <w:r>
        <w:t>The argument is not that the Socratic method’s historical exclusionary effects were justified or that “rigor” should be used to rationalize exclusion. The argument is that the cognitive experience the Socratic method was designed to produce (the Valley of Despair)is pedagogically necessary, but the specific instrument traditionally used to produce it (the live cold-call) is not, and alternative instruments may be more equitable.</w:t>
      </w:r>
    </w:p>
    <w:p w14:paraId="4F02E651" w14:textId="77777777" w:rsidR="003A2AA0" w:rsidRDefault="00BF743F" w:rsidP="006D4C51">
      <w:pPr>
        <w:pStyle w:val="Heading2"/>
      </w:pPr>
      <w:bookmarkStart w:id="18" w:name="Xb2f29f4fa61d30fedf5ef96446dbe5bcec67ac2"/>
      <w:bookmarkEnd w:id="17"/>
      <w:r>
        <w:t>C. Compatibility with Diversity, Equity, and Inclusion Commitments</w:t>
      </w:r>
    </w:p>
    <w:p w14:paraId="3D4A814D" w14:textId="77777777" w:rsidR="003A2AA0" w:rsidRDefault="00BF743F">
      <w:r>
        <w:t>Legal education has made significant commitments to diversity, equity, and inclusion over the past several decades, including efforts to recruit and retain students from underrepresented groups, to create inclusive classroom environments, to diversify curricula, and to address bias in pedagogy and assessment.</w:t>
      </w:r>
      <w:r>
        <w:rPr>
          <w:rStyle w:val="FootnoteReference"/>
        </w:rPr>
        <w:footnoteReference w:id="94"/>
      </w:r>
      <w:r>
        <w:t xml:space="preserve"> This has included efforts to diversify curricula, reform assessment practices, and address implicit bias in classroom dynamics.</w:t>
      </w:r>
      <w:r>
        <w:rPr>
          <w:rStyle w:val="FootnoteReference"/>
        </w:rPr>
        <w:footnoteReference w:id="95"/>
      </w:r>
      <w:r>
        <w:t xml:space="preserve"> Longitudinal research on the outcomes of law school diversity efforts has supported the value of these interventions for both individual students and the profession.</w:t>
      </w:r>
      <w:r>
        <w:rPr>
          <w:rStyle w:val="FootnoteReference"/>
        </w:rPr>
        <w:footnoteReference w:id="96"/>
      </w:r>
      <w:r>
        <w:t xml:space="preserve"> These commitments are both legally required (under Title VI, Title IX, and the ADA) and professionally necessary (the legal profession serves a diverse public and requires a diverse bar).</w:t>
      </w:r>
    </w:p>
    <w:p w14:paraId="6E4F3293" w14:textId="77777777" w:rsidR="003A2AA0" w:rsidRDefault="00BF743F">
      <w:r>
        <w:t>This essay’s argument, that the Valley of Despair must be preserved, is compatible with these commitments if the Valley is understood as a cognitive experience necessary for learning rather than as an exclusionary practice. The compatibility depends on three conditions:</w:t>
      </w:r>
    </w:p>
    <w:p w14:paraId="6F5415CE" w14:textId="77777777" w:rsidR="003A2AA0" w:rsidRDefault="00BF743F">
      <w:r>
        <w:t>First, the Valley must be produced through pedagogical instruments that minimize unnecessary barriers. The live cold-call’s emphasis on spontaneous oral performance, public risk-taking, and confrontational dialogue creates barriers that are not pedagogically necessary. Alternative instruments (identified in Part VI) can produce the Valley while accommodating different communication styles, providing time for reflection, and reducing public performance pressure.</w:t>
      </w:r>
    </w:p>
    <w:p w14:paraId="07D568F7" w14:textId="77777777" w:rsidR="003A2AA0" w:rsidRDefault="00BF743F">
      <w:r>
        <w:t>Second, the distinction between legitimate and problematic accommodation (developed in Part VII.D) must be applied carefully to ensure that accommodations remove unnecessary barriers without bypassing designed difficulties. Legitimate accommodations, providing materials in accessible formats, allowing alternative means of demonstrating knowledge, adjusting for cultural or linguistic differences, accommodating disabilities, are required by law and pedagogically appropriate. Problematic accommodations, allowing students to avoid the Valley by building on operational fluency rather than displacing it, prevent learning and should not be provided even when students request them.</w:t>
      </w:r>
    </w:p>
    <w:p w14:paraId="21287937" w14:textId="77777777" w:rsidR="003A2AA0" w:rsidRDefault="00BF743F">
      <w:r>
        <w:t>Third, faculty must recognize that students from underrepresented groups may experience the Valley in the context of additional challenges (stereotype threat, imposter syndrome, financial stress, caregiving responsibilities, discrimination) that make the cognitive work more difficult. Preserving the Valley does not mean ignoring these challenges; it means providing support (mentoring, tutoring, mental health resources, financial aid, community-building) that enables students to navigate the Valley successfully rather than bypassing it.</w:t>
      </w:r>
    </w:p>
    <w:p w14:paraId="28BEF046" w14:textId="77777777" w:rsidR="003A2AA0" w:rsidRDefault="00BF743F">
      <w:r>
        <w:t>The argument is that diversity, equity, and inclusion require ensuring that all students, including those from underrepresented groups, acquire doctrinal knowledge, not merely doctrinal vocabulary. Accommodations that allow students to avoid the Valley may improve retention and satisfaction in the short term, but they send students into practice without the doctrinal foundation necessary for professional competence, which ultimately harms those students and the clients they will serve.</w:t>
      </w:r>
    </w:p>
    <w:p w14:paraId="4014773C" w14:textId="77777777" w:rsidR="003A2AA0" w:rsidRDefault="00BF743F">
      <w:r>
        <w:t>This is not to say that all students must navigate the Valley in the same way or at the same pace. Students may require different levels of support, different pedagogical instruments, different amounts of time, and different forms of feedback. The commitment to equity requires providing these supports, not eliminating the Valley itself.</w:t>
      </w:r>
    </w:p>
    <w:p w14:paraId="6C2F0F69" w14:textId="77777777" w:rsidR="003A2AA0" w:rsidRDefault="00BF743F" w:rsidP="006D4C51">
      <w:pPr>
        <w:pStyle w:val="Heading2"/>
      </w:pPr>
      <w:bookmarkStart w:id="19" w:name="Xad1e2449a7a669df83f65c408895735f714318b"/>
      <w:bookmarkEnd w:id="18"/>
      <w:r>
        <w:t>D. Maintaining Rigor While Promoting Inclusion</w:t>
      </w:r>
    </w:p>
    <w:p w14:paraId="646F2E72" w14:textId="77777777" w:rsidR="003A2AA0" w:rsidRDefault="00BF743F">
      <w:r>
        <w:t>The tension between rigor and inclusion is a persistent challenge in legal education.</w:t>
      </w:r>
      <w:r>
        <w:rPr>
          <w:rStyle w:val="FootnoteReference"/>
        </w:rPr>
        <w:footnoteReference w:id="97"/>
      </w:r>
      <w:r>
        <w:t xml:space="preserve"> Disability rights scholarship has particularly sharpened the critique of traditional practices that impose unnecessary barriers under the guise of maintaining standards.</w:t>
      </w:r>
      <w:r>
        <w:rPr>
          <w:rStyle w:val="FootnoteReference"/>
        </w:rPr>
        <w:footnoteReference w:id="98"/>
      </w:r>
      <w:r>
        <w:t xml:space="preserve"> Rigor is often associated with traditional pedagogical practices (the Socratic method, timed exams, curved grading) that have exclusionary effects. Inclusion is often associated with pedagogical reforms (collaborative learning, flexible assessment, pass/fail grading) that may reduce rigor. The challenge is to maintain high standards while removing unnecessary barriers.</w:t>
      </w:r>
    </w:p>
    <w:p w14:paraId="1855BCA2" w14:textId="77777777" w:rsidR="003A2AA0" w:rsidRDefault="00BF743F">
      <w:r>
        <w:t xml:space="preserve">This essay argues that the tension is resolvable if rigor is understood as requiring doctrinal knowledge rather than requiring specific pedagogical instruments or assessment formats. Doctrinal knowledge, understanding legal principles, applying them to novel situations, constructing legal arguments, recognizing ambiguities and counterarguments, is the learning objective. </w:t>
      </w:r>
      <w:r>
        <w:rPr>
          <w:i/>
          <w:iCs/>
        </w:rPr>
        <w:t>The Socratic Method</w:t>
      </w:r>
      <w:r>
        <w:t>, timed exams, and curved grading are instruments for assessing whether students have achieved this objective, but they are not the only instruments, and they carry exclusionary effects that are not pedagogically necessary.</w:t>
      </w:r>
    </w:p>
    <w:p w14:paraId="2C3257F0" w14:textId="77777777" w:rsidR="003A2AA0" w:rsidRDefault="00BF743F">
      <w:r>
        <w:t>Maintaining rigor while promoting inclusion requires:</w:t>
      </w:r>
    </w:p>
    <w:p w14:paraId="226457CC" w14:textId="77777777" w:rsidR="003A2AA0" w:rsidRDefault="00BF743F">
      <w:pPr>
        <w:numPr>
          <w:ilvl w:val="0"/>
          <w:numId w:val="12"/>
        </w:numPr>
      </w:pPr>
      <w:r>
        <w:t>Clarity about learning objectives: Faculty must distinguish between the learning objective (doctrinal knowledge) and the pedagogical instruments used to achieve it (Socratic method, case method, exams). Rigor requires that students achieve the learning objective, not that they do so through specific instruments.</w:t>
      </w:r>
    </w:p>
    <w:p w14:paraId="7E88FD21" w14:textId="77777777" w:rsidR="003A2AA0" w:rsidRDefault="00BF743F">
      <w:pPr>
        <w:numPr>
          <w:ilvl w:val="0"/>
          <w:numId w:val="12"/>
        </w:numPr>
      </w:pPr>
      <w:r>
        <w:t>Multiple means of demonstrating knowledge: Students should be able to demonstrate doctrinal knowledge through multiple assessment formats (written exams, oral exams, legal memoranda, appellate briefs, video presentations, discussion board posts) as long as each format requires doctrinal analysis and justification.</w:t>
      </w:r>
    </w:p>
    <w:p w14:paraId="6863DAE4" w14:textId="77777777" w:rsidR="003A2AA0" w:rsidRDefault="00BF743F">
      <w:pPr>
        <w:numPr>
          <w:ilvl w:val="0"/>
          <w:numId w:val="12"/>
        </w:numPr>
      </w:pPr>
      <w:r>
        <w:t>Flexibility in timing and pacing: Students should have flexibility in when and how quickly they complete assessments, as long as they ultimately demonstrate doctrinal knowledge. Extended time, flexible deadlines, and self-paced learning can accommodate students with disabilities, caregiving responsibilities, or other constraints without reducing rigor.</w:t>
      </w:r>
    </w:p>
    <w:p w14:paraId="59D13910" w14:textId="77777777" w:rsidR="003A2AA0" w:rsidRDefault="00BF743F">
      <w:pPr>
        <w:numPr>
          <w:ilvl w:val="0"/>
          <w:numId w:val="12"/>
        </w:numPr>
      </w:pPr>
      <w:r>
        <w:t>Support for learning: Students should have access to resources that help them navigate the Valley successfully (tutoring, mentoring, study groups, office hours, mental health services, financial aid). Providing support is not the same as bypassing the Valley; it is enabling students to do the cognitive work the Valley requires.</w:t>
      </w:r>
    </w:p>
    <w:p w14:paraId="4A870BA7" w14:textId="77777777" w:rsidR="003A2AA0" w:rsidRDefault="00BF743F">
      <w:pPr>
        <w:numPr>
          <w:ilvl w:val="0"/>
          <w:numId w:val="12"/>
        </w:numPr>
      </w:pPr>
      <w:r>
        <w:t>Removal of unnecessary barriers: Faculty should identify and remove barriers that do not serve pedagogical objectives (inaccessible materials, unclear expectations, arbitrary rules, hostile classroom environments). Removing these barriers does not reduce rigor; it ensures that rigor is assessed based on doctrinal knowledge rather than on students’ ability to navigate unnecessary obstacles.</w:t>
      </w:r>
    </w:p>
    <w:p w14:paraId="39D6F4A3" w14:textId="77777777" w:rsidR="003A2AA0" w:rsidRDefault="00BF743F">
      <w:r>
        <w:t>The key insight is that rigor and inclusion are compatible if rigor is defined by learning objectives rather than by traditional pedagogical instruments. The Valley of Despair, the cognitive experience of recognizing framework inadequacy, is necessary for achieving the learning objective (doctrinal knowledge). The live cold-call, the traditional instrument for producing the Valley, is not necessary and carries exclusionary effects. Alternative instruments can produce the Valley while promoting inclusion.</w:t>
      </w:r>
    </w:p>
    <w:p w14:paraId="0673EB6F" w14:textId="77777777" w:rsidR="003A2AA0" w:rsidRDefault="00BF743F" w:rsidP="006D4C51">
      <w:pPr>
        <w:pStyle w:val="Heading1"/>
      </w:pPr>
      <w:bookmarkStart w:id="20" w:name="part-v-the-valley-as-designed-necessity"/>
      <w:bookmarkEnd w:id="15"/>
      <w:bookmarkEnd w:id="19"/>
      <w:r>
        <w:t>PART V: THE VALLEY AS DESIGNED NECESSITY</w:t>
      </w:r>
    </w:p>
    <w:p w14:paraId="281BA91D" w14:textId="77777777" w:rsidR="003A2AA0" w:rsidRDefault="00BF743F">
      <w:r>
        <w:t>This Part presents the theoretical framework for the essay’s central claim: that the Valley of Despair is not a pedagogical accident to be mitigated but a designed necessity to be preserved. The argument proceeds in three steps: first, explaining the Dunning-Kruger curve and the Valley of Despair; second, presenting three philosophical frameworks that illuminate why the Valley is necessary; third, explaining why the Valley cannot be bypassed.</w:t>
      </w:r>
    </w:p>
    <w:p w14:paraId="48338252" w14:textId="77777777" w:rsidR="003A2AA0" w:rsidRDefault="00BF743F" w:rsidP="006D4C51">
      <w:pPr>
        <w:pStyle w:val="Heading2"/>
      </w:pPr>
      <w:bookmarkStart w:id="21" w:name="X7bf034be332c80f0e12c2ede7e4e24d773ff0d3"/>
      <w:r>
        <w:t>A. The Dunning-Kruger Curve and the Valley of Despair</w:t>
      </w:r>
    </w:p>
    <w:p w14:paraId="7B1B53E2" w14:textId="77777777" w:rsidR="003A2AA0" w:rsidRDefault="00BF743F">
      <w:r>
        <w:t>The Dunning-Kruger effect describes the relationship between competence and confidence across the learning process</w:t>
      </w:r>
      <w:r>
        <w:rPr>
          <w:rStyle w:val="FootnoteReference"/>
        </w:rPr>
        <w:footnoteReference w:id="99"/>
      </w:r>
      <w:r>
        <w:t>. The characteristic curve has four stages:</w:t>
      </w:r>
    </w:p>
    <w:p w14:paraId="626E0BF9" w14:textId="77777777" w:rsidR="003A2AA0" w:rsidRDefault="00BF743F">
      <w:r>
        <w:t>Stage 1: Peak of Mount Stupid: At the beginning of the learning process, individuals with minimal competence have maximum confidence. They do not know enough to recognize what they do not know. This is the stage at which Ray enters the Contracts course: he has operational fluency, which creates the illusion of understanding, and he is confident that he has a substantial head start.</w:t>
      </w:r>
    </w:p>
    <w:p w14:paraId="32CE2780" w14:textId="77777777" w:rsidR="003A2AA0" w:rsidRDefault="00BF743F">
      <w:r>
        <w:t>Stage 2: Valley of Despair: As learning progresses, individuals recognize that their existing framework is inadequate. Confidence drops sharply even as competence begins to increase. This is the most uncomfortable stage of learning, and it is the stage at which many students seek accommodation or consider withdrawing. The Valley occurs when Ray realizes that his operational fluency does not enable him to answer doctrinal questions, predict legal outcomes, or construct legal arguments.</w:t>
      </w:r>
    </w:p>
    <w:p w14:paraId="29CE1D63" w14:textId="77777777" w:rsidR="003A2AA0" w:rsidRDefault="00BF743F">
      <w:r>
        <w:t>Stage 3: Slope of Enlightenment: As individuals acquire genuine competence, confidence gradually increases in proportion to competence. This is the stage at which Ray begins to understand contract doctrine, can apply it to novel situations, and recognizes how it differs from his operational knowledge.</w:t>
      </w:r>
    </w:p>
    <w:p w14:paraId="634A282B" w14:textId="77777777" w:rsidR="003A2AA0" w:rsidRDefault="00BF743F">
      <w:r>
        <w:t>Stage 4: Plateau of Sustainability: At high levels of competence, confidence stabilizes at a realistic level. Individuals understand what they know, what they do not know, and the limits of their expertise. This is the stage at which Ray has integrated doctrinal knowledge with operational fluency and can function as a competent lawyer.</w:t>
      </w:r>
    </w:p>
    <w:p w14:paraId="2EF3E538" w14:textId="77777777" w:rsidR="003A2AA0" w:rsidRDefault="00BF743F">
      <w:r>
        <w:t>The pedagogical challenge is that the Valley (Stage 2) is necessary for reaching the Plateau (Stage 4), but it is also the stage at which students are most likely to seek accommodation, resist instruction, or attribute their struggles to poor teaching rather than to the learning process itself. The institutional pressures discussed in Part VII, course evaluations, retention metrics, accessibility arguments, all create incentives for faculty to help students avoid the Valley by accommodating their operational fluency.</w:t>
      </w:r>
    </w:p>
    <w:p w14:paraId="5DAD68E3" w14:textId="77777777" w:rsidR="003A2AA0" w:rsidRDefault="00BF743F">
      <w:r>
        <w:t>The essay’s central claim is that accommodating the Valley, allowing students to remain at the Peak by building on operational fluency rather than displacing it, prevents them from reaching the Plateau. The student who avoids the Valley acquires doctrinal vocabulary without doctrinal knowledge, which creates the illusion of competence (she can use legal terminology, participate in class discussions, and pass assessments that do not require deep doctrinal analysis) while the actual competence is absent.</w:t>
      </w:r>
    </w:p>
    <w:p w14:paraId="609DBA9C" w14:textId="77777777" w:rsidR="003A2AA0" w:rsidRDefault="00BF743F" w:rsidP="006D4C51">
      <w:pPr>
        <w:pStyle w:val="Heading2"/>
      </w:pPr>
      <w:bookmarkStart w:id="22" w:name="b.-three-philosophical-frameworks"/>
      <w:bookmarkEnd w:id="21"/>
      <w:r>
        <w:t>B. Three Philosophical Frameworks</w:t>
      </w:r>
    </w:p>
    <w:p w14:paraId="1E0CCCF6" w14:textId="77777777" w:rsidR="003A2AA0" w:rsidRDefault="00BF743F">
      <w:r>
        <w:t>Three philosophical frameworks illuminate why the Valley is necessary and why it cannot be bypassed: Tolkien’s portrait of Boromir’s adjacent-competence failure, Maimonides’ excavation principle, and Aquinas’s ordo doctrinae.</w:t>
      </w:r>
    </w:p>
    <w:p w14:paraId="6C1FCE7C" w14:textId="637F523B" w:rsidR="003A2AA0" w:rsidRDefault="00CC0DD2" w:rsidP="006D4C51">
      <w:pPr>
        <w:pStyle w:val="Heading3"/>
      </w:pPr>
      <w:bookmarkStart w:id="23" w:name="boromirs-adjacent-competence-failure"/>
      <w:r>
        <w:t xml:space="preserve">1. </w:t>
      </w:r>
      <w:r w:rsidR="00BF743F">
        <w:t>Boromir’s Adjacent-Competence Failure</w:t>
      </w:r>
    </w:p>
    <w:p w14:paraId="1B415213" w14:textId="77777777" w:rsidR="003A2AA0" w:rsidRDefault="00BF743F">
      <w:r>
        <w:t>In Tolkien’s The Lord of the Rings, Boromir is a skilled warrior, a proven military leader, and a man of genuine courage and honor</w:t>
      </w:r>
      <w:r>
        <w:rPr>
          <w:rStyle w:val="FootnoteReference"/>
        </w:rPr>
        <w:footnoteReference w:id="100"/>
      </w:r>
      <w:r>
        <w:t>. He has spent his life defending Gondor against Sauron’s forces, and he has been successful. When the Fellowship is formed to destroy the Ring, Boromir believes that his military expertise qualifies him to make strategic decisions about how to use the Ring. He proposes that the Ring should be taken to Gondor and used as a weapon against Sauron, a proposal that seems reasonable from a military perspective but reflects fundamental misunderstanding of the Ring’s nature.</w:t>
      </w:r>
    </w:p>
    <w:p w14:paraId="33F67374" w14:textId="77777777" w:rsidR="003A2AA0" w:rsidRDefault="00BF743F">
      <w:r>
        <w:t>Boromir’s failure is not a failure of courage, skill, or judgment within his domain of expertise. It is a failure to recognize that his domain of expertise (military strategy) is adjacent to but distinct from the domain in which he is operating (the metaphysics of power and corruption). His military success creates confidence that his strategic judgment is sound, which prevents him from recognizing that the Ring operates according to principles that his military framework cannot accommodate.</w:t>
      </w:r>
    </w:p>
    <w:p w14:paraId="10B7E6BC" w14:textId="77777777" w:rsidR="003A2AA0" w:rsidRDefault="00BF743F">
      <w:r>
        <w:t>The parallel to Ray is precise. Ray’s operational fluency in contract negotiation is genuine expertise, acquired through years of professional practice and validated by professional success. When he enters the Contracts course, he believes that this expertise qualifies him to make judgments about contract doctrine. He proposes that the course should focus on practical skills (drafting, negotiation, risk management) rather than on doctrine, a proposal that seems reasonable from a professional perspective but reflects fundamental misunderstanding of what doctrinal knowledge is and why it is necessary.</w:t>
      </w:r>
    </w:p>
    <w:p w14:paraId="7A1B799C" w14:textId="77777777" w:rsidR="003A2AA0" w:rsidRDefault="00BF743F">
      <w:r>
        <w:t>Ray’s failure, like Boromir’s, is not a failure of intelligence, experience, or judgment within his domain of expertise. It is a failure to recognize that his domain of expertise (contract negotiation) is adjacent to but distinct from the domain he needs to master (contract doctrine). His professional success creates confidence that his operational framework is adequate, which prevents him from recognizing that doctrine operates according to principles that his operational framework cannot accommodate.</w:t>
      </w:r>
    </w:p>
    <w:p w14:paraId="0B15422C" w14:textId="77777777" w:rsidR="003A2AA0" w:rsidRDefault="00BF743F">
      <w:r>
        <w:t>The lesson is that adjacent competence is more dangerous than ignorance because it forecloses the receptive condition that instruction requires. The ignorant student knows she does not know and is therefore receptive to instruction. The student with adjacent competence believes she already knows and is therefore resistant to instruction that challenges her existing framework. The Valley of Despair is the pedagogical mechanism for breaking through this resistance by revealing that the existing framework is inadequate.</w:t>
      </w:r>
    </w:p>
    <w:p w14:paraId="4998460F" w14:textId="77BCA74C" w:rsidR="003A2AA0" w:rsidRDefault="00CC0DD2" w:rsidP="006D4C51">
      <w:pPr>
        <w:pStyle w:val="Heading3"/>
      </w:pPr>
      <w:bookmarkStart w:id="24" w:name="maimonides-excavation-principle"/>
      <w:bookmarkEnd w:id="23"/>
      <w:r>
        <w:t xml:space="preserve">2. </w:t>
      </w:r>
      <w:r w:rsidR="00BF743F">
        <w:t>Maimonides’ Excavation Principle</w:t>
      </w:r>
    </w:p>
    <w:p w14:paraId="71C49080" w14:textId="77777777" w:rsidR="003A2AA0" w:rsidRDefault="00BF743F">
      <w:r>
        <w:t xml:space="preserve">In the </w:t>
      </w:r>
      <w:proofErr w:type="spellStart"/>
      <w:r>
        <w:t>Moreh</w:t>
      </w:r>
      <w:proofErr w:type="spellEnd"/>
      <w:r>
        <w:t xml:space="preserve"> </w:t>
      </w:r>
      <w:proofErr w:type="spellStart"/>
      <w:r>
        <w:t>Nevukhim</w:t>
      </w:r>
      <w:proofErr w:type="spellEnd"/>
      <w:r>
        <w:t xml:space="preserve"> (Guide for the Perplexed), Maimonides addresses the problem of students who come to philosophical study with existing beliefs that are incompatible with philosophical truth</w:t>
      </w:r>
      <w:r>
        <w:rPr>
          <w:rStyle w:val="FootnoteReference"/>
        </w:rPr>
        <w:footnoteReference w:id="101"/>
      </w:r>
      <w:r>
        <w:t>. He argues that instruction cannot simply add new knowledge to existing beliefs; it must first excavate the existing beliefs to create space for new knowledge. The metaphor is architectural: one cannot build a sound structure on a faulty foundation; one must first remove the faulty foundation and then build on solid ground</w:t>
      </w:r>
      <w:r>
        <w:rPr>
          <w:rStyle w:val="FootnoteReference"/>
        </w:rPr>
        <w:footnoteReference w:id="102"/>
      </w:r>
      <w:r>
        <w:t>.</w:t>
      </w:r>
    </w:p>
    <w:p w14:paraId="1CE883A6" w14:textId="77777777" w:rsidR="003A2AA0" w:rsidRDefault="00BF743F">
      <w:r>
        <w:t>Maimonides distinguishes between two types of students: those who are ignorant (who have no foundation) and those who have false beliefs (who have a faulty foundation)</w:t>
      </w:r>
      <w:r>
        <w:rPr>
          <w:rStyle w:val="FootnoteReference"/>
        </w:rPr>
        <w:footnoteReference w:id="103"/>
      </w:r>
      <w:r>
        <w:t>. The ignorant student is easier to teach because instruction can proceed directly to building the foundation. The student with false beliefs is more difficult to teach because instruction must first excavate the false beliefs, which is painful and disorienting, and only then can proceed to building the true foundation.</w:t>
      </w:r>
    </w:p>
    <w:p w14:paraId="1F0F489B" w14:textId="77777777" w:rsidR="003A2AA0" w:rsidRDefault="00BF743F">
      <w:r>
        <w:t>The excavation process is the Valley of Despair. It is the moment when the student recognizes that her existing beliefs are false, which creates cognitive and emotional discomfort. Maimonides argues that this discomfort is necessary because the student cannot acquire true knowledge while false beliefs remain in place. The false beliefs do not merely coexist with true knowledge; they actively prevent true knowledge from being acquired because they occupy the cognitive space that true knowledge requires.</w:t>
      </w:r>
    </w:p>
    <w:p w14:paraId="286118DC" w14:textId="77777777" w:rsidR="003A2AA0" w:rsidRDefault="00BF743F">
      <w:r>
        <w:t>The parallel to Ray is direct. Ray’s operational fluency is not merely incomplete knowledge (which could be supplemented with doctrinal knowledge); it is a faulty foundation that actively prevents doctrinal knowledge from being acquired. His operational framework provides answers to legal questions (How should I negotiate this clause? What terms should I include?), and as long as that framework remains in place, he has no reason to seek doctrinal answers to those questions. The doctrinal framework provides different answers based on different principles, but Ray cannot recognize this difference until his operational framework is excavated.</w:t>
      </w:r>
    </w:p>
    <w:p w14:paraId="30036C64" w14:textId="77777777" w:rsidR="003A2AA0" w:rsidRDefault="00BF743F">
      <w:r>
        <w:t>The excavation process is painful because Ray’s operational framework is not merely a set of beliefs; it is central to his professional identity and has been validated by professional success. Excavating it requires recognizing that his professional success was achieved without understanding the legal principles that governed his work, a recognition that is cognitively and emotionally difficult. But Maimonides’ argument is that this excavation is necessary because the operational framework and the doctrinal framework cannot coexist; one must be removed before the other can be built.</w:t>
      </w:r>
    </w:p>
    <w:p w14:paraId="0E620236" w14:textId="33BCCB67" w:rsidR="003A2AA0" w:rsidRDefault="00CC0DD2" w:rsidP="006D4C51">
      <w:pPr>
        <w:pStyle w:val="Heading3"/>
      </w:pPr>
      <w:bookmarkStart w:id="25" w:name="aquinass-ordo-doctrinae"/>
      <w:bookmarkEnd w:id="24"/>
      <w:r>
        <w:t xml:space="preserve">3. </w:t>
      </w:r>
      <w:r w:rsidR="00BF743F">
        <w:t>Aquinas’s Ordo Doctrinae</w:t>
      </w:r>
    </w:p>
    <w:p w14:paraId="60FB88D6" w14:textId="77777777" w:rsidR="003A2AA0" w:rsidRDefault="00BF743F">
      <w:r>
        <w:t xml:space="preserve">In the Summa </w:t>
      </w:r>
      <w:proofErr w:type="spellStart"/>
      <w:r>
        <w:t>Theologiae</w:t>
      </w:r>
      <w:proofErr w:type="spellEnd"/>
      <w:r>
        <w:t>, Aquinas addresses the question of pedagogical order: in what sequence should subjects be taught, and why does the sequence matter</w:t>
      </w:r>
      <w:r>
        <w:rPr>
          <w:rStyle w:val="FootnoteReference"/>
        </w:rPr>
        <w:footnoteReference w:id="104"/>
      </w:r>
      <w:r>
        <w:t>? He argues that instruction must follow the ordo doctrinae</w:t>
      </w:r>
      <w:r>
        <w:rPr>
          <w:rStyle w:val="FootnoteReference"/>
        </w:rPr>
        <w:footnoteReference w:id="105"/>
      </w:r>
      <w:r>
        <w:t xml:space="preserve"> (the order of teaching), which is distinct from the ordo essendi (the order of being) and the ordo cognoscendi (the order of knowing)</w:t>
      </w:r>
      <w:r>
        <w:rPr>
          <w:rStyle w:val="FootnoteReference"/>
        </w:rPr>
        <w:footnoteReference w:id="106"/>
      </w:r>
      <w:r>
        <w:t>. The order of teaching is determined by the student’s capacity to receive instruction, which changes as learning progresses.</w:t>
      </w:r>
    </w:p>
    <w:p w14:paraId="2CBD74ED" w14:textId="77777777" w:rsidR="003A2AA0" w:rsidRDefault="00BF743F">
      <w:r>
        <w:t>Aquinas distinguishes between two types of knowledge: knowledge of principles and knowledge of conclusions</w:t>
      </w:r>
      <w:r>
        <w:rPr>
          <w:rStyle w:val="FootnoteReference"/>
        </w:rPr>
        <w:footnoteReference w:id="107"/>
      </w:r>
      <w:r>
        <w:t>. Principles are foundational truths from which conclusions are derived. Conclusions are specific applications of principles to particular cases. The order of teaching requires that principles be taught before conclusions because conclusions cannot be understood without principles, but principles can be understood without conclusions.</w:t>
      </w:r>
    </w:p>
    <w:p w14:paraId="7B3B733F" w14:textId="77777777" w:rsidR="003A2AA0" w:rsidRDefault="00BF743F">
      <w:r>
        <w:t>However, Aquinas also recognizes that students often arrive with knowledge of conclusions (acquired through experience, observation, or authority) without knowledge of principles</w:t>
      </w:r>
      <w:r>
        <w:rPr>
          <w:rStyle w:val="FootnoteReference"/>
        </w:rPr>
        <w:footnoteReference w:id="108"/>
      </w:r>
      <w:r>
        <w:t>. The pedagogical challenge is that this knowledge of conclusions creates the illusion that principles are unnecessary. The student can answer specific questions correctly (by applying memorized conclusions) without understanding why those answers are correct (which requires understanding principles).</w:t>
      </w:r>
    </w:p>
    <w:p w14:paraId="32C13F35" w14:textId="77777777" w:rsidR="003A2AA0" w:rsidRDefault="00BF743F">
      <w:r>
        <w:t>Aquinas argues that instruction must displace knowledge of conclusions before teaching principles because the student who has memorized conclusions has no reason to seek principles</w:t>
      </w:r>
      <w:r>
        <w:rPr>
          <w:rStyle w:val="FootnoteReference"/>
        </w:rPr>
        <w:footnoteReference w:id="109"/>
      </w:r>
      <w:r>
        <w:t>. The displacement process is uncomfortable because the student experiences it as losing knowledge (the conclusions she memorized) rather than as preparing to gain knowledge (the principles that will enable her to derive conclusions). But Aquinas argues that this displacement is necessary because principles cannot be taught to a student who believes she already knows the conclusions.</w:t>
      </w:r>
    </w:p>
    <w:p w14:paraId="3AA2AFBE" w14:textId="77777777" w:rsidR="003A2AA0" w:rsidRDefault="00BF743F">
      <w:r>
        <w:t>The parallel to Ray is clear. Ray has knowledge of conclusions (operational knowledge of how to negotiate contracts, what terms to include, what problems to avoid) without knowledge of principles (doctrinal knowledge of why contracts are enforceable, what policies contract law serves, how courts interpret ambiguous terms). His knowledge of conclusions creates the illusion that principles are unnecessary, he can negotiate contracts successfully without understanding contract doctrine, so why does he need to learn contract doctrine?</w:t>
      </w:r>
    </w:p>
    <w:p w14:paraId="0E3CDD8C" w14:textId="77777777" w:rsidR="003A2AA0" w:rsidRDefault="00BF743F">
      <w:r>
        <w:t>The answer is that knowledge of conclusions is context-specific and non-transferable, while knowledge of principles is generalizable and transferable. Ray’s operational knowledge enables him to negotiate contracts in familiar professional contexts, but it does not enable him to analyze novel contract issues, predict how courts will resolve ambiguities, or construct legal arguments. These capabilities require knowledge of principles, but Ray cannot acquire knowledge of principles until his knowledge of conclusions is displaced.</w:t>
      </w:r>
    </w:p>
    <w:p w14:paraId="500C0F50" w14:textId="77777777" w:rsidR="003A2AA0" w:rsidRDefault="00BF743F">
      <w:r>
        <w:t>The displacement process is the Valley of Despair. It is the moment when Ray recognizes that his operational knowledge (conclusions) is inadequate for legal analysis (which requires principles). This recognition is uncomfortable because Ray experiences it as losing expertise rather than as preparing to gain a different kind of expertise. But Aquinas’s argument is that this displacement is necessary because principles cannot be taught to a student who believes he already knows the conclusions.</w:t>
      </w:r>
    </w:p>
    <w:p w14:paraId="79B44687" w14:textId="77777777" w:rsidR="003A2AA0" w:rsidRDefault="00BF743F" w:rsidP="006D4C51">
      <w:pPr>
        <w:pStyle w:val="Heading2"/>
      </w:pPr>
      <w:bookmarkStart w:id="26" w:name="c.-why-the-valley-cannot-be-bypassed"/>
      <w:bookmarkEnd w:id="22"/>
      <w:bookmarkEnd w:id="25"/>
      <w:r>
        <w:t>C. Why the Valley Cannot Be Bypassed</w:t>
      </w:r>
    </w:p>
    <w:p w14:paraId="14029A6A" w14:textId="77777777" w:rsidR="003A2AA0" w:rsidRDefault="00BF743F">
      <w:r>
        <w:t>The three philosophical frameworks converge on a single insight: the Valley of Despair cannot be bypassed because it represents the cognitive process of displacing an inadequate framework and constructing an adequate framework. This process is not merely uncomfortable; it is constitutive of learning in situations where the learner arrives with adjacent competence.</w:t>
      </w:r>
    </w:p>
    <w:p w14:paraId="42EA813D" w14:textId="77777777" w:rsidR="003A2AA0" w:rsidRDefault="00BF743F">
      <w:r>
        <w:t>Three arguments support this claim:</w:t>
      </w:r>
    </w:p>
    <w:p w14:paraId="396CEBDC" w14:textId="77777777" w:rsidR="003A2AA0" w:rsidRDefault="00BF743F">
      <w:r>
        <w:t>First, cognitive argument: Operational and doctrinal frameworks are not merely different; they are incompatible in the sense that they provide different answers to the same questions based on different principles. Ray’s operational framework tells him that a contract is enforceable if both parties signed it and intended to be bound. Contract doctrine tells him that a contract is enforceable if there was offer, acceptance, and consideration (or a substitute for consideration). These frameworks can coexist in the sense that Ray can memorize the doctrinal rule while continuing to rely on the operational framework, but they cannot both be operative frameworks for analysis. As long as Ray’s operational framework remains his primary framework, he will not use the doctrinal framework even if he has memorized it. The Valley is the process of making the doctrinal framework operative by displacing the operational framework.</w:t>
      </w:r>
    </w:p>
    <w:p w14:paraId="22A12393" w14:textId="77777777" w:rsidR="003A2AA0" w:rsidRDefault="00BF743F">
      <w:r>
        <w:t>Second, metacognitive argument: The Dunning-Kruger effect is a metacognitive phenomenon, individuals with low competence lack the metacognitive tools to recognize their own incompetence</w:t>
      </w:r>
      <w:r>
        <w:rPr>
          <w:rStyle w:val="FootnoteReference"/>
        </w:rPr>
        <w:footnoteReference w:id="110"/>
      </w:r>
      <w:r>
        <w:t>. Ray’s operational fluency creates high confidence, which prevents him from recognizing that he lacks doctrinal knowledge. The Valley is the process of acquiring the metacognitive awareness necessary to recognize the distinction between operational and doctrinal knowledge. This awareness cannot be taught directly (telling Ray that his operational knowledge is inadequate does not produce the awareness); it must be experienced through the process of attempting to use operational knowledge for doctrinal analysis and discovering that it is inadequate.</w:t>
      </w:r>
    </w:p>
    <w:p w14:paraId="1ADE9147" w14:textId="77777777" w:rsidR="003A2AA0" w:rsidRDefault="00BF743F">
      <w:r>
        <w:t>Third, motivational argument: Learning is effortful, and students will not engage in effortful learning if they believe they already know the material</w:t>
      </w:r>
      <w:r>
        <w:rPr>
          <w:rStyle w:val="FootnoteReference"/>
        </w:rPr>
        <w:footnoteReference w:id="111"/>
      </w:r>
      <w:r>
        <w:t>. Ray’s operational fluency creates the belief that he already understands contracts, which eliminates his motivation to learn contract doctrine. The Valley is the process of creating the motivation for learning by revealing that existing knowledge is inadequate. This motivation cannot be created through extrinsic incentives (grades, credentials, career advancement) because Ray already has professional success and does not believe he needs doctrinal knowledge for further success. The motivation must be intrinsic, created by the recognition that his existing framework cannot answer questions he wants to answer.</w:t>
      </w:r>
    </w:p>
    <w:p w14:paraId="67780038" w14:textId="77777777" w:rsidR="003A2AA0" w:rsidRDefault="00BF743F">
      <w:r>
        <w:t>These three arguments explain why accommodating the Valley, allowing Ray to build on operational fluency rather than displacing it, prevents learning.</w:t>
      </w:r>
      <w:r>
        <w:rPr>
          <w:rStyle w:val="FootnoteReference"/>
        </w:rPr>
        <w:footnoteReference w:id="112"/>
      </w:r>
      <w:r>
        <w:t xml:space="preserve"> Accommodation allows the operational framework to remain operative (cognitive), prevents the metacognitive awareness of its inadequacy (metacognitive), and eliminates the motivation for acquiring doctrinal knowledge (motivational). The result is that Ray acquires doctrinal vocabulary (he can use legal terminology in class discussions and on exams) without doctrinal knowledge (he cannot use doctrinal principles to analyze novel situations, predict legal outcomes, or construct legal arguments).</w:t>
      </w:r>
    </w:p>
    <w:p w14:paraId="01AD63BA" w14:textId="77777777" w:rsidR="003A2AA0" w:rsidRDefault="00BF743F">
      <w:r>
        <w:t>The following Part identifies specific pedagogical instruments for producing the Valley in hybrid and asynchronous contexts. Part VII examines institutional pressures that incentivize accommodation and distinguishes legitimate from problematic accommodation.</w:t>
      </w:r>
    </w:p>
    <w:p w14:paraId="73D781F3" w14:textId="77777777" w:rsidR="003A2AA0" w:rsidRDefault="00BF743F" w:rsidP="006D4C51">
      <w:pPr>
        <w:pStyle w:val="Heading1"/>
      </w:pPr>
      <w:bookmarkStart w:id="27" w:name="Xfd35dc1f70ce956041e3ff2df4494dfea294662"/>
      <w:bookmarkEnd w:id="20"/>
      <w:bookmarkEnd w:id="26"/>
      <w:r>
        <w:t>PART VI: PERFORMING THE SOCRATIC FUNCTION IN HYBRID CONTEXTS</w:t>
      </w:r>
    </w:p>
    <w:p w14:paraId="2DA14E01" w14:textId="77777777" w:rsidR="003A2AA0" w:rsidRDefault="00BF743F">
      <w:r>
        <w:t>The traditional Socratic method, the live cold-call in a residential classroom, is not available in many hybrid and asynchronous contexts, and even when it is available, it carries exclusionary effects that are not pedagogically necessary (as discussed in Part IV). This Part identifies alternative pedagogical instruments for producing the Valley of Despair in hybrid and asynchronous contexts. Each instrument is designed to reveal the inadequacy of operational fluency and require doctrinal analysis, while accommodating different communication styles, providing time for reflection, and reducing public performance pressure.</w:t>
      </w:r>
    </w:p>
    <w:p w14:paraId="203A3709" w14:textId="77777777" w:rsidR="003A2AA0" w:rsidRDefault="00BF743F" w:rsidP="006D4C51">
      <w:pPr>
        <w:pStyle w:val="Heading2"/>
      </w:pPr>
      <w:bookmarkStart w:id="28" w:name="X448e4df5c048f7bfc13edf683660d5ca8c9b006"/>
      <w:r>
        <w:t>A. Pre-Recorded Case Analysis with Embedded Errors</w:t>
      </w:r>
    </w:p>
    <w:p w14:paraId="745E105C" w14:textId="77777777" w:rsidR="003A2AA0" w:rsidRDefault="00BF743F">
      <w:r>
        <w:t>Description: The professor creates a pre-recorded video analyzing a case, but the analysis contains deliberate errors, misstatements of doctrine, incorrect application of rules, omission of relevant issues, or flawed reasoning. Students watch the video, identify the errors, and submit written or video responses explaining what is wrong and how the analysis should be corrected.</w:t>
      </w:r>
    </w:p>
    <w:p w14:paraId="57A68D2F" w14:textId="77777777" w:rsidR="003A2AA0" w:rsidRDefault="00BF743F">
      <w:r>
        <w:t>How it produces the Valley: Students with operational fluency will initially believe they can identify errors based on practical judgment (“that outcome doesn’t make sense from a business perspective”). However, the errors are doctrinal (misstatement of legal rules, incorrect application of precedent, failure to address policy considerations), which requires doctrinal knowledge to identify. Students discover that their operational framework is inadequate for identifying doctrinal errors, which creates the Valley.</w:t>
      </w:r>
    </w:p>
    <w:p w14:paraId="2B833657" w14:textId="77777777" w:rsidR="003A2AA0" w:rsidRDefault="00BF743F">
      <w:r>
        <w:t>Advantages: - Removes public performance pressure (students work privately) - Provides time for reflection and revision - Creates a permanent record that students can review - Allows students to pause, rewind, and re-watch the analysis - Accommodates different processing speeds and learning styles - Can be designed to target specific doctrinal issues</w:t>
      </w:r>
    </w:p>
    <w:p w14:paraId="63C88184" w14:textId="77777777" w:rsidR="003A2AA0" w:rsidRDefault="00BF743F">
      <w:r>
        <w:t>Implementation considerations: - Errors should be subtle enough to require careful doctrinal analysis but clear enough to be identifiable by students who have done the reading - The professor should provide a model answer after students submit responses, explaining each error and the correct analysis - Students should be required to justify their identifications with doctrinal reasoning, not merely to identify errors - The exercise should be repeated throughout the semester with increasing difficulty</w:t>
      </w:r>
    </w:p>
    <w:p w14:paraId="1E1DA3F5" w14:textId="77777777" w:rsidR="003A2AA0" w:rsidRDefault="00BF743F">
      <w:r>
        <w:t>Assessment: Students are assessed on their ability to identify errors, explain why they are errors in doctrinal terms, and provide correct analysis. Grading rubrics should explicitly assess doctrinal knowledge (accurate statement of rules, correct application, recognition of policy considerations) rather than practical judgment.</w:t>
      </w:r>
    </w:p>
    <w:p w14:paraId="7227C345" w14:textId="77777777" w:rsidR="003A2AA0" w:rsidRDefault="00BF743F" w:rsidP="006D4C51">
      <w:pPr>
        <w:pStyle w:val="Heading2"/>
      </w:pPr>
      <w:bookmarkStart w:id="29" w:name="X60bfbe709a4efcbbd5bbc0bc4766d32e0d6911a"/>
      <w:bookmarkEnd w:id="28"/>
      <w:r>
        <w:t>B. Structured Discussion Boards with Socratic Sequencing</w:t>
      </w:r>
    </w:p>
    <w:p w14:paraId="7A7B2307" w14:textId="77777777" w:rsidR="003A2AA0" w:rsidRDefault="00BF743F">
      <w:r>
        <w:t>Description: The professor posts a case or hypothetical to a discussion board and asks an initial question. Students post responses. The professor then posts follow-up questions that challenge students’ responses, identify weaknesses in their reasoning, or require them to address complications. The sequence continues for several rounds, with each round requiring deeper doctrinal analysis.</w:t>
      </w:r>
    </w:p>
    <w:p w14:paraId="60FBB236" w14:textId="77777777" w:rsidR="003A2AA0" w:rsidRDefault="00BF743F">
      <w:r>
        <w:t>How it produces the Valley: Initial questions can often be answered using operational knowledge (“What should the parties have done differently?”). Follow-up questions require doctrinal analysis (“Under what doctrine would that outcome be justified? What policy does that doctrine serve? How would a court distinguish this case from [precedent]?”). Students discover that their operational framework is adequate for initial questions but inadequate for follow-up questions, which creates the Valley.</w:t>
      </w:r>
    </w:p>
    <w:p w14:paraId="32F0A666" w14:textId="77777777" w:rsidR="003A2AA0" w:rsidRDefault="00BF743F">
      <w:r>
        <w:t>Advantages: - Provides time for reflection between rounds - Creates a written record of the dialogue - Allows students to revise their thinking as the sequence progresses - Accommodates different communication styles (written rather than oral) - Enables peer learning (students can read each other’s responses) - Can be designed to address multiple doctrinal issues simultaneously</w:t>
      </w:r>
    </w:p>
    <w:p w14:paraId="552C564B" w14:textId="77777777" w:rsidR="003A2AA0" w:rsidRDefault="00BF743F">
      <w:r>
        <w:t>Implementation considerations: - The professor should design the question sequence in advance to ensure it requires progressively deeper doctrinal analysis - Follow-up questions should be tailored to individual students’ responses, which requires the professor to read and respond to each post - The professor should model doctrinal reasoning in follow-up questions (“How would a court applying [doctrine] analyze this fact? What policy considerations are relevant?”) - Students should be required to engage with each other’s responses, not merely to respond to the professor - The sequence should conclude with a synthesis post from the professor explaining the doctrinal principles illustrated by the dialogue</w:t>
      </w:r>
    </w:p>
    <w:p w14:paraId="20F760C7" w14:textId="77777777" w:rsidR="003A2AA0" w:rsidRDefault="00BF743F">
      <w:r>
        <w:t>Assessment: Students are assessed on the quality of their responses across the sequence, with particular attention to whether they demonstrate doctrinal learning as the sequence progresses. Grading rubrics should assess doctrinal reasoning (identification of relevant rules, accurate application, recognition of ambiguities and counterarguments) rather than initial intuitions.</w:t>
      </w:r>
    </w:p>
    <w:p w14:paraId="4D486A7D" w14:textId="77777777" w:rsidR="003A2AA0" w:rsidRDefault="00BF743F" w:rsidP="006D4C51">
      <w:pPr>
        <w:pStyle w:val="Heading2"/>
      </w:pPr>
      <w:bookmarkStart w:id="30" w:name="X6f60df4de08fc287bcfcb14797dd6ee85f5a177"/>
      <w:bookmarkEnd w:id="29"/>
      <w:r>
        <w:t>C. Asynchronous Cold-Calls via Video Response</w:t>
      </w:r>
    </w:p>
    <w:p w14:paraId="6E2A2017" w14:textId="77777777" w:rsidR="003A2AA0" w:rsidRDefault="00BF743F">
      <w:r>
        <w:t>Description: The professor assigns each student a case and a set of questions. Students record video responses (5-10 minutes) analyzing the case and answering the questions. The professor provides written or video feedback on each response, identifying strengths and weaknesses in the analysis. Students may be required to submit revised responses addressing the feedback.</w:t>
      </w:r>
    </w:p>
    <w:p w14:paraId="611DF4A9" w14:textId="77777777" w:rsidR="003A2AA0" w:rsidRDefault="00BF743F">
      <w:r>
        <w:t>How it produces the Valley: Students with operational fluency will initially attempt to answer questions based on practical judgment. The professor’s feedback identifies where operational reasoning is inadequate and requires doctrinal analysis. Students discover that their operational framework does not enable them to answer doctrinal questions, which creates the Valley.</w:t>
      </w:r>
    </w:p>
    <w:p w14:paraId="553FDD39" w14:textId="77777777" w:rsidR="003A2AA0" w:rsidRDefault="00BF743F">
      <w:r>
        <w:t>Advantages: - Preserves individual accountability of the cold-call - Removes public performance pressure (students record privately) - Allows students to prepare, practice, and revise before submitting - Creates a permanent record that students can review - Enables the professor to provide detailed individualized feedback - Can be designed to target specific doctrinal issues for each student</w:t>
      </w:r>
    </w:p>
    <w:p w14:paraId="0E16A7C8" w14:textId="77777777" w:rsidR="003A2AA0" w:rsidRDefault="00BF743F">
      <w:r>
        <w:t>Implementation considerations: - Questions should require doctrinal analysis, not merely recitation of facts or holdings - The professor should provide a model answer after students submit responses - Students should be required to submit revised responses addressing the professor’s feedback, which creates an iterative learning process - The exercise should be repeated throughout the semester with increasing difficulty - Students should be encouraged to watch each other’s responses (with permission) to learn from peers</w:t>
      </w:r>
    </w:p>
    <w:p w14:paraId="162F4F7E" w14:textId="77777777" w:rsidR="003A2AA0" w:rsidRDefault="00BF743F">
      <w:r>
        <w:t>Assessment: Students are assessed on both initial responses and revised responses. Grading rubrics should assess doctrinal reasoning (identification of relevant rules, accurate application, recognition of policy considerations, response to counterarguments) and improvement across iterations.</w:t>
      </w:r>
    </w:p>
    <w:p w14:paraId="30095237" w14:textId="77777777" w:rsidR="003A2AA0" w:rsidRDefault="00BF743F" w:rsidP="006D4C51">
      <w:pPr>
        <w:pStyle w:val="Heading2"/>
      </w:pPr>
      <w:bookmarkStart w:id="31" w:name="d.-peer-review-with-doctrinal-rubrics"/>
      <w:bookmarkEnd w:id="30"/>
      <w:r>
        <w:t>D. Peer Review with Doctrinal Rubrics</w:t>
      </w:r>
    </w:p>
    <w:p w14:paraId="70A3DFB8" w14:textId="77777777" w:rsidR="003A2AA0" w:rsidRDefault="00BF743F">
      <w:r>
        <w:t>Description: Students submit written case analyses or legal memoranda. Each student’s work is reviewed by 2-3 peers using a detailed doctrinal rubric provided by the professor. Reviewers provide written feedback identifying strengths and weaknesses in the analysis. Students revise their work based on peer feedback and submit revised versions.</w:t>
      </w:r>
    </w:p>
    <w:p w14:paraId="59CA8A95" w14:textId="77777777" w:rsidR="003A2AA0" w:rsidRDefault="00BF743F">
      <w:r>
        <w:t>How it produces the Valley: Students with operational fluency will initially write analyses based on practical judgment. Peer reviewers, using the doctrinal rubric, will identify where operational reasoning is inadequate. Students discover that their operational framework does not satisfy the doctrinal rubric, which creates the Valley. Additionally, serving as a peer reviewer requires students to apply the doctrinal rubric to others’ work, which develops their ability to recognize doctrinal reasoning.</w:t>
      </w:r>
    </w:p>
    <w:p w14:paraId="4A334FD1" w14:textId="77777777" w:rsidR="003A2AA0" w:rsidRDefault="00BF743F">
      <w:r>
        <w:t>Advantages: - Distributes the evaluative function across students rather than concentrating it in the professor - Develops metacognitive awareness (students learn to evaluate doctrinal reasoning by evaluating peers’ work) - Creates opportunities for collaborative learning - Provides multiple perspectives on each student’s work - Reduces professor workload while maintaining rigorous feedback - Accommodates different learning styles (some students learn better by evaluating others’ work than by receiving feedback on their own)</w:t>
      </w:r>
    </w:p>
    <w:p w14:paraId="2D89EF07" w14:textId="77777777" w:rsidR="003A2AA0" w:rsidRDefault="00BF743F">
      <w:r>
        <w:t>Implementation considerations: - The doctrinal rubric must be detailed and explicit, specifying what counts as adequate doctrinal reasoning - The professor should train students in how to use the rubric through practice exercises - Peer review should be anonymous to reduce social pressure - The professor should review a sample of peer feedback to ensure reviewers are applying the rubric correctly - Students should be assessed on the quality of their peer reviews as well as on their own work</w:t>
      </w:r>
    </w:p>
    <w:p w14:paraId="1FA39AD0" w14:textId="77777777" w:rsidR="003A2AA0" w:rsidRDefault="00BF743F">
      <w:r>
        <w:t>Assessment: Students are assessed on three dimensions: (1) the quality of their initial analysis, (2) the quality of their peer reviews, and (3) the quality of their revised analysis. Grading rubrics should assess doctrinal reasoning on all three dimensions.</w:t>
      </w:r>
    </w:p>
    <w:p w14:paraId="6276EB09" w14:textId="77777777" w:rsidR="003A2AA0" w:rsidRDefault="00BF743F" w:rsidP="006D4C51">
      <w:pPr>
        <w:pStyle w:val="Heading2"/>
      </w:pPr>
      <w:bookmarkStart w:id="32" w:name="e.-implementation-considerations"/>
      <w:bookmarkEnd w:id="31"/>
      <w:r>
        <w:t>E. Implementation Considerations</w:t>
      </w:r>
    </w:p>
    <w:p w14:paraId="0723B16F" w14:textId="77777777" w:rsidR="003A2AA0" w:rsidRDefault="00BF743F">
      <w:r>
        <w:t>These four instruments are not mutually exclusive; they can be combined and sequenced throughout a course to produce the Valley repeatedly and in different contexts. Effective implementation requires:</w:t>
      </w:r>
    </w:p>
    <w:p w14:paraId="7F5A97C8" w14:textId="77777777" w:rsidR="003A2AA0" w:rsidRDefault="00BF743F">
      <w:pPr>
        <w:numPr>
          <w:ilvl w:val="0"/>
          <w:numId w:val="13"/>
        </w:numPr>
      </w:pPr>
      <w:r>
        <w:t>Explicit learning objectives: Students should understand that the objective is to acquire doctrinal knowledge (understanding legal principles, applying them to novel situations, constructing legal arguments) rather than to develop practical skills or professional judgment. The professor should explain why doctrinal knowledge is necessary and how it differs from operational knowledge.</w:t>
      </w:r>
    </w:p>
    <w:p w14:paraId="517DD728" w14:textId="77777777" w:rsidR="003A2AA0" w:rsidRDefault="00BF743F">
      <w:pPr>
        <w:numPr>
          <w:ilvl w:val="0"/>
          <w:numId w:val="13"/>
        </w:numPr>
      </w:pPr>
      <w:r>
        <w:t>Detailed rubrics: Assessment rubrics should explicitly specify what counts as adequate doctrinal reasoning (identification of relevant rules, accurate statement of doctrine, correct application to facts, recognition of ambiguities and counterarguments, engagement with policy considerations). Rubrics should be provided to students in advance so they understand what is expected.</w:t>
      </w:r>
    </w:p>
    <w:p w14:paraId="63B3EAFA" w14:textId="77777777" w:rsidR="003A2AA0" w:rsidRDefault="00BF743F">
      <w:pPr>
        <w:numPr>
          <w:ilvl w:val="0"/>
          <w:numId w:val="13"/>
        </w:numPr>
      </w:pPr>
      <w:r>
        <w:t>Iterative feedback: Students should receive multiple opportunities to demonstrate doctrinal knowledge, with feedback after each attempt. The Valley is not a single moment but a process that occurs repeatedly as students encounter new doctrinal issues. Iterative feedback allows students to learn from mistakes and develop doctrinal reasoning progressively.</w:t>
      </w:r>
    </w:p>
    <w:p w14:paraId="084A63AC" w14:textId="77777777" w:rsidR="003A2AA0" w:rsidRDefault="00BF743F">
      <w:pPr>
        <w:numPr>
          <w:ilvl w:val="0"/>
          <w:numId w:val="13"/>
        </w:numPr>
      </w:pPr>
      <w:r>
        <w:t>Model answers: The professor should provide model answers demonstrating expert doctrinal reasoning. Model answers serve two functions: they show students what adequate doctrinal reasoning looks like, and they provide a standard against which students can evaluate their own work.</w:t>
      </w:r>
    </w:p>
    <w:p w14:paraId="28DE71B6" w14:textId="77777777" w:rsidR="003A2AA0" w:rsidRDefault="00BF743F">
      <w:pPr>
        <w:numPr>
          <w:ilvl w:val="0"/>
          <w:numId w:val="13"/>
        </w:numPr>
      </w:pPr>
      <w:r>
        <w:t>Metacognitive reflection: Students should be asked to reflect on their own learning process, identifying moments when they discovered that their existing framework was inadequate and describing how they constructed a new framework. Metacognitive reflection develops awareness of the distinction between operational and doctrinal knowledge and helps students recognize when they are relying on operational reasoning inappropriately.</w:t>
      </w:r>
    </w:p>
    <w:p w14:paraId="78BD1DBE" w14:textId="77777777" w:rsidR="003A2AA0" w:rsidRDefault="00BF743F">
      <w:pPr>
        <w:numPr>
          <w:ilvl w:val="0"/>
          <w:numId w:val="13"/>
        </w:numPr>
      </w:pPr>
      <w:r>
        <w:t>Resource requirements: These instruments require significant faculty time for design, implementation, and feedback. Pre-recorded videos must be created, discussion board sequences must be designed and monitored, video responses must be reviewed, and peer review must be trained and supervised. Institutions should recognize these resource requirements and provide appropriate support (course releases, instructional design assistance, technology support).</w:t>
      </w:r>
    </w:p>
    <w:p w14:paraId="0A2AFEEF" w14:textId="77777777" w:rsidR="003A2AA0" w:rsidRDefault="00BF743F">
      <w:pPr>
        <w:numPr>
          <w:ilvl w:val="0"/>
          <w:numId w:val="13"/>
        </w:numPr>
      </w:pPr>
      <w:r>
        <w:t>Evidence of effectiveness: While these instruments are grounded in cognitive science research on desirable difficulties and metacognitive awareness, their effectiveness for producing the Valley in mid-career professionals with operational fluency has not been empirically tested. Faculty who implement these instruments should collect data on student learning outcomes (performance on assessments requiring doctrinal analysis, bar passage rates, employer evaluations) and student experiences (surveys, interviews, reflective writing) to evaluate effectiveness and refine implementation.</w:t>
      </w:r>
    </w:p>
    <w:p w14:paraId="2E82C282" w14:textId="77777777" w:rsidR="003A2AA0" w:rsidRDefault="00BF743F">
      <w:r>
        <w:t>The following Part examines institutional pressures that incentivize accommodation and distinguishes legitimate from problematic accommodation.</w:t>
      </w:r>
    </w:p>
    <w:p w14:paraId="696CCB18" w14:textId="77777777" w:rsidR="003A2AA0" w:rsidRDefault="00BF743F" w:rsidP="006D4C51">
      <w:pPr>
        <w:pStyle w:val="Heading2"/>
      </w:pPr>
      <w:bookmarkStart w:id="33" w:name="Xc633d373b34c4bb6c1802b2a423ba4956dda842"/>
      <w:bookmarkEnd w:id="32"/>
      <w:r>
        <w:t>F. Ray’s Journey Through the Valley: A Case Study</w:t>
      </w:r>
    </w:p>
    <w:p w14:paraId="0DB837B5" w14:textId="77777777" w:rsidR="003A2AA0" w:rsidRDefault="00BF743F">
      <w:r>
        <w:t>The pedagogical instruments described above are not theoretical constructs. They have been implemented, tested, and refined across seven years of teaching mid-career professionals in hybrid J.D. programs. Ray’s journey (the composite introduced in Part I)illustrates how these instruments produce the Valley of Despair and, critically, how students navigate it successfully.</w:t>
      </w:r>
    </w:p>
    <w:p w14:paraId="6F3DC204" w14:textId="225B0CA0" w:rsidR="003A2AA0" w:rsidRDefault="00CC0DD2" w:rsidP="006D4C51">
      <w:pPr>
        <w:pStyle w:val="Heading3"/>
      </w:pPr>
      <w:bookmarkStart w:id="34" w:name="the-descent"/>
      <w:r>
        <w:t xml:space="preserve">1. </w:t>
      </w:r>
      <w:r w:rsidR="00BF743F">
        <w:t>The Descent</w:t>
      </w:r>
    </w:p>
    <w:p w14:paraId="2F48F430" w14:textId="77777777" w:rsidR="003A2AA0" w:rsidRDefault="00BF743F">
      <w:r>
        <w:t>Ray approached the first asynchronous cold-call assignment with confidence. The prompt asked him to analyze Hawkins v. McGee,</w:t>
      </w:r>
      <w:r>
        <w:rPr>
          <w:vertAlign w:val="superscript"/>
        </w:rPr>
        <w:t>1</w:t>
      </w:r>
      <w:r>
        <w:t xml:space="preserve"> the famous “hairy hand” case, via a ten-minute video response. The question was straightforward: “What remedy should the plaintiff receive, and why?” Ray had negotiated warranty provisions in hundreds of supply contracts. He knew exactly what remedy the plaintiff should receive: expectation damages equal to the difference between the promised value and the actual value delivered, plus consequential damages if foreseeable. He recorded his response in one take, drawing on his professional experience with breach-of-warranty claims, and submitted it with confidence.</w:t>
      </w:r>
    </w:p>
    <w:p w14:paraId="1CCC9C19" w14:textId="77777777" w:rsidR="003A2AA0" w:rsidRDefault="00BF743F">
      <w:r>
        <w:t>The feedback was not what he expected. The rubric indicated that his answer was “operationally correct but doctrinally incomplete.” He had identified the correct remedy (expectation damages) and the correct measure (difference in value), but he had not explained why contract law awards expectation damages rather than reliance damages or restitution. He had not discussed the policy of putting the non-breaching party in the position she would have occupied had the contract been performed. He had not recognized that the case involved a choice among remedial theories, each grounded in a different conception of what contract law is for. He had answered the question a supply chain director would answer (what remedy makes commercial sense)but not the question a lawyer must answer, what remedy is the law entitled to award, and why.</w:t>
      </w:r>
    </w:p>
    <w:p w14:paraId="708D2992" w14:textId="77777777" w:rsidR="003A2AA0" w:rsidRDefault="00BF743F">
      <w:r>
        <w:t>Ray’s initial reaction was frustration. The feedback seemed to penalize him for knowing too much, for bringing professional experience to bear on a legal problem. He had given the right answer. Why did it matter that he hadn’t explained the “theory”? In practice, no one asks about theories. They ask: What do we owe? What can we recover? How do we minimize exposure? Ray knew how to answer those questions. Wasn’t that the point?</w:t>
      </w:r>
    </w:p>
    <w:p w14:paraId="7280B29B" w14:textId="77777777" w:rsidR="003A2AA0" w:rsidRDefault="00BF743F">
      <w:r>
        <w:t>The second assignment, the structured discussion board with Socratic sequencing, intensified his discomfort. The prompt presented a contract formation problem involving a purchase order and an acknowledgment with additional terms. Ray was asked to post his analysis, then to identify flaws in two peers’ analyses, then to respond to challenges to his own analysis. Ray posted his analysis confidently: the contract was formed when the vendor accepted the purchase order, and the additional terms in the acknowledgment were proposals for modification that became part of the contract if the buyer didn’t object. This was how it worked in his professional experience. Vendors added terms; buyers either objected or didn’t; if they didn’t object, the terms were in.</w:t>
      </w:r>
    </w:p>
    <w:p w14:paraId="4E50EC27" w14:textId="77777777" w:rsidR="003A2AA0" w:rsidRDefault="00BF743F">
      <w:r>
        <w:t>The peer responses revealed the problem. One peer cited UCC § 2-207 and explained that under the “knockout rule,” conflicting terms in the offer and acceptance cancel each other out, with UCC gap-fillers applying. Another peer distinguished between contracts between merchants and contracts involving non-merchants, noting that additional terms become part of the contract automatically between merchants unless they materially alter the contract. A third peer asked whether the additional terms in the vendor’s acknowledgment were “material alterations,” which would prevent them from becoming part of the contract even between merchants.</w:t>
      </w:r>
    </w:p>
    <w:p w14:paraId="11807A26" w14:textId="77777777" w:rsidR="003A2AA0" w:rsidRDefault="00BF743F">
      <w:r>
        <w:t>Ray had never heard of the knockout rule. He had never distinguished between merchants and non-merchants for purposes of contract formation. He had never analyzed whether a term was a “material alteration.” He had negotiated contracts for fifteen years without knowing that UCC § 2-207 existed, much less what it required. His operational framework, vendors add terms, buyers object or don’t, terms are in if no objection, was not merely incomplete. It was wrong. And he had been operating under it, successfully, for his entire career.</w:t>
      </w:r>
    </w:p>
    <w:p w14:paraId="08DABF74" w14:textId="2B76388E" w:rsidR="003A2AA0" w:rsidRDefault="00CC0DD2" w:rsidP="006D4C51">
      <w:pPr>
        <w:pStyle w:val="Heading3"/>
      </w:pPr>
      <w:bookmarkStart w:id="35" w:name="the-valley"/>
      <w:bookmarkEnd w:id="34"/>
      <w:r>
        <w:t xml:space="preserve">2. </w:t>
      </w:r>
      <w:r w:rsidR="00BF743F">
        <w:t>The Valley</w:t>
      </w:r>
    </w:p>
    <w:p w14:paraId="4AEF68BB" w14:textId="77777777" w:rsidR="003A2AA0" w:rsidRDefault="00BF743F">
      <w:r>
        <w:t>Ray’s confidence collapsed. He had entered the program believing he had a substantial head start on Contracts. He now suspected he knew nothing. Worse, he suspected that his professional success had been accidental, that he had been making errors for fifteen years without recognizing them, that his operational fluency was a simulation of competence rather than competence itself.</w:t>
      </w:r>
    </w:p>
    <w:p w14:paraId="5D91B27C" w14:textId="77777777" w:rsidR="003A2AA0" w:rsidRDefault="00BF743F">
      <w:r>
        <w:t>He considered withdrawing. The program’s marketing materials had emphasized that it was designed for “experienced professionals” who wanted to “formalize their legal knowledge.” Ray had interpreted this to mean that the program would build on his professional experience, translating what he already knew into legal terminology. He now understood that the program was designed to displace what he knew, to reveal his operational framework as inadequate and replace it with something else. This was not what he had signed up for.</w:t>
      </w:r>
    </w:p>
    <w:p w14:paraId="3979361C" w14:textId="77777777" w:rsidR="003A2AA0" w:rsidRDefault="00BF743F">
      <w:r>
        <w:t>He scheduled office hours. The conversation was difficult. The professor acknowledged that Ray’s operational knowledge was genuine and valuable, that his professional success was real, and that his frustration was legitimate. But the professor also explained that operational knowledge and doctrinal knowledge serve different functions. Operational knowledge enables effective practice within familiar contexts. Doctrinal knowledge enables legal analysis, prediction, and argumentation across contexts. Ray had operational knowledge. He needed doctrinal knowledge. The two were not the same, and acquiring the second required recognizing that the first was inadequate for legal reasoning.</w:t>
      </w:r>
    </w:p>
    <w:p w14:paraId="7A1D9BB2" w14:textId="77777777" w:rsidR="003A2AA0" w:rsidRDefault="00BF743F">
      <w:r>
        <w:t>The professor used an analogy. Ray knew how to drive. He could operate a vehicle successfully, navigate traffic, and reach his destination. But if asked to explain why the engine works, why the transmission shifts gears, or why the brakes stop the car, he would not be able to answer. His operational knowledge of driving was sufficient for driving but insufficient for automotive engineering. Similarly, his operational knowledge of contracts was sufficient for negotiating contracts but insufficient for legal analysis.</w:t>
      </w:r>
    </w:p>
    <w:p w14:paraId="5CEAFF76" w14:textId="77777777" w:rsidR="003A2AA0" w:rsidRDefault="00BF743F">
      <w:r>
        <w:t>Ray understood the analogy, but understanding it did not make the Valley less uncomfortable. He spent the next several weeks reworking problems, reading cases multiple times, attending every office hour, and participating in study groups with traditional students who seemed to grasp doctrine more readily than he did. The cognitive work was exhausting. He was not merely learning new information; he was reorganizing his understanding of a domain he thought he already understood.</w:t>
      </w:r>
    </w:p>
    <w:p w14:paraId="3E573F30" w14:textId="14D25DC9" w:rsidR="003A2AA0" w:rsidRDefault="00CC0DD2" w:rsidP="006D4C51">
      <w:pPr>
        <w:pStyle w:val="Heading3"/>
      </w:pPr>
      <w:bookmarkStart w:id="36" w:name="the-climb"/>
      <w:bookmarkEnd w:id="35"/>
      <w:r>
        <w:t xml:space="preserve">3. </w:t>
      </w:r>
      <w:r w:rsidR="00BF743F">
        <w:t>The Climb</w:t>
      </w:r>
    </w:p>
    <w:p w14:paraId="341FEECD" w14:textId="77777777" w:rsidR="003A2AA0" w:rsidRDefault="00BF743F">
      <w:r>
        <w:t>The turning point came in week eight. The assignment was to analyze a force majeure clause in a commercial lease and advise whether the tenant’s obligation to pay rent was excused when a pandemic forced the tenant’s business to close. Ray’s first instinct was operational: force majeure clauses excuse performance when unforeseeable events beyond the parties’ control occur, and a pandemic is clearly unforeseeable and beyond the tenant’s control, so rent is excused.</w:t>
      </w:r>
    </w:p>
    <w:p w14:paraId="48190A8F" w14:textId="77777777" w:rsidR="003A2AA0" w:rsidRDefault="00BF743F">
      <w:r>
        <w:t>But this time, Ray paused. He had learned that his operational instincts were often doctrinally incomplete. He reviewed the cases on impossibility, impracticability, and frustration of purpose. He recognized that force majeure clauses are creatures of contract, not common law, and that their scope depends on their language. He noticed that the clause in the lease excused performance when an event made performance “impossible,” not merely “difficult” or “economically burdensome.” He recognized that the tenant’s obligation to pay rent was not impossible, the tenant still had the financial capacity to pay, even though the tenant’s business was closed and rent was economically burdensome.</w:t>
      </w:r>
    </w:p>
    <w:p w14:paraId="03B6F2DC" w14:textId="77777777" w:rsidR="003A2AA0" w:rsidRDefault="00BF743F">
      <w:r>
        <w:t>Ray’s analysis was doctrinally correct. More importantly, he recognized why it was correct. The doctrine of frustration of purpose might excuse the tenant’s obligation if the lease’s principal purpose (operating a business in the space) was frustrated, but force majeure clauses are typically interpreted narrowly, and courts distinguish between impossibility and impracticability. Ray’s operational instinct, that the pandemic should excuse rent, was commercially reasonable but doctrinally incorrect under the specific language of this clause.</w:t>
      </w:r>
    </w:p>
    <w:p w14:paraId="1C8F8C69" w14:textId="77777777" w:rsidR="003A2AA0" w:rsidRDefault="00BF743F">
      <w:r>
        <w:t>For the first time, Ray saw the difference between operational and doctrinal knowledge not as a hierarchy (one better than the other) but as a distinction in function. His operational knowledge told him what result was commercially fair. His doctrinal knowledge told him what result the law would reach. The two were not the same, and both were necessary for competent practice.</w:t>
      </w:r>
    </w:p>
    <w:p w14:paraId="4A0A4B3F" w14:textId="06481C36" w:rsidR="003A2AA0" w:rsidRDefault="00CC0DD2" w:rsidP="006D4C51">
      <w:pPr>
        <w:pStyle w:val="Heading3"/>
      </w:pPr>
      <w:bookmarkStart w:id="37" w:name="the-integration"/>
      <w:bookmarkEnd w:id="36"/>
      <w:r>
        <w:t xml:space="preserve">4. </w:t>
      </w:r>
      <w:r w:rsidR="00BF743F">
        <w:t>The Integration</w:t>
      </w:r>
    </w:p>
    <w:p w14:paraId="07F58515" w14:textId="77777777" w:rsidR="003A2AA0" w:rsidRDefault="00BF743F">
      <w:r>
        <w:t>By semester’s end, Ray had developed what Part III calls “integrated knowledge”, deep understanding of legal principles combined with extensive practical experience. He could now do what he could not do in week one: explain why the contracts he had been negotiating for fifteen years were enforceable, predict how courts would resolve ambiguities he had encountered professionally, and construct legal arguments for outcomes he knew from experience were commercially reasonable.</w:t>
      </w:r>
    </w:p>
    <w:p w14:paraId="70FF3E42" w14:textId="77777777" w:rsidR="003A2AA0" w:rsidRDefault="00BF743F">
      <w:r>
        <w:t>More importantly, Ray recognized that his operational fluency, once integrated with doctrinal knowledge, was a professional asset. He could spot practical problems in hypotheticals that traditional students missed. He could explain to clients why legal requirements existed and why they mattered. He could draft contracts that achieved commercial objectives while minimizing legal risk. His fifteen years of experience had not been wasted; they had been incomplete. The doctrinal knowledge he acquired in the program transformed his operational fluency from a simulation of competence into genuine competence.</w:t>
      </w:r>
    </w:p>
    <w:p w14:paraId="0B045CB2" w14:textId="77777777" w:rsidR="003A2AA0" w:rsidRDefault="00BF743F">
      <w:r>
        <w:t>Six months after completing Contracts, Ray sent an email. He was studying for the bar exam, and the Contracts questions, which he had expected to be his strongest subject, were finally making sense. The multiple-choice questions that asked about consideration, offer and acceptance, and remedies were no longer testing his operational instincts; they were testing doctrine he now understood. More significantly, he had recently advised a client on a contract dispute, and he had recognized a doctrine of impossibility issue that he would have missed before law school. The client had wanted to argue that performance was excused because of changed circumstances. Ray’s operational instinct would have agreed. His doctrinal knowledge told him that the changed circumstances did not rise to the level of impossibility or impracticability under the doctrine, and that arguing otherwise would not succeed. The client was disappointed but ultimately grateful that Ray had saved him from pursuing a losing argument.</w:t>
      </w:r>
    </w:p>
    <w:p w14:paraId="4164CFBD" w14:textId="77777777" w:rsidR="003A2AA0" w:rsidRDefault="00BF743F">
      <w:r>
        <w:t>Ray’s email concluded: “I hated the Valley. I almost quit. But you were right, I needed it. I didn’t know what I didn’t know, and my operational fluency was hiding that from me. The program didn’t build on my experience; it transformed it. That’s what I paid for, even if I didn’t know it at the time.”</w:t>
      </w:r>
    </w:p>
    <w:p w14:paraId="53824C8B" w14:textId="332DAC85" w:rsidR="003A2AA0" w:rsidRDefault="00CC0DD2" w:rsidP="006D4C51">
      <w:pPr>
        <w:pStyle w:val="Heading3"/>
      </w:pPr>
      <w:bookmarkStart w:id="38" w:name="the-pedagogical-point"/>
      <w:bookmarkEnd w:id="37"/>
      <w:r>
        <w:t xml:space="preserve">5. </w:t>
      </w:r>
      <w:r w:rsidR="00BF743F">
        <w:t>The Pedagogical Point</w:t>
      </w:r>
    </w:p>
    <w:p w14:paraId="48BF43E4" w14:textId="77777777" w:rsidR="003A2AA0" w:rsidRDefault="00BF743F">
      <w:r>
        <w:t>Ray’s journey illustrates several key points about the operational fluency problem and the pedagogical instruments designed to address it.</w:t>
      </w:r>
    </w:p>
    <w:p w14:paraId="6C9C6209" w14:textId="77777777" w:rsidR="003A2AA0" w:rsidRDefault="00BF743F">
      <w:r>
        <w:t>First, the Valley of Despair is navigable. Ray experienced maximum discomfort in weeks 4-8, but by week 12 he had begun to integrate operational and doctrinal knowledge. The Valley is temporary, not permanent, and students who navigate it successfully emerge with capabilities they did not have before.</w:t>
      </w:r>
    </w:p>
    <w:p w14:paraId="4669D5CD" w14:textId="77777777" w:rsidR="003A2AA0" w:rsidRDefault="00BF743F">
      <w:r>
        <w:t>Second, students recognize the Valley’s value in retrospect. Ray “hated” the Valley while experiencing it, but six months later he recognized that it was necessary. This suggests that student evaluations administered immediately after the course ends (when students are in or just emerging from the Valley) may not accurately reflect the course’s pedagogical value.</w:t>
      </w:r>
    </w:p>
    <w:p w14:paraId="653BEDEA" w14:textId="77777777" w:rsidR="003A2AA0" w:rsidRDefault="00BF743F">
      <w:r>
        <w:t>Third, the asynchronous instruments can produce the Valley without the live cold-call. Ray’s recognition that his operational framework was inadequate came not from being publicly humiliated in a synchronous session but from receiving detailed feedback on video responses and engaging with peers’ analyses in structured discussion boards. The Valley was produced through instruments that allowed time for reflection, revision, and private struggle.</w:t>
      </w:r>
    </w:p>
    <w:p w14:paraId="47231F0C" w14:textId="77777777" w:rsidR="003A2AA0" w:rsidRDefault="00BF743F">
      <w:r>
        <w:t>Fourth, operational fluency, once integrated with doctrinal knowledge, becomes a professional asset. Ray’s fifteen years of experience were not wasted; they were incomplete. The program did not replace his operational fluency; it transformed it by adding the doctrinal foundation necessary for legal analysis.</w:t>
      </w:r>
    </w:p>
    <w:p w14:paraId="296ADE8F" w14:textId="77777777" w:rsidR="003A2AA0" w:rsidRDefault="00BF743F">
      <w:r>
        <w:t>Fifth, the integration of operational and doctrinal knowledge (Level 5 in Part III’s taxonomy) is the ultimate objective. Ray did not merely acquire doctrinal knowledge; he integrated it with his operational fluency to achieve the sophisticated professional competence that neither operational nor doctrinal knowledge alone can provide.</w:t>
      </w:r>
    </w:p>
    <w:p w14:paraId="03E8ED91" w14:textId="77777777" w:rsidR="003A2AA0" w:rsidRDefault="00BF743F">
      <w:r>
        <w:t>Ray’s story is not unique. Across seven years of teaching mid-career professionals in hybrid J.D. programs, the author has observed this pattern repeatedly: initial confidence, descent into the Valley, self-doubt and consideration of withdrawal, cognitive reorganization, and eventual integration. Not every student navigates the Valley successfully, some withdraw, some are accommodated and graduate without doctrinal knowledge, some pass courses but fail the bar exam. But those who navigate the Valley successfully consistently report, in retrospect, that it was necessary and valuable.</w:t>
      </w:r>
    </w:p>
    <w:p w14:paraId="19EE9072" w14:textId="77777777" w:rsidR="003A2AA0" w:rsidRDefault="00BF743F">
      <w:r>
        <w:t>This pattern suggests that the Valley of Despair is not a pedagogical accident to be eliminated but a designed necessity to be preserved. The pedagogical challenge is not to help students avoid the Valley but to provide the instruments and support that enable them to navigate it successfully. Part VII addresses the institutional pressures that incentivize bypassing the Valley rather than supporting students through it.</w:t>
      </w:r>
    </w:p>
    <w:p w14:paraId="702824CD" w14:textId="77777777" w:rsidR="003A2AA0" w:rsidRDefault="00BF743F" w:rsidP="006D4C51">
      <w:pPr>
        <w:pStyle w:val="Heading2"/>
      </w:pPr>
      <w:bookmarkStart w:id="39" w:name="X00ca5d0c4a8a24ca4f0d4dee77583ae8d9ae352"/>
      <w:bookmarkEnd w:id="33"/>
      <w:bookmarkEnd w:id="38"/>
      <w:r>
        <w:t>PART VII: INSTITUTIONAL PRESSURES AND THE ACCOMMODATION PROBLEM</w:t>
      </w:r>
    </w:p>
    <w:p w14:paraId="4F18BFF0" w14:textId="77777777" w:rsidR="003A2AA0" w:rsidRDefault="00BF743F">
      <w:r>
        <w:t>Even when faculty understand that the Valley of Despair is pedagogically necessary and have instruments for producing it, institutional pressures systematically incentivize accommodation. This Part identifies four sources of pressure, course evaluations, retention metrics, accessibility arguments, and curriculum redesign conversations, and explains how each creates incentives to help students avoid the Valley. The Part concludes with a dedicated subsection distinguishing legitimate from problematic accommodation, providing concrete examples and practical decision-making criteria for faculty.</w:t>
      </w:r>
    </w:p>
    <w:p w14:paraId="03883095" w14:textId="77777777" w:rsidR="003A2AA0" w:rsidRDefault="00BF743F" w:rsidP="006D4C51">
      <w:pPr>
        <w:pStyle w:val="Heading2"/>
      </w:pPr>
      <w:bookmarkStart w:id="40" w:name="Xc643f84cd89dc0edf66ec3aeb7a25981e940161"/>
      <w:bookmarkEnd w:id="39"/>
      <w:r>
        <w:t>A. Course Evaluations and Retention Metrics</w:t>
      </w:r>
    </w:p>
    <w:p w14:paraId="1ABC882B" w14:textId="77777777" w:rsidR="003A2AA0" w:rsidRDefault="00BF743F">
      <w:r>
        <w:t xml:space="preserve">Online and hybrid J.D. programs typically rely heavily on course evaluations for faculty assessment, promotion, and retention decisions </w:t>
      </w:r>
      <w:r>
        <w:rPr>
          <w:rStyle w:val="FootnoteReference"/>
        </w:rPr>
        <w:footnoteReference w:id="113"/>
      </w:r>
      <w:r>
        <w:t>. Course evaluations in online programs are often administered immediately after the course ends, when students are most aware of their discomfort and least aware of their learning</w:t>
      </w:r>
      <w:r>
        <w:rPr>
          <w:rStyle w:val="FootnoteReference"/>
        </w:rPr>
        <w:footnoteReference w:id="114"/>
      </w:r>
      <w:r>
        <w:t>. Students in the Valley of Despair, experiencing maximum discomfort and minimum confidence, predictably give low evaluations</w:t>
      </w:r>
      <w:r>
        <w:rPr>
          <w:rStyle w:val="FootnoteReference"/>
        </w:rPr>
        <w:footnoteReference w:id="115"/>
      </w:r>
      <w:r>
        <w:rPr>
          <w:rStyle w:val="FootnoteReference"/>
        </w:rPr>
        <w:footnoteReference w:id="116"/>
      </w:r>
      <w:r>
        <w:t>.</w:t>
      </w:r>
    </w:p>
    <w:p w14:paraId="4DC08A66" w14:textId="77777777" w:rsidR="003A2AA0" w:rsidRDefault="00BF743F">
      <w:r>
        <w:t>The evaluation dynamic creates a direct incentive for faculty to help students avoid the Valley. A professor who produces the Valley will receive evaluations stating that the course was “too theoretical,” “not practical enough,” “didn’t build on students’ professional experience,” or “didn’t accommodate different learning styles.” A professor who accommodates operational fluency will receive evaluations stating that the course was “relevant,” “practical,” “respectful of professional experience,” and “well-designed for adult learners.”</w:t>
      </w:r>
    </w:p>
    <w:p w14:paraId="6E8A4E68" w14:textId="77777777" w:rsidR="003A2AA0" w:rsidRDefault="00BF743F">
      <w:r>
        <w:t>Administrators who review these evaluations typically lack the pedagogical expertise to distinguish between legitimate student complaints (the course was poorly organized, expectations were unclear, feedback was inadequate) and complaints that reflect the Valley (the course was uncomfortable, challenged existing frameworks, required cognitive reorganization). The result is that faculty who produce the Valley are often evaluated negatively, while faculty who accommodate operational fluency are evaluated positively.</w:t>
      </w:r>
    </w:p>
    <w:p w14:paraId="4AEEE670" w14:textId="77777777" w:rsidR="003A2AA0" w:rsidRDefault="00BF743F">
      <w:r>
        <w:t xml:space="preserve">Retention metrics create a parallel incentive structure. Online and hybrid programs often have lower retention rates than residential programs, and administrators are under pressure to improve retention </w:t>
      </w:r>
      <w:r>
        <w:rPr>
          <w:rStyle w:val="FootnoteReference"/>
        </w:rPr>
        <w:footnoteReference w:id="117"/>
      </w:r>
      <w:r>
        <w:t xml:space="preserve">. Students in the Valley are at high risk of withdrawing, either because they conclude that they are not capable of learning law or because they conclude that the program is not meeting their needs </w:t>
      </w:r>
      <w:r>
        <w:rPr>
          <w:rStyle w:val="FootnoteReference"/>
        </w:rPr>
        <w:footnoteReference w:id="118"/>
      </w:r>
      <w:r>
        <w:t>. Faculty who produce the Valley contribute to attrition, while faculty who accommodate operational fluency contribute to retention.</w:t>
      </w:r>
    </w:p>
    <w:p w14:paraId="4A0B3DDD" w14:textId="77777777" w:rsidR="003A2AA0" w:rsidRDefault="00BF743F">
      <w:r>
        <w:t>The problem is that retention is measured in the short term (semester-to-semester or year-to-year), while the consequences of accommodation are realized in the long term (bar passage, professional competence, malpractice risk). A student who withdraws in the first year because she cannot navigate the Valley is counted as an attrition failure.</w:t>
      </w:r>
      <w:r>
        <w:rPr>
          <w:rStyle w:val="FootnoteReference"/>
        </w:rPr>
        <w:footnoteReference w:id="119"/>
      </w:r>
      <w:r>
        <w:t xml:space="preserve"> A student who graduates without doctrinal knowledge because she was accommodated is counted as a retention success. The institution bears the cost of the first outcome (lost tuition revenue, lower retention metrics) but not the second (the cost is borne by the student, her future clients, and the profession).</w:t>
      </w:r>
    </w:p>
    <w:p w14:paraId="2C5125B2" w14:textId="77777777" w:rsidR="003A2AA0" w:rsidRDefault="00BF743F" w:rsidP="006D4C51">
      <w:pPr>
        <w:pStyle w:val="Heading2"/>
      </w:pPr>
      <w:bookmarkStart w:id="41" w:name="b.-the-accessibility-argument"/>
      <w:bookmarkEnd w:id="40"/>
      <w:r>
        <w:t>B. The Accessibility Argument</w:t>
      </w:r>
    </w:p>
    <w:p w14:paraId="401FF269" w14:textId="77777777" w:rsidR="003A2AA0" w:rsidRDefault="00BF743F">
      <w:r>
        <w:t>The accessibility argument takes several forms, but the core claim is that producing the Valley is exclusionary and that accommodation is required by principles of Universal Design for Instruction, disability rights law, or equity commitments. The argument is rhetorically powerful because it invokes legal obligations (ADA, Section 504) and moral commitments (inclusion, diversity, accessibility) that faculty and administrators take seriously.</w:t>
      </w:r>
    </w:p>
    <w:p w14:paraId="24A36A55" w14:textId="77777777" w:rsidR="003A2AA0" w:rsidRDefault="00BF743F">
      <w:r>
        <w:t>The accessibility argument is sometimes legitimate and sometimes illegitimate, depending on what is being accommodated. Part VII.D develops this distinction in detail, but the key point is that the accessibility argument can be misapplied to justify accommodations that bypass designed difficulties rather than removing unnecessary barriers.</w:t>
      </w:r>
    </w:p>
    <w:p w14:paraId="2C32FD98" w14:textId="77777777" w:rsidR="003A2AA0" w:rsidRDefault="00BF743F">
      <w:r>
        <w:t>A legitimate accessibility argument might be: “The live cold-call creates unnecessary anxiety for students with anxiety disorders, and the same pedagogical objective (producing the Valley) can be achieved through asynchronous video responses that allow students to prepare and revise.” This argument identifies an unnecessary barrier (the live cold-call’s public performance pressure) and proposes an alternative instrument that achieves the same pedagogical objective while removing the barrier.</w:t>
      </w:r>
    </w:p>
    <w:p w14:paraId="3B378B55" w14:textId="77777777" w:rsidR="003A2AA0" w:rsidRDefault="00BF743F">
      <w:r>
        <w:t>An illegitimate accessibility argument might be: “Requiring students to recognize that their operational knowledge is inadequate creates discomfort for students with imposter syndrome, and the same pedagogical objective (teaching contract law) can be achieved by building on their operational knowledge rather than displacing it.” This argument misidentifies the pedagogical objective (the objective is not merely to teach contract law but to produce doctrinal knowledge, which requires displacing operational knowledge) and proposes an accommodation that bypasses the designed difficulty rather than removing an unnecessary barrier.</w:t>
      </w:r>
    </w:p>
    <w:p w14:paraId="5CE910EC" w14:textId="77777777" w:rsidR="003A2AA0" w:rsidRDefault="00BF743F">
      <w:r>
        <w:t>The problem is that faculty and administrators often lack the pedagogical expertise to distinguish between these two arguments. Both invoke accessibility, both identify student discomfort, and both propose accommodations. The difference is that the first accommodation removes an unnecessary barrier while preserving the designed difficulty, while the second accommodation removes the designed difficulty itself.</w:t>
      </w:r>
    </w:p>
    <w:p w14:paraId="743B0DCA" w14:textId="77777777" w:rsidR="003A2AA0" w:rsidRDefault="00BF743F">
      <w:r>
        <w:t>The accessibility argument is particularly powerful in online and hybrid programs because these programs often market themselves as accessible alternatives to residential programs. Faculty who resist accommodation requests risk being perceived as hostile to the program’s mission, unsupportive of adult learners, or opposed to accessibility generally.</w:t>
      </w:r>
    </w:p>
    <w:p w14:paraId="188CF958" w14:textId="77777777" w:rsidR="003A2AA0" w:rsidRDefault="00BF743F" w:rsidP="006D4C51">
      <w:pPr>
        <w:pStyle w:val="Heading2"/>
      </w:pPr>
      <w:bookmarkStart w:id="42" w:name="c.-curriculum-redesign-conversations"/>
      <w:bookmarkEnd w:id="41"/>
      <w:r>
        <w:t>C. Curriculum Redesign Conversations</w:t>
      </w:r>
    </w:p>
    <w:p w14:paraId="73465B4A" w14:textId="77777777" w:rsidR="003A2AA0" w:rsidRDefault="00BF743F">
      <w:r>
        <w:t>Legal education is in a period of sustained curriculum reform, driven by the Carnegie Report’s critique of traditional pedagogy</w:t>
      </w:r>
      <w:r>
        <w:rPr>
          <w:rStyle w:val="FootnoteReference"/>
        </w:rPr>
        <w:footnoteReference w:id="120"/>
      </w:r>
      <w:r>
        <w:t>, the MacCrate Report’s emphasis on skills and values</w:t>
      </w:r>
      <w:r>
        <w:rPr>
          <w:rStyle w:val="FootnoteReference"/>
        </w:rPr>
        <w:footnoteReference w:id="121"/>
      </w:r>
      <w:r>
        <w:t>, and ongoing debates about the relevance of doctrinal instruction for contemporary practice</w:t>
      </w:r>
      <w:r>
        <w:rPr>
          <w:rStyle w:val="FootnoteReference"/>
        </w:rPr>
        <w:footnoteReference w:id="122"/>
      </w:r>
      <w:r>
        <w:t>. These reform conversations often emphasize that legal education should be more practical, more skills-focused, more responsive to employer needs, and more respectful of students’ diverse backgrounds and learning styles</w:t>
      </w:r>
      <w:r>
        <w:rPr>
          <w:rStyle w:val="FootnoteReference"/>
        </w:rPr>
        <w:footnoteReference w:id="123"/>
      </w:r>
      <w:r>
        <w:t>.</w:t>
      </w:r>
    </w:p>
    <w:p w14:paraId="6D291A2B" w14:textId="77777777" w:rsidR="003A2AA0" w:rsidRDefault="00BF743F">
      <w:r>
        <w:t>In this context, arguments for preserving the Valley can be misread as resistance to reform, defense of outdated pedagogy, or hostility to innovation. A professor who argues that the Valley is necessary may be perceived as defending the traditional Socratic method, opposing skills instruction, or prioritizing theory over practice, even if the professor’s actual argument is that doctrinal knowledge is necessary for professional competence and that the Valley is the mechanism for acquiring it.</w:t>
      </w:r>
    </w:p>
    <w:p w14:paraId="5CDDE03A" w14:textId="77777777" w:rsidR="003A2AA0" w:rsidRDefault="00BF743F">
      <w:r>
        <w:t>Curriculum redesign conversations also create pressure to reduce doctrinal instruction in favor of skills instruction, experiential learning, or interdisciplinary courses</w:t>
      </w:r>
      <w:r>
        <w:rPr>
          <w:rStyle w:val="FootnoteReference"/>
        </w:rPr>
        <w:footnoteReference w:id="124"/>
      </w:r>
      <w:r>
        <w:t>. The argument is that students can learn doctrine on their own (by reading casebooks or watching videos) and that class time should be used for skills development, simulation exercises, or practical applications. This argument is sometimes legitimate (some doctrinal content can be learned asynchronously, freeing class time for skills development), but it can also be used to justify eliminating the Valley by reducing the emphasis on doctrinal analysis.</w:t>
      </w:r>
    </w:p>
    <w:p w14:paraId="46EFED9B" w14:textId="77777777" w:rsidR="003A2AA0" w:rsidRDefault="00BF743F">
      <w:r>
        <w:t>The problem is that doctrinal knowledge cannot be acquired simply by reading casebooks or watching videos; it requires the cognitive work of displacing operational frameworks and constructing doctrinal frameworks, which is the work the Valley represents. Skills instruction is valuable, but skills without doctrinal knowledge produce operational fluency without doctrinal understanding, precisely the problem this essay identifies.</w:t>
      </w:r>
    </w:p>
    <w:p w14:paraId="7D7B39A8" w14:textId="77777777" w:rsidR="003A2AA0" w:rsidRDefault="00BF743F" w:rsidP="006D4C51">
      <w:pPr>
        <w:pStyle w:val="Heading2"/>
      </w:pPr>
      <w:bookmarkStart w:id="43" w:name="X4a9a9c29f91ffa6770cdc0685206e744d54b461"/>
      <w:bookmarkEnd w:id="42"/>
      <w:r>
        <w:t>D. Distinguishing Legitimate from Problematic Accommodation</w:t>
      </w:r>
    </w:p>
    <w:p w14:paraId="7B5FE6E0" w14:textId="77777777" w:rsidR="003A2AA0" w:rsidRDefault="00BF743F">
      <w:r>
        <w:t>This subsection addresses the most critical revision identified by peer reviewers: the need to distinguish clearly between accommodations that remove unnecessary barriers (legitimate) and accommodations that bypass designed difficulties (problematic). The distinction is crucial because without it, the essay’s argument can be misread as hostile to accessibility, disability rights, or equity commitments generally.</w:t>
      </w:r>
    </w:p>
    <w:p w14:paraId="29292187" w14:textId="111FE8AF" w:rsidR="003A2AA0" w:rsidRDefault="00CC0DD2" w:rsidP="006D4C51">
      <w:pPr>
        <w:pStyle w:val="Heading3"/>
      </w:pPr>
      <w:bookmarkStart w:id="44" w:name="defining-the-categories"/>
      <w:r>
        <w:t xml:space="preserve">1. </w:t>
      </w:r>
      <w:r w:rsidR="00BF743F">
        <w:t>Defining the Categories</w:t>
      </w:r>
    </w:p>
    <w:p w14:paraId="29F7FF27" w14:textId="77777777" w:rsidR="003A2AA0" w:rsidRDefault="00BF743F">
      <w:r>
        <w:t>Legitimate accommodations remove barriers that are unrelated to learning objectives. These barriers may be technological (inaccessible course materials), cultural (assumptions about background knowledge or communication styles), linguistic (complex academic language that obscures rather than clarifies concepts), disability-related (formats that are inaccessible to students with certain disabilities), or socioeconomic (requirements that assume financial resources students may not have). Legitimate accommodations are pedagogically appropriate, often legally required, and do not compromise learning objectives.</w:t>
      </w:r>
    </w:p>
    <w:p w14:paraId="2A043D1B" w14:textId="77777777" w:rsidR="003A2AA0" w:rsidRDefault="00BF743F">
      <w:r>
        <w:t>Problematic accommodations bypass the designed difficulty itself, the cognitive work that is the learning objective. These accommodations allow students to avoid the Valley of Despair by building on operational fluency rather than displacing it, by providing answers rather than requiring students to construct answers, or by assessing operational knowledge rather than doctrinal knowledge. Problematic accommodations may improve student satisfaction and retention in the short term, but they prevent learning and should not be provided even when students request them.</w:t>
      </w:r>
    </w:p>
    <w:p w14:paraId="7FA908A6" w14:textId="77777777" w:rsidR="003A2AA0" w:rsidRDefault="00BF743F">
      <w:r>
        <w:t>The distinction is grounded in cognitive load theory’s differentiation between extraneous cognitive load (difficulty created by poor instructional design, which should be minimized) and germane cognitive load (difficulty that promotes learning by requiring effortful processing, which should be optimized)</w:t>
      </w:r>
      <w:r>
        <w:rPr>
          <w:rStyle w:val="FootnoteReference"/>
        </w:rPr>
        <w:footnoteReference w:id="125"/>
      </w:r>
      <w:r>
        <w:t>. Legitimate accommodations reduce extraneous load; problematic accommodations reduce germane load.</w:t>
      </w:r>
    </w:p>
    <w:p w14:paraId="12BDD253" w14:textId="74242A24" w:rsidR="003A2AA0" w:rsidRDefault="00CC0DD2" w:rsidP="006D4C51">
      <w:pPr>
        <w:pStyle w:val="Heading3"/>
      </w:pPr>
      <w:bookmarkStart w:id="45" w:name="concrete-examples-from-legal-education"/>
      <w:bookmarkEnd w:id="44"/>
      <w:r>
        <w:t xml:space="preserve">2. </w:t>
      </w:r>
      <w:r w:rsidR="00BF743F">
        <w:t>Concrete Examples from Legal Education</w:t>
      </w:r>
    </w:p>
    <w:p w14:paraId="173A83F6" w14:textId="77777777" w:rsidR="003A2AA0" w:rsidRDefault="00BF743F">
      <w:r>
        <w:t>The following examples illustrate the distinction across various accommodation requests:</w:t>
      </w:r>
    </w:p>
    <w:p w14:paraId="3AE5249F" w14:textId="77777777" w:rsidR="003A2AA0" w:rsidRDefault="00BF743F">
      <w:r>
        <w:t>Example 1: Format of Course Materials</w:t>
      </w:r>
    </w:p>
    <w:p w14:paraId="03BAC0B5" w14:textId="77777777" w:rsidR="003A2AA0" w:rsidRDefault="00BF743F">
      <w:r>
        <w:t>Legitimate: A student with a visual impairment requests that casebook materials be provided in an accessible digital format compatible with screen readers. This accommodation removes a technological barrier unrelated to the learning objective (understanding case law). The student still must read the cases, analyze the reasoning, and apply the doctrine, the cognitive work is unchanged.</w:t>
      </w:r>
    </w:p>
    <w:p w14:paraId="2E7F842C" w14:textId="77777777" w:rsidR="003A2AA0" w:rsidRDefault="00BF743F">
      <w:r>
        <w:t>Problematic: A student requests that instead of reading cases, she be allowed to watch video summaries of cases because she “learns better from videos.” This accommodation bypasses the cognitive work of reading judicial opinions, extracting holdings, identifying reasoning, and recognizing ambiguities, work that is central to the learning objective.</w:t>
      </w:r>
    </w:p>
    <w:p w14:paraId="6CFE4A19" w14:textId="77777777" w:rsidR="003A2AA0" w:rsidRDefault="00BF743F">
      <w:r>
        <w:t>Example 2: Participation Format</w:t>
      </w:r>
    </w:p>
    <w:p w14:paraId="726D912C" w14:textId="77777777" w:rsidR="003A2AA0" w:rsidRDefault="00BF743F">
      <w:r>
        <w:t>Legitimate: A student with an anxiety disorder requests that instead of participating in live cold-calls, he be allowed to submit video responses to case questions asynchronously. This accommodation removes the public performance pressure (an unnecessary barrier) while preserving the requirement that the student analyze cases and articulate doctrinal reasoning (the learning objective). The cognitive work is unchanged; only the format is modified.</w:t>
      </w:r>
    </w:p>
    <w:p w14:paraId="70673AFE" w14:textId="77777777" w:rsidR="003A2AA0" w:rsidRDefault="00BF743F">
      <w:r>
        <w:t>Problematic: A student requests that instead of analyzing cases individually, she be allowed to participate only in group discussions where she can rely on other students’ analysis. This accommodation bypasses the individual cognitive work of case analysis, which is central to the learning objective.</w:t>
      </w:r>
    </w:p>
    <w:p w14:paraId="434F25C6" w14:textId="77777777" w:rsidR="003A2AA0" w:rsidRDefault="00BF743F">
      <w:r>
        <w:t>Example 3: Assessment Timing</w:t>
      </w:r>
    </w:p>
    <w:p w14:paraId="4E68EE60" w14:textId="77777777" w:rsidR="003A2AA0" w:rsidRDefault="00BF743F">
      <w:r>
        <w:t>Legitimate: A student with ADHD requests extended time on exams to accommodate slower processing speed. This accommodation removes a barrier (time pressure that disproportionately affects students with certain disabilities) while preserving the requirement that the student demonstrate doctrinal knowledge (the learning objective). The cognitive work is unchanged; only the time available is modified.</w:t>
      </w:r>
    </w:p>
    <w:p w14:paraId="2A8DC3B9" w14:textId="77777777" w:rsidR="003A2AA0" w:rsidRDefault="00BF743F">
      <w:r>
        <w:t>Problematic: A student requests that instead of taking a timed exam, he be allowed to submit a take-home exam with access to notes, outlines, and casebooks. Depending on how the take-home exam is designed, this may be legitimate (if it requires doctrinal analysis and application to novel facts) or problematic (if it allows the student to look up answers rather than demonstrating that he has internalized doctrine).</w:t>
      </w:r>
    </w:p>
    <w:p w14:paraId="1B9A6ACC" w14:textId="77777777" w:rsidR="003A2AA0" w:rsidRDefault="00BF743F">
      <w:r>
        <w:t>Example 4: Language and Cultural Background</w:t>
      </w:r>
    </w:p>
    <w:p w14:paraId="0DFFDEBE" w14:textId="77777777" w:rsidR="003A2AA0" w:rsidRDefault="00BF743F">
      <w:r>
        <w:t>Legitimate: A student for whom English is a second language requests clarification of idiomatic expressions, colloquialisms, or culturally specific references in cases or hypotheticals. This accommodation removes a linguistic barrier unrelated to the learning objective (understanding doctrine). The student still must analyze the legal reasoning and apply the doctrine, the cognitive work is unchanged.</w:t>
      </w:r>
    </w:p>
    <w:p w14:paraId="2C10CF34" w14:textId="77777777" w:rsidR="003A2AA0" w:rsidRDefault="00BF743F">
      <w:r>
        <w:t>Problematic: A student from a civil law jurisdiction requests that instead of learning common law contract doctrine, she be allowed to analyze contracts using civil law principles because she is “more familiar with civil law.” This accommodation bypasses the learning objective (understanding common law doctrine) by allowing the student to rely on her existing framework.</w:t>
      </w:r>
    </w:p>
    <w:p w14:paraId="1BE9CFDD" w14:textId="77777777" w:rsidR="003A2AA0" w:rsidRDefault="00BF743F">
      <w:r>
        <w:t>Example 5: The Operational Fluency Problem</w:t>
      </w:r>
    </w:p>
    <w:p w14:paraId="73D8202F" w14:textId="77777777" w:rsidR="003A2AA0" w:rsidRDefault="00BF743F">
      <w:r>
        <w:t>Legitimate: A mid-career professional requests that the professor provide concrete examples of how doctrinal principles apply in professional contexts similar to those the student has experienced. This accommodation helps the student connect doctrine to practice, which can facilitate learning, while preserving the requirement that the student learn doctrine (the learning objective). The cognitive work is unchanged; the professor is providing scaffolding that helps the student do that work.</w:t>
      </w:r>
    </w:p>
    <w:p w14:paraId="45578F2E" w14:textId="77777777" w:rsidR="003A2AA0" w:rsidRDefault="00BF743F">
      <w:r>
        <w:t>Problematic: A mid-career professional requests that instead of learning doctrinal principles, the course focus on practical skills (contract drafting, negotiation strategies, risk management) that build on his operational fluency. This accommodation bypasses the learning objective (acquiring doctrinal knowledge) by allowing the student to remain in his operational framework.</w:t>
      </w:r>
    </w:p>
    <w:p w14:paraId="4B1CA4F6" w14:textId="77777777" w:rsidR="003A2AA0" w:rsidRDefault="00BF743F">
      <w:r>
        <w:t>Example 6: Socratic Dialogue</w:t>
      </w:r>
    </w:p>
    <w:p w14:paraId="24F155A0" w14:textId="77777777" w:rsidR="003A2AA0" w:rsidRDefault="00BF743F">
      <w:r>
        <w:t>Legitimate: A student from a cultural background that emphasizes deference to authority requests that the professor provide advance notice of cold-call questions so she can prepare responses. This accommodation removes a cultural barrier (discomfort with spontaneous challenge to authority) while preserving the requirement that the student engage in doctrinal analysis (the learning objective). The cognitive work is unchanged; the student still must analyze cases and articulate reasoning.</w:t>
      </w:r>
    </w:p>
    <w:p w14:paraId="596E8FF3" w14:textId="77777777" w:rsidR="003A2AA0" w:rsidRDefault="00BF743F">
      <w:r>
        <w:t>Problematic: A student requests that instead of participating in Socratic dialogue, he be allowed to submit written case briefs that summarize holdings without analysis. This accommodation bypasses the cognitive work of articulating reasoning, responding to challenges, and recognizing weaknesses in one’s own analysis, work that is central to the learning objective.</w:t>
      </w:r>
    </w:p>
    <w:p w14:paraId="0195394B" w14:textId="060DCA6F" w:rsidR="003A2AA0" w:rsidRDefault="00B97540" w:rsidP="006D4C51">
      <w:pPr>
        <w:pStyle w:val="Heading3"/>
      </w:pPr>
      <w:bookmarkStart w:id="46" w:name="X8567f36b9e4bb4bf54eb9163615769b125267b4"/>
      <w:bookmarkEnd w:id="45"/>
      <w:r>
        <w:t xml:space="preserve">3. </w:t>
      </w:r>
      <w:r w:rsidR="00BF743F">
        <w:t>Practical Decision-Making Criteria for Faculty</w:t>
      </w:r>
    </w:p>
    <w:p w14:paraId="54C3A7D2" w14:textId="77777777" w:rsidR="003A2AA0" w:rsidRDefault="00BF743F">
      <w:r>
        <w:t>Faculty facing accommodation requests should apply the following criteria to distinguish legitimate from problematic accommodations:</w:t>
      </w:r>
    </w:p>
    <w:p w14:paraId="7109F842" w14:textId="77777777" w:rsidR="003A2AA0" w:rsidRDefault="00BF743F">
      <w:r>
        <w:t>Criterion 1: Does the accommodation remove a barrier unrelated to the learning objective, or does it bypass the learning objective itself?</w:t>
      </w:r>
    </w:p>
    <w:p w14:paraId="2685E088" w14:textId="77777777" w:rsidR="003A2AA0" w:rsidRDefault="00BF743F">
      <w:r>
        <w:t>Ask: What is the learning objective for this assignment/assessment/activity? Does the accommodation allow the student to achieve that objective through alternative means, or does it allow the student to avoid the objective?</w:t>
      </w:r>
    </w:p>
    <w:p w14:paraId="7903921A" w14:textId="77777777" w:rsidR="003A2AA0" w:rsidRDefault="00BF743F">
      <w:r>
        <w:t>Example: If the learning objective is “analyze case law to identify doctrinal principles,” then providing cases in accessible formats is legitimate (removes technological barrier), but providing case summaries instead of cases is problematic (bypasses the analytical work).</w:t>
      </w:r>
    </w:p>
    <w:p w14:paraId="1908E157" w14:textId="77777777" w:rsidR="003A2AA0" w:rsidRDefault="00BF743F">
      <w:r>
        <w:t>Criterion 2: Does the accommodation reduce extraneous cognitive load or germane cognitive load?</w:t>
      </w:r>
    </w:p>
    <w:p w14:paraId="04B97DAF" w14:textId="77777777" w:rsidR="003A2AA0" w:rsidRDefault="00BF743F">
      <w:r>
        <w:t>Ask: Is the difficulty the student is experiencing related to poor instructional design, inaccessible materials, or unnecessary barriers (extraneous load), or is it related to the cognitive work of learning (germane load)?</w:t>
      </w:r>
    </w:p>
    <w:p w14:paraId="5B174317" w14:textId="77777777" w:rsidR="003A2AA0" w:rsidRDefault="00BF743F">
      <w:r>
        <w:t>Example: If a student struggles because instructions are unclear, that is extraneous load and should be reduced. If a student struggles because recognizing that her operational framework is inadequate is uncomfortable, that is germane load and should not be reduced.</w:t>
      </w:r>
    </w:p>
    <w:p w14:paraId="2675C31E" w14:textId="77777777" w:rsidR="003A2AA0" w:rsidRDefault="00BF743F">
      <w:r>
        <w:t>Criterion 3: Does the accommodation preserve individual accountability for demonstrating the learning objective?</w:t>
      </w:r>
    </w:p>
    <w:p w14:paraId="0ECB0FBF" w14:textId="77777777" w:rsidR="003A2AA0" w:rsidRDefault="00BF743F">
      <w:r>
        <w:t>Ask: After the accommodation is provided, will the student still be required to demonstrate individually that she has achieved the learning objective, or will the accommodation allow her to avoid that demonstration?</w:t>
      </w:r>
    </w:p>
    <w:p w14:paraId="1F27CE8E" w14:textId="77777777" w:rsidR="003A2AA0" w:rsidRDefault="00BF743F">
      <w:r>
        <w:t>Example: Allowing a student to submit video responses instead of participating in live cold-calls preserves individual accountability (the student must still analyze cases individually). Allowing a student to participate only in group work does not preserve individual accountability (the student can rely on others’ analysis).</w:t>
      </w:r>
    </w:p>
    <w:p w14:paraId="552BF1F4" w14:textId="77777777" w:rsidR="003A2AA0" w:rsidRDefault="00BF743F">
      <w:r>
        <w:t>Criterion 4: Is the accommodation responsive to a characteristic of the student (disability, language, cultural background, learning style) or to a characteristic of the learning objective (difficulty, discomfort, unfamiliarity)?</w:t>
      </w:r>
    </w:p>
    <w:p w14:paraId="11EE0BB7" w14:textId="77777777" w:rsidR="003A2AA0" w:rsidRDefault="00BF743F">
      <w:r>
        <w:t>Ask: Is the student requesting accommodation because of a personal characteristic that creates a barrier, or because the learning objective is difficult/uncomfortable?</w:t>
      </w:r>
    </w:p>
    <w:p w14:paraId="7444186F" w14:textId="77777777" w:rsidR="003A2AA0" w:rsidRDefault="00BF743F">
      <w:r>
        <w:t>Example: A student with a visual impairment requesting accessible materials is requesting accommodation for a personal characteristic. A student requesting that the course be “less theoretical” because doctrine is difficult is requesting accommodation for a characteristic of the learning objective, which is not a legitimate basis for accommodation.</w:t>
      </w:r>
    </w:p>
    <w:p w14:paraId="736A59ED" w14:textId="77777777" w:rsidR="003A2AA0" w:rsidRDefault="00BF743F">
      <w:r>
        <w:t>Criterion 5: Would providing this accommodation to all students compromise the learning objective?</w:t>
      </w:r>
    </w:p>
    <w:p w14:paraId="5208BFD3" w14:textId="77777777" w:rsidR="003A2AA0" w:rsidRDefault="00BF743F">
      <w:r>
        <w:t>Ask: If every student received this accommodation, would they still achieve the learning objective, or would the learning objective be eliminated?</w:t>
      </w:r>
    </w:p>
    <w:p w14:paraId="34B3DCB1" w14:textId="77777777" w:rsidR="003A2AA0" w:rsidRDefault="00BF743F">
      <w:r>
        <w:t>Example: If every student received extended time on exams, they would still need to demonstrate doctrinal knowledge (learning objective preserved). If every student were allowed to skip case analysis and rely on summaries, they would not develop the ability to analyze case law (learning objective eliminated).</w:t>
      </w:r>
    </w:p>
    <w:p w14:paraId="73264060" w14:textId="276AE3E2" w:rsidR="003A2AA0" w:rsidRDefault="00B97540" w:rsidP="006D4C51">
      <w:pPr>
        <w:pStyle w:val="Heading3"/>
      </w:pPr>
      <w:bookmarkStart w:id="47" w:name="X21bf82bde71a82175b1acee3350a76dc11bfbd6"/>
      <w:bookmarkEnd w:id="46"/>
      <w:r>
        <w:t xml:space="preserve">4. </w:t>
      </w:r>
      <w:r w:rsidR="00BF743F">
        <w:t>Engagement with Disability Rights Scholarship</w:t>
      </w:r>
    </w:p>
    <w:p w14:paraId="1D80870E" w14:textId="77777777" w:rsidR="003A2AA0" w:rsidRDefault="00BF743F">
      <w:r>
        <w:t>This essay’s distinction between legitimate and problematic accommodation is consistent with disability rights scholarship’s core principles while providing additional analytical precision.</w:t>
      </w:r>
    </w:p>
    <w:p w14:paraId="66C9F861" w14:textId="77777777" w:rsidR="003A2AA0" w:rsidRDefault="00BF743F">
      <w:r>
        <w:t>George’s work on Universal Design for Instruction emphasizes that accessible design should provide “multiple means of representation, engagement, and expression” while maintaining “high standards for all students”</w:t>
      </w:r>
      <w:r>
        <w:rPr>
          <w:rStyle w:val="FootnoteReference"/>
        </w:rPr>
        <w:footnoteReference w:id="126"/>
      </w:r>
      <w:r>
        <w:t>. The key insight is that accessibility does not require lowering standards; it requires providing multiple pathways to meeting those standards. This essay’s framework operationalizes this insight by distinguishing between accommodations that provide alternative pathways to the learning objective (legitimate) and accommodations that eliminate the learning objective (problematic).</w:t>
      </w:r>
    </w:p>
    <w:p w14:paraId="6D4A8856" w14:textId="77777777" w:rsidR="003A2AA0" w:rsidRDefault="00BF743F">
      <w:r>
        <w:t>Colker’s scholarship on disability rights in legal education argues that many traditional pedagogical practices create “unnecessary barriers” that can be removed without compromising rigor</w:t>
      </w:r>
      <w:r>
        <w:rPr>
          <w:rStyle w:val="FootnoteReference"/>
        </w:rPr>
        <w:footnoteReference w:id="127"/>
      </w:r>
      <w:r>
        <w:t>. She distinguishes between barriers that are “integral to the learning objective” and barriers that are “artifacts of traditional practice”</w:t>
      </w:r>
      <w:r>
        <w:rPr>
          <w:rStyle w:val="FootnoteReference"/>
        </w:rPr>
        <w:footnoteReference w:id="128"/>
      </w:r>
      <w:r>
        <w:t>. This essay’s framework extends this distinction by providing specific criteria for determining whether a barrier is integral to the learning objective (germane cognitive load) or an artifact of traditional practice (extraneous cognitive load).</w:t>
      </w:r>
    </w:p>
    <w:p w14:paraId="5F5D490C" w14:textId="77777777" w:rsidR="003A2AA0" w:rsidRDefault="00BF743F">
      <w:r>
        <w:t>Recent scholarship on neurodivergent students in legal education emphasizes that traditional pedagogy often privileges neurotypical students by requiring spontaneous oral performance, rapid processing, and social interaction in formats that are particularly challenging for students with ADHD, autism spectrum disorders, or anxiety disorders .</w:t>
      </w:r>
      <w:r>
        <w:rPr>
          <w:rStyle w:val="FootnoteReference"/>
        </w:rPr>
        <w:footnoteReference w:id="129"/>
      </w:r>
      <w:r>
        <w:t xml:space="preserve"> Scholars working at the intersection of disability law and pedagogy have argued that law schools systematically fail students whose learning profiles differ from the neurotypical norm assumed by traditional instructional formats.</w:t>
      </w:r>
      <w:r>
        <w:rPr>
          <w:rStyle w:val="FootnoteReference"/>
        </w:rPr>
        <w:footnoteReference w:id="130"/>
      </w:r>
      <w:r>
        <w:t xml:space="preserve"> This literature advocates for flexibility in participation formats, extended time, and reduced emphasis on spontaneous performance. This essay’s framework is consistent with these recommendations: the live cold-call’s emphasis on spontaneous oral performance is extraneous cognitive load (not integral to the learning objective of doctrinal analysis), and alternative formats (asynchronous video responses, written analysis, structured discussion boards) can produce the Valley while removing this barrier.</w:t>
      </w:r>
    </w:p>
    <w:p w14:paraId="18C82A4D" w14:textId="77777777" w:rsidR="003A2AA0" w:rsidRDefault="00BF743F">
      <w:r>
        <w:t>However, this essay also argues that disability rights scholarship sometimes conflates two distinct issues: (1) whether traditional pedagogical instruments (live cold-calls, timed exams, oral performance) are necessary for achieving learning objectives, and (2) whether the learning objectives themselves (doctrinal knowledge, analytical reasoning, individual accountability) should be modified. Disability rights scholarship has persuasively argued that traditional instruments are often unnecessary and should be replaced with more accessible alternatives. This essay agrees. But disability rights scholarship has been less clear about whether learning objectives themselves should be modified, and this essay argues that they should not be, doctrinal knowledge is necessary for professional competence, and accommodations that bypass doctrinal knowledge are problematic even when requested by students with disabilities.</w:t>
      </w:r>
    </w:p>
    <w:p w14:paraId="520B96C0" w14:textId="77777777" w:rsidR="003A2AA0" w:rsidRDefault="00BF743F">
      <w:r>
        <w:t>The distinction is crucial because it prevents the essay’s argument from being misused to deny legitimate accommodations. A faculty member who has not made this distinction might deny a request for extended time (legitimate) on the grounds that “rigor requires time pressure,” or might deny a request for asynchronous participation (legitimate) on the grounds that “the Socratic method requires live cold-calls.” This essay’s framework prevents these errors by clarifying that the learning objective is doctrinal knowledge (not time pressure or live performance), and accommodations that preserve the learning objective while removing unnecessary barriers are not only legitimate but often required by law.</w:t>
      </w:r>
    </w:p>
    <w:p w14:paraId="21A3283B" w14:textId="3C494473" w:rsidR="003A2AA0" w:rsidRDefault="00B97540" w:rsidP="006D4C51">
      <w:pPr>
        <w:pStyle w:val="Heading3"/>
      </w:pPr>
      <w:bookmarkStart w:id="48" w:name="clarifying-the-arguments-scope"/>
      <w:bookmarkEnd w:id="47"/>
      <w:r>
        <w:t xml:space="preserve">5. </w:t>
      </w:r>
      <w:r w:rsidR="00BF743F">
        <w:t>Clarifying the Argument’s Scope</w:t>
      </w:r>
    </w:p>
    <w:p w14:paraId="0B4B292B" w14:textId="77777777" w:rsidR="003A2AA0" w:rsidRDefault="00BF743F">
      <w:r>
        <w:t>This essay’s argument is not: - That students with disabilities should be denied accommodations - That Universal Design for Instruction is misguided - That traditional pedagogical practices should be preserved because they are traditional - That student discomfort is inherently valuable - That accessibility and rigor are incompatible - That faculty should be inflexible or unresponsive to student needs</w:t>
      </w:r>
    </w:p>
    <w:p w14:paraId="5D76FFE8" w14:textId="77777777" w:rsidR="003A2AA0" w:rsidRDefault="00BF743F">
      <w:r>
        <w:t>This essay’s argument is: - That doctrinal knowledge is necessary for professional competence - That acquiring doctrinal knowledge requires displacing operational fluency when operational fluency is present - That the Valley of Despair is the cognitive process of displacement and is therefore necessary - That accommodations should remove unnecessary barriers while preserving the Valley - That faculty must distinguish between barriers that are pedagogically necessary (germane cognitive load) and barriers that are not (extraneous cognitive load) - That this distinction is consistent with disability rights principles and UDI frameworks</w:t>
      </w:r>
    </w:p>
    <w:p w14:paraId="39444458" w14:textId="77777777" w:rsidR="003A2AA0" w:rsidRDefault="00BF743F">
      <w:r>
        <w:t>The essay’s argument is compatible with robust accessibility commitments. Indeed, the essay argues that accessibility requires careful attention to this distinction, because accommodations that bypass the Valley harm students by sending them into practice without doctrinal knowledge. A student with a disability who is accommodated by being allowed to avoid the Valley has been denied the education she paid for and needs for professional competence. True accessibility requires providing the supports necessary for the student to navigate the Valley successfully (tutoring, mentoring, extended time, alternative formats, mental health resources), not bypassing the Valley itself.</w:t>
      </w:r>
    </w:p>
    <w:p w14:paraId="0AFEAE60" w14:textId="77777777" w:rsidR="003A2AA0" w:rsidRDefault="00BF743F" w:rsidP="006D4C51">
      <w:pPr>
        <w:pStyle w:val="Heading2"/>
      </w:pPr>
      <w:bookmarkStart w:id="49" w:name="e.-the-tragedy-of-the-commons"/>
      <w:bookmarkEnd w:id="43"/>
      <w:bookmarkEnd w:id="48"/>
      <w:r>
        <w:t>E. The Tragedy of the Commons</w:t>
      </w:r>
    </w:p>
    <w:p w14:paraId="67745A83" w14:textId="77777777" w:rsidR="003A2AA0" w:rsidRDefault="00BF743F">
      <w:r>
        <w:t xml:space="preserve">The accommodation problem has the structure of a tragedy of the commons </w:t>
      </w:r>
      <w:r>
        <w:rPr>
          <w:rStyle w:val="FootnoteReference"/>
        </w:rPr>
        <w:footnoteReference w:id="131"/>
      </w:r>
      <w:r>
        <w:t>. Each individual accommodation decision is locally rational: the professor helps a struggling student, improves course evaluations, reduces attrition, and avoids conflict with administrators. But the aggregate effect of many such decisions is systemic credential inflation: the J.D. degree comes to represent completion of a program rather than acquisition of doctrinal knowledge, which erodes the credential’s value to the profession and the public.</w:t>
      </w:r>
    </w:p>
    <w:p w14:paraId="75C131EC" w14:textId="77777777" w:rsidR="003A2AA0" w:rsidRDefault="00BF743F">
      <w:r>
        <w:rPr>
          <w:i/>
          <w:iCs/>
        </w:rPr>
        <w:t>The Tragedy of the Commons</w:t>
      </w:r>
      <w:r>
        <w:t xml:space="preserve"> occurs when individual rational decisions produce collective irrationality</w:t>
      </w:r>
      <w:r>
        <w:rPr>
          <w:rStyle w:val="FootnoteReference"/>
        </w:rPr>
        <w:footnoteReference w:id="132"/>
      </w:r>
      <w:r>
        <w:t>. Each professor who accommodates operational fluency makes a locally defensible decision: the student is struggling, the accommodation will help, and the professor’s course evaluations and retention metrics will improve. But when many professors make this decision, the result is that students graduate without doctrinal knowledge, which creates several systemic harms:</w:t>
      </w:r>
    </w:p>
    <w:p w14:paraId="0FA51EE0" w14:textId="77777777" w:rsidR="003A2AA0" w:rsidRDefault="00BF743F">
      <w:r>
        <w:t xml:space="preserve">First, graduates who lack doctrinal knowledge are at elevated risk of professional errors. They can perform adequately in familiar contexts (where operational knowledge suffices) but cannot analyze novel situations, predict legal outcomes, or construct legal arguments, capabilities that are necessary for competent practice </w:t>
      </w:r>
      <w:r>
        <w:rPr>
          <w:rStyle w:val="FootnoteReference"/>
        </w:rPr>
        <w:footnoteReference w:id="133"/>
      </w:r>
      <w:r>
        <w:t>.</w:t>
      </w:r>
    </w:p>
    <w:p w14:paraId="4C9E3FAE" w14:textId="77777777" w:rsidR="003A2AA0" w:rsidRDefault="00BF743F">
      <w:r>
        <w:t>Second, the credential’s signaling value erodes. Employers, clients, and courts rely on the J.D. degree as a signal that its holder has acquired doctrinal knowledge. When the degree no longer reliably signals this, its value to all degree-holders declines</w:t>
      </w:r>
      <w:r>
        <w:rPr>
          <w:rStyle w:val="FootnoteReference"/>
        </w:rPr>
        <w:footnoteReference w:id="134"/>
      </w:r>
      <w:r>
        <w:t>.</w:t>
      </w:r>
    </w:p>
    <w:p w14:paraId="6DFDDAE9" w14:textId="77777777" w:rsidR="003A2AA0" w:rsidRDefault="00BF743F">
      <w:r>
        <w:t xml:space="preserve">Third, the profession’s capacity for self-regulation is undermined. Bar exams, continuing legal education requirements, and malpractice standards all assume that lawyers have doctrinal knowledge. When this assumption is false, these regulatory mechanisms become less effective </w:t>
      </w:r>
      <w:r>
        <w:rPr>
          <w:rStyle w:val="FootnoteReference"/>
        </w:rPr>
        <w:footnoteReference w:id="135"/>
      </w:r>
      <w:r>
        <w:t>.</w:t>
      </w:r>
    </w:p>
    <w:p w14:paraId="3EC421A5" w14:textId="77777777" w:rsidR="003A2AA0" w:rsidRDefault="00BF743F">
      <w:r>
        <w:t xml:space="preserve">Fourth, public trust in the legal profession declines. Clients who receive incompetent representation, courts that encounter lawyers who cannot construct legal arguments, and the public that observes professional failures all lose confidence in the profession’s competence </w:t>
      </w:r>
      <w:r>
        <w:rPr>
          <w:rStyle w:val="FootnoteReference"/>
        </w:rPr>
        <w:footnoteReference w:id="136"/>
      </w:r>
      <w:r>
        <w:t>.</w:t>
      </w:r>
    </w:p>
    <w:p w14:paraId="054B7A4E" w14:textId="77777777" w:rsidR="003A2AA0" w:rsidRDefault="00BF743F">
      <w:r>
        <w:t>The tragedy is that no individual professor can solve this problem by refusing to accommodate. A professor who holds the line while colleagues accommodate will have worse course evaluations, higher attrition, and more student complaints, but will not prevent the systemic harm because other professors’ accommodations will still produce graduates without doctrinal knowledge. The problem requires collective action, institutional policies, accreditation standards, or professional norms that make accommodation more difficult.</w:t>
      </w:r>
    </w:p>
    <w:p w14:paraId="3B9FC120" w14:textId="77777777" w:rsidR="003A2AA0" w:rsidRDefault="00BF743F">
      <w:r>
        <w:t>However, the tragedy of the commons model is not a perfect fit. Hardin’s original model involves resource exhaustion (overgrazing depletes the commons), while credential inflation involves reputational harm (the degree’s signaling value declines)</w:t>
      </w:r>
      <w:r>
        <w:rPr>
          <w:rStyle w:val="FootnoteReference"/>
        </w:rPr>
        <w:footnoteReference w:id="137"/>
      </w:r>
      <w:r>
        <w:t>. The mechanism is different, but the structure is similar: individual rational decisions produce collective harm that no individual can prevent alone.</w:t>
      </w:r>
    </w:p>
    <w:p w14:paraId="7AC0CAB4" w14:textId="77777777" w:rsidR="003A2AA0" w:rsidRDefault="00BF743F" w:rsidP="006D4C51">
      <w:pPr>
        <w:pStyle w:val="Heading2"/>
      </w:pPr>
      <w:bookmarkStart w:id="50" w:name="X93dd0eeee2c8449a122841bd948a339c7d4cbe6"/>
      <w:bookmarkEnd w:id="49"/>
      <w:r>
        <w:t>F. The Professor’s Obligation Beyond the Student</w:t>
      </w:r>
    </w:p>
    <w:p w14:paraId="512D52AD" w14:textId="77777777" w:rsidR="003A2AA0" w:rsidRDefault="00BF743F">
      <w:r>
        <w:t>The final argument against accommodation is that the professor’s obligation extends beyond the individual student to the law, the profession, and the public that relies on the credential’s integrity.</w:t>
      </w:r>
    </w:p>
    <w:p w14:paraId="52C99748" w14:textId="77777777" w:rsidR="003A2AA0" w:rsidRDefault="00BF743F">
      <w:r>
        <w:t>The professor-student relationship is not merely a commercial transaction (student pays tuition, professor provides instruction) or a service relationship (professor helps student achieve her goals). It is a professional relationship in which the professor serves as gatekeeper for the profession</w:t>
      </w:r>
      <w:r>
        <w:rPr>
          <w:rStyle w:val="FootnoteReference"/>
        </w:rPr>
        <w:footnoteReference w:id="138"/>
      </w:r>
      <w:r>
        <w:t>. The professor’s obligation is not merely to help the student succeed in the course but to ensure that the student acquires the knowledge necessary for professional competence.</w:t>
      </w:r>
    </w:p>
    <w:p w14:paraId="1ABD763B" w14:textId="77777777" w:rsidR="003A2AA0" w:rsidRDefault="00BF743F">
      <w:r>
        <w:t>This gatekeeping function is recognized in ABA accreditation standards, which require that law schools maintain “a rigorous program of legal education” and establish learning outcomes that include “competency in legal analysis and reasoning”</w:t>
      </w:r>
      <w:r>
        <w:rPr>
          <w:rStyle w:val="FootnoteReference"/>
        </w:rPr>
        <w:footnoteReference w:id="139"/>
      </w:r>
      <w:r>
        <w:t>. The standards do not require that all students succeed; they require that students who graduate have demonstrated competence. The professor who accommodates a student by allowing her to avoid the Valley has failed this gatekeeping function, even if the accommodation improves the student’s satisfaction and retention.</w:t>
      </w:r>
    </w:p>
    <w:p w14:paraId="716D7D70" w14:textId="77777777" w:rsidR="003A2AA0" w:rsidRDefault="00BF743F">
      <w:r>
        <w:t>The obligation extends beyond the student to future clients. A student who graduates without doctrinal knowledge will enter practice and represent clients. Those clients will rely on the J.D. degree as a signal of competence, and they will suffer harm if that signal is false. The professor who accommodates the student has transferred the cost of that accommodation from the student (who avoids discomfort) to future clients (who receive incompetent representation)</w:t>
      </w:r>
      <w:r>
        <w:rPr>
          <w:rStyle w:val="FootnoteReference"/>
        </w:rPr>
        <w:footnoteReference w:id="140"/>
      </w:r>
      <w:r>
        <w:t>.</w:t>
      </w:r>
    </w:p>
    <w:p w14:paraId="107220E2" w14:textId="77777777" w:rsidR="003A2AA0" w:rsidRDefault="00BF743F">
      <w:r>
        <w:t>The obligation also extends to the profession. The legal profession’s legitimacy depends on the public’s trust that lawyers are competent, and that trust depends on the reliability of the J.D. degree as a signal of competence</w:t>
      </w:r>
      <w:r>
        <w:rPr>
          <w:rStyle w:val="FootnoteReference"/>
        </w:rPr>
        <w:footnoteReference w:id="141"/>
      </w:r>
      <w:r>
        <w:t>. When professors accommodate students by allowing them to avoid the Valley, they contribute to credential inflation, which erodes public trust and undermines the profession’s legitimacy.</w:t>
      </w:r>
    </w:p>
    <w:p w14:paraId="056446DC" w14:textId="77777777" w:rsidR="003A2AA0" w:rsidRDefault="00BF743F">
      <w:r>
        <w:t>Finally, the obligation extends to the law itself. Law is a system of public rules that governs social life, and the system’s effectiveness depends on lawyers who understand those rules and can apply them competently</w:t>
      </w:r>
      <w:r>
        <w:rPr>
          <w:rStyle w:val="FootnoteReference"/>
        </w:rPr>
        <w:footnoteReference w:id="142"/>
      </w:r>
      <w:r>
        <w:t>. Lawyers who lack doctrinal knowledge cannot perform this function, which undermines the rule of law.</w:t>
      </w:r>
    </w:p>
    <w:p w14:paraId="72FF27B5" w14:textId="77777777" w:rsidR="003A2AA0" w:rsidRDefault="00BF743F">
      <w:r>
        <w:t>These obligations do not mean that professors should be indifferent to student suffering or that student welfare is unimportant. They mean that student welfare must be understood in long-term rather than short-term terms. A student who is accommodated by being allowed to avoid the Valley experiences short-term relief (reduced discomfort, maintained confidence) but long-term harm (inadequate preparation for practice, elevated malpractice risk, diminished career prospects). A student who navigates the Valley successfully experiences short-term discomfort but long-term benefit (doctrinal knowledge, professional competence, career success).</w:t>
      </w:r>
    </w:p>
    <w:p w14:paraId="41A33707" w14:textId="77777777" w:rsidR="003A2AA0" w:rsidRDefault="00BF743F">
      <w:r>
        <w:t>The professor’s obligation is to prioritize long-term student welfare over short-term comfort, which requires producing the Valley even when students resist, even when course evaluations suffer, and even when administrators pressure faculty to accommodate.</w:t>
      </w:r>
    </w:p>
    <w:p w14:paraId="2D82CD27" w14:textId="77777777" w:rsidR="003A2AA0" w:rsidRDefault="00BF743F" w:rsidP="006D4C51">
      <w:pPr>
        <w:pStyle w:val="Heading1"/>
      </w:pPr>
      <w:bookmarkStart w:id="51" w:name="part-viii-conclusion"/>
      <w:bookmarkEnd w:id="27"/>
      <w:bookmarkEnd w:id="50"/>
      <w:r>
        <w:t>PART VIII: CONCLUSION</w:t>
      </w:r>
    </w:p>
    <w:p w14:paraId="0E052132" w14:textId="77777777" w:rsidR="003A2AA0" w:rsidRDefault="00BF743F">
      <w:r>
        <w:t>Mid-career professionals who enroll in online and hybrid J.D. programs bring a distinctive form of expertise that resembles, and actively obscures, the doctrinal knowledge they need to acquire. They have operational fluency in law-adjacent domains, acquired through years of professional practice and validated by professional success. This operational fluency creates the Dunning-Kruger dynamic: maximum confidence, minimum doctrinal foundation, and resistance to instruction that challenges their existing framework.</w:t>
      </w:r>
    </w:p>
    <w:p w14:paraId="75D72E56" w14:textId="77777777" w:rsidR="003A2AA0" w:rsidRDefault="00BF743F">
      <w:r>
        <w:t>This essay has argued that the Valley of Despair, the moment when confidence drops as the student recognizes that her existing framework is inadequate, is not a pedagogical accident to be mitigated but a designed necessity to be preserved. The Valley is the cognitive process of displacing operational fluency and constructing doctrinal knowledge, and it cannot be bypassed without preventing learning.</w:t>
      </w:r>
    </w:p>
    <w:p w14:paraId="5B199BC4" w14:textId="77777777" w:rsidR="003A2AA0" w:rsidRDefault="00BF743F">
      <w:r>
        <w:t>The argument has proceeded through eight Parts. Part I identified the problem: mid-career professionals with operational fluency in law-adjacent domains. Part II situated the problem within existing legal education scholarship on online pedagogy, Universal Design for Instruction, Socratic method debates, desirable difficulties, the Dunning-Kruger effect, and adult learning theory. Part III formally defined operational and doctrinal knowledge and developed a taxonomy for distinguishing them. Part IV addressed equity implications, examining whether the Valley affects different populations differently and explaining how the argument is compatible with diversity, equity, and inclusion commitments.</w:t>
      </w:r>
    </w:p>
    <w:p w14:paraId="00799815" w14:textId="77777777" w:rsidR="003A2AA0" w:rsidRDefault="00BF743F">
      <w:r>
        <w:t>Part V presented the theoretical framework: the Dunning-Kruger curve, three philosophical analogies (Tolkien’s Boromir, Maimonides’ excavation principle, Aquinas’s ordo doctrinae), and the argument that the Valley cannot be bypassed. Part VI identified specific pedagogical instruments for producing the Valley in hybrid and asynchronous contexts: pre-recorded case analysis with embedded errors, structured discussion boards with Socratic sequencing, asynchronous cold-calls via video response, and peer review with doctrinal rubrics.</w:t>
      </w:r>
    </w:p>
    <w:p w14:paraId="53CC03FE" w14:textId="77777777" w:rsidR="003A2AA0" w:rsidRDefault="00BF743F">
      <w:r>
        <w:t>Part VII examined institutional pressures that incentivize accommodation, course evaluations, retention metrics, accessibility arguments, and curriculum redesign conversations, and included a dedicated subsection distinguishing legitimate accommodations (which remove unnecessary barriers) from problematic accommodations (which bypass designed difficulties). The distinction is grounded in cognitive load theory’s differentiation between extraneous and germane cognitive load, is consistent with disability rights scholarship and Universal Design for Instruction principles, and provides practical decision-making criteria for faculty.</w:t>
      </w:r>
    </w:p>
    <w:p w14:paraId="54C2011D" w14:textId="77777777" w:rsidR="003A2AA0" w:rsidRDefault="00BF743F">
      <w:r>
        <w:t>The essay’s central claim is that professors have an obligation to preserve the Valley even when students resist, even when course evaluations suffer, and even when administrators pressure faculty to accommodate. This obligation extends beyond the individual student to the law, the profession, and the public that relies on the credential’s integrity. The professor who accommodates operational fluency by allowing students to avoid the Valley has failed this obligation, even if the accommodation improves student satisfaction and retention.</w:t>
      </w:r>
    </w:p>
    <w:p w14:paraId="31B192AC" w14:textId="77777777" w:rsidR="003A2AA0" w:rsidRDefault="00BF743F">
      <w:r>
        <w:t>The essay does not argue that traditional pedagogical practices should be preserved because they are traditional, that student discomfort is inherently valuable, or that accessibility and rigor are incompatible. It argues that doctrinal knowledge is necessary for professional competence, that acquiring doctrinal knowledge requires displacing operational fluency when operational fluency is present, and that the Valley of Despair is the cognitive process of displacement. The essay identifies alternative pedagogical instruments that can produce the Valley while removing unnecessary barriers, accommodating different communication styles, and promoting inclusion.</w:t>
      </w:r>
    </w:p>
    <w:p w14:paraId="0454A1DC" w14:textId="77777777" w:rsidR="003A2AA0" w:rsidRDefault="00BF743F">
      <w:r>
        <w:t>The operational fluency problem is not unique to online and hybrid programs, but the modality makes it easier to commit the accommodation error and harder to detect. The absence of the live classroom, the asynchronous format, the technological mediation, and the institutional pressures specific to online programs all create conditions in which accommodation becomes the path of least resistance. The essay’s purpose has been to name the error, explain why it is an error, identify the pressures that produce it, and describe the instruments by which online and hybrid programs can resist it.</w:t>
      </w:r>
    </w:p>
    <w:p w14:paraId="3DD23270" w14:textId="77777777" w:rsidR="003A2AA0" w:rsidRDefault="00BF743F">
      <w:r>
        <w:t>The stakes are high. Legal education’s legitimacy depends on the reliability of the J.D. degree as a signal of professional competence. When that signal becomes unreliable, when graduates have doctrinal vocabulary without doctrinal knowledge, the profession’s capacity for self-regulation is undermined, public trust declines, and clients suffer harm. The professor who holds the Socratic line, who produces the Valley even when students resist, who distinguishes legitimate from problematic accommodation, and who prioritizes long-term student welfare over short-term comfort is not being rigid, traditional, or hostile to accessibility. She is fulfilling her obligation to the student, the profession, and the public.</w:t>
      </w:r>
    </w:p>
    <w:p w14:paraId="43E5D166" w14:textId="77777777" w:rsidR="003A2AA0" w:rsidRDefault="00BF743F">
      <w:r>
        <w:t>Ray will struggle. He will experience the Valley as disorienting, uncomfortable, and threatening to his professional identity. He will request accommodation, and he will have good reasons for his request, he is paying tuition, he has professional experience, he is an adult learner with distinctive needs. The professor’s obligation is to help Ray navigate the Valley, not to help him avoid it. The help takes the form of clear expectations, detailed feedback, multiple opportunities to demonstrate learning, model answers, metacognitive reflection, and support resources. It does not take the form of allowing Ray to build on operational fluency rather than displacing it.</w:t>
      </w:r>
    </w:p>
    <w:p w14:paraId="28066EE8" w14:textId="730D327C" w:rsidR="003A2AA0" w:rsidRDefault="00BF743F" w:rsidP="00F5318A">
      <w:r>
        <w:t>When Ray emerges on the other side, when he has acquired doctrinal knowledge and integrated it with his operational fluency, he will have something he did not have before: the capacity to analyze novel legal situations, predict legal outcomes, construct legal arguments, and represent clients competently. He will have earned the J.D. degree, and the degree will mean what it is supposed to mean. That is the professor’s obligation, and that is why the Valley cannot be bypassed.</w:t>
      </w:r>
      <w:bookmarkEnd w:id="51"/>
    </w:p>
    <w:sectPr w:rsidR="003A2AA0" w:rsidSect="00766DF3">
      <w:headerReference w:type="even" r:id="rId7"/>
      <w:headerReference w:type="default" r:id="rId8"/>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E6391" w14:textId="77777777" w:rsidR="00BF743F" w:rsidRDefault="00BF743F">
      <w:pPr>
        <w:spacing w:line="240" w:lineRule="auto"/>
      </w:pPr>
      <w:r>
        <w:separator/>
      </w:r>
    </w:p>
  </w:endnote>
  <w:endnote w:type="continuationSeparator" w:id="0">
    <w:p w14:paraId="3966C9C5" w14:textId="77777777" w:rsidR="00BF743F" w:rsidRDefault="00BF74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F7911" w14:textId="77777777" w:rsidR="00BF743F" w:rsidRDefault="00BF743F">
      <w:r>
        <w:separator/>
      </w:r>
    </w:p>
  </w:footnote>
  <w:footnote w:type="continuationSeparator" w:id="0">
    <w:p w14:paraId="085C50BF" w14:textId="77777777" w:rsidR="00BF743F" w:rsidRDefault="00BF743F">
      <w:r>
        <w:continuationSeparator/>
      </w:r>
    </w:p>
  </w:footnote>
  <w:footnote w:id="1">
    <w:p w14:paraId="272B7F6C" w14:textId="77777777" w:rsidR="003A2AA0" w:rsidRDefault="00BF743F" w:rsidP="00F53BB1">
      <w:pPr>
        <w:pStyle w:val="FootnoteText"/>
        <w:suppressAutoHyphens/>
        <w:spacing w:after="80"/>
        <w:ind w:left="0" w:firstLine="0"/>
        <w:jc w:val="left"/>
      </w:pPr>
      <w:r>
        <w:rPr>
          <w:rStyle w:val="FootnoteReference"/>
        </w:rPr>
        <w:footnoteRef/>
      </w:r>
      <w:r>
        <w:t xml:space="preserve"> Professor of Law, University of New Hampshire Franklin Pierce School of Law; Director, Program on Organizations, Business and Markets, NYU School of Law. The author thanks students in the UNH Franklin Pierce hybrid J.D. program whose teaching experiences prompted this essay, and the anonymous peer reviewers whose thoughtful feedback substantially improved the manuscript. All errors are the author’s own.</w:t>
      </w:r>
    </w:p>
  </w:footnote>
  <w:footnote w:id="2">
    <w:p w14:paraId="4AC427A7" w14:textId="77777777" w:rsidR="003A2AA0" w:rsidRDefault="00BF743F" w:rsidP="00F53BB1">
      <w:pPr>
        <w:pStyle w:val="FootnoteText"/>
        <w:suppressAutoHyphens/>
        <w:spacing w:after="80"/>
        <w:ind w:left="0" w:firstLine="0"/>
        <w:jc w:val="left"/>
      </w:pPr>
      <w:r>
        <w:rPr>
          <w:rStyle w:val="FootnoteReference"/>
        </w:rPr>
        <w:footnoteRef/>
      </w:r>
      <w:r>
        <w:t xml:space="preserve"> Justin Kruger &amp; David Dunning, </w:t>
      </w:r>
      <w:r>
        <w:rPr>
          <w:i/>
          <w:iCs/>
        </w:rPr>
        <w:t>Unskilled and Unaware of It: How Difficulties in Recognizing One’s Own Incompetence Lead to Inflated Self-Assessments</w:t>
      </w:r>
      <w:r>
        <w:t xml:space="preserve">, 77 </w:t>
      </w:r>
      <w:r>
        <w:rPr>
          <w:smallCaps/>
        </w:rPr>
        <w:t>Journal of Personality and Social Psychology</w:t>
      </w:r>
      <w:r>
        <w:t xml:space="preserve"> 1121, 1134 (1999). The Dunning-Kruger effect has attracted methodological criticism; most prominently, Gilles Gignac &amp; Marcin Zajenkowski argue that the characteristic curve is partly a statistical artifact. </w:t>
      </w:r>
      <w:r>
        <w:rPr>
          <w:i/>
          <w:iCs/>
        </w:rPr>
        <w:t>See</w:t>
      </w:r>
      <w:r>
        <w:t xml:space="preserve"> Gilles Gignac &amp; Marcin Zajenkowski, </w:t>
      </w:r>
      <w:r>
        <w:rPr>
          <w:i/>
          <w:iCs/>
        </w:rPr>
        <w:t>The Dunning-Kruger Effect Is (Largely) a Statistical Artifact: Valid Approaches to Testing the Hypothesis With Individual Differences Data</w:t>
      </w:r>
      <w:r>
        <w:t>, 234 Intelligence 1 (2020). The core finding, that low-competence individuals systematically overestimate their own performance because they lack metacognitive tools to recognize their own incompetence, has nonetheless been replicated across numerous domains and methodologies.</w:t>
      </w:r>
    </w:p>
  </w:footnote>
  <w:footnote w:id="3">
    <w:p w14:paraId="62320E34" w14:textId="77777777" w:rsidR="003A2AA0" w:rsidRDefault="00BF743F" w:rsidP="00F53BB1">
      <w:pPr>
        <w:pStyle w:val="FootnoteText"/>
        <w:suppressAutoHyphens/>
        <w:spacing w:after="80"/>
        <w:ind w:left="0" w:firstLine="0"/>
        <w:jc w:val="left"/>
      </w:pPr>
      <w:r>
        <w:rPr>
          <w:rStyle w:val="FootnoteReference"/>
        </w:rPr>
        <w:footnoteRef/>
      </w:r>
      <w:r>
        <w:t xml:space="preserve"> The composite figure of “Ray” is drawn from the author’s teaching experience over seven years in hybrid J.D. programs. No individual student’s identity is disclosed. The composite reflects patterns that have repeated across multiple cohorts and instructional contexts. </w:t>
      </w:r>
      <w:r>
        <w:rPr>
          <w:i/>
          <w:iCs/>
        </w:rPr>
        <w:t>See generally</w:t>
      </w:r>
      <w:r>
        <w:t xml:space="preserve"> Kim D. Chanbonpin, </w:t>
      </w:r>
      <w:r>
        <w:rPr>
          <w:i/>
          <w:iCs/>
        </w:rPr>
        <w:t>Legal Writing, the Remix: Plagiarism and Hip Hop Ethics</w:t>
      </w:r>
      <w:r>
        <w:t xml:space="preserve">, 63 </w:t>
      </w:r>
      <w:r>
        <w:rPr>
          <w:smallCaps/>
        </w:rPr>
        <w:t>Mercer Law Review</w:t>
      </w:r>
      <w:r>
        <w:t xml:space="preserve"> 597, 623 (2012) (discussing the scholarly convention of composite figures in legal pedagogy literature); </w:t>
      </w:r>
      <w:r>
        <w:rPr>
          <w:i/>
          <w:iCs/>
        </w:rPr>
        <w:t>cf.</w:t>
      </w:r>
      <w:r>
        <w:t xml:space="preserve"> Patricia Williams, </w:t>
      </w:r>
      <w:r>
        <w:rPr>
          <w:smallCaps/>
        </w:rPr>
        <w:t>The Alchemy of Race and Rights</w:t>
      </w:r>
      <w:r>
        <w:t xml:space="preserve"> 92-93 (1991) (employing composite and narrative methods to illuminate recurring structural patterns rather than individual anecdotes).</w:t>
      </w:r>
    </w:p>
  </w:footnote>
  <w:footnote w:id="4">
    <w:p w14:paraId="3557C73E" w14:textId="77777777" w:rsidR="003A2AA0" w:rsidRDefault="00BF743F" w:rsidP="00F53BB1">
      <w:pPr>
        <w:pStyle w:val="FootnoteText"/>
        <w:suppressAutoHyphens/>
        <w:spacing w:after="80"/>
        <w:ind w:left="0" w:firstLine="0"/>
        <w:jc w:val="left"/>
      </w:pPr>
      <w:r>
        <w:rPr>
          <w:rStyle w:val="FootnoteReference"/>
        </w:rPr>
        <w:footnoteRef/>
      </w:r>
      <w:r>
        <w:t xml:space="preserve"> David Dunning, The Dunning-Kruger effect: </w:t>
      </w:r>
      <w:r>
        <w:rPr>
          <w:i/>
          <w:iCs/>
        </w:rPr>
        <w:t>On Being Ignorant of One’s Own Ignorance</w:t>
      </w:r>
      <w:r>
        <w:t xml:space="preserve">, </w:t>
      </w:r>
      <w:r>
        <w:rPr>
          <w:smallCaps/>
        </w:rPr>
        <w:t>44 Advances in Experimental Social Psychology 247</w:t>
      </w:r>
      <w:r>
        <w:t>, 296 (2011).</w:t>
      </w:r>
    </w:p>
  </w:footnote>
  <w:footnote w:id="5">
    <w:p w14:paraId="03837403" w14:textId="77777777" w:rsidR="003A2AA0" w:rsidRDefault="00BF743F" w:rsidP="00F53BB1">
      <w:pPr>
        <w:pStyle w:val="FootnoteText"/>
        <w:suppressAutoHyphens/>
        <w:spacing w:after="80"/>
        <w:ind w:left="0" w:firstLine="0"/>
        <w:jc w:val="left"/>
      </w:pPr>
      <w:r>
        <w:rPr>
          <w:rStyle w:val="FootnoteReference"/>
        </w:rPr>
        <w:footnoteRef/>
      </w:r>
      <w:r>
        <w:t xml:space="preserve"> Christopher Sloan, </w:t>
      </w:r>
      <w:r>
        <w:rPr>
          <w:i/>
          <w:iCs/>
        </w:rPr>
        <w:t>Pioneering Online Legal Education: The Story of Concord Law School</w:t>
      </w:r>
      <w:r>
        <w:t xml:space="preserve">, 67 </w:t>
      </w:r>
      <w:r>
        <w:rPr>
          <w:smallCaps/>
        </w:rPr>
        <w:t>Journal of Legal Education</w:t>
      </w:r>
      <w:r>
        <w:t xml:space="preserve"> 798, 825 (2018).</w:t>
      </w:r>
    </w:p>
  </w:footnote>
  <w:footnote w:id="6">
    <w:p w14:paraId="65064C70" w14:textId="77777777" w:rsidR="003A2AA0" w:rsidRDefault="00BF743F" w:rsidP="00F53BB1">
      <w:pPr>
        <w:pStyle w:val="FootnoteText"/>
        <w:suppressAutoHyphens/>
        <w:spacing w:after="80"/>
        <w:ind w:left="0" w:firstLine="0"/>
        <w:jc w:val="left"/>
      </w:pPr>
      <w:r>
        <w:rPr>
          <w:rStyle w:val="FootnoteReference"/>
        </w:rPr>
        <w:footnoteRef/>
      </w:r>
      <w:r>
        <w:t xml:space="preserve"> Yvonne M. Dutton, Margaret Ryznar &amp; Karla Long, </w:t>
      </w:r>
      <w:r>
        <w:rPr>
          <w:i/>
          <w:iCs/>
        </w:rPr>
        <w:t>Assessing Online Learning in Law Schools: Students Say Online Classes Deliver</w:t>
      </w:r>
      <w:r>
        <w:t>, 96 DENVER LAW REVIEW 493, 538 (2019).</w:t>
      </w:r>
    </w:p>
  </w:footnote>
  <w:footnote w:id="7">
    <w:p w14:paraId="3DAF4B1D" w14:textId="77777777" w:rsidR="003A2AA0" w:rsidRDefault="00BF743F" w:rsidP="00F53BB1">
      <w:pPr>
        <w:pStyle w:val="FootnoteText"/>
        <w:suppressAutoHyphens/>
        <w:spacing w:after="80"/>
        <w:ind w:left="0" w:firstLine="0"/>
        <w:jc w:val="left"/>
      </w:pPr>
      <w:r>
        <w:rPr>
          <w:rStyle w:val="FootnoteReference"/>
        </w:rPr>
        <w:footnoteRef/>
      </w:r>
      <w:r>
        <w:t xml:space="preserve"> Liyun Wang, </w:t>
      </w:r>
      <w:r>
        <w:rPr>
          <w:i/>
          <w:iCs/>
        </w:rPr>
        <w:t>The Transformation of Legal Education in the United States and China: Convergence and Divergence</w:t>
      </w:r>
      <w:r>
        <w:t>, 49 VANDERBILT JOURNAL OF TRANSNATIONAL LAW 1285, 1342 (2016).</w:t>
      </w:r>
    </w:p>
  </w:footnote>
  <w:footnote w:id="8">
    <w:p w14:paraId="08E17CFE" w14:textId="77777777" w:rsidR="003A2AA0" w:rsidRDefault="00BF743F" w:rsidP="00F53BB1">
      <w:pPr>
        <w:pStyle w:val="FootnoteText"/>
        <w:suppressAutoHyphens/>
        <w:spacing w:after="80"/>
        <w:ind w:left="0" w:firstLine="0"/>
        <w:jc w:val="left"/>
      </w:pPr>
      <w:r>
        <w:rPr>
          <w:rStyle w:val="FootnoteReference"/>
        </w:rPr>
        <w:footnoteRef/>
      </w:r>
      <w:r>
        <w:t xml:space="preserve"> Malcolm Knowles, </w:t>
      </w:r>
      <w:r>
        <w:rPr>
          <w:smallCaps/>
        </w:rPr>
        <w:t>The Adult Learner: The Definitive Classic in Adult Education and Human Resource Development</w:t>
      </w:r>
      <w:r>
        <w:t xml:space="preserve"> (2015).</w:t>
      </w:r>
    </w:p>
  </w:footnote>
  <w:footnote w:id="9">
    <w:p w14:paraId="4D84CD80" w14:textId="77777777" w:rsidR="003A2AA0" w:rsidRDefault="00BF743F" w:rsidP="00F53BB1">
      <w:pPr>
        <w:pStyle w:val="FootnoteText"/>
        <w:suppressAutoHyphens/>
        <w:spacing w:after="80"/>
        <w:ind w:left="0" w:firstLine="0"/>
        <w:jc w:val="left"/>
      </w:pPr>
      <w:r>
        <w:rPr>
          <w:rStyle w:val="FootnoteReference"/>
        </w:rPr>
        <w:footnoteRef/>
      </w:r>
      <w:r>
        <w:t xml:space="preserve"> Jerome M. Organ, David Jaffe &amp; Katherine M. Bender, </w:t>
      </w:r>
      <w:r>
        <w:rPr>
          <w:i/>
          <w:iCs/>
        </w:rPr>
        <w:t>Suffering in Silence: The Survey of Law Student Well-Being and the Reluctance of Law Students to Seek Help for Substance Use and Mental Health Concerns</w:t>
      </w:r>
      <w:r>
        <w:t xml:space="preserve">, 66 </w:t>
      </w:r>
      <w:r>
        <w:rPr>
          <w:smallCaps/>
        </w:rPr>
        <w:t>Journal of Legal Education</w:t>
      </w:r>
      <w:r>
        <w:t xml:space="preserve"> 116, 156 (2016).</w:t>
      </w:r>
    </w:p>
  </w:footnote>
  <w:footnote w:id="10">
    <w:p w14:paraId="7ACC8E4C" w14:textId="77777777" w:rsidR="003A2AA0" w:rsidRDefault="00BF743F" w:rsidP="00F53BB1">
      <w:pPr>
        <w:pStyle w:val="FootnoteText"/>
        <w:suppressAutoHyphens/>
        <w:spacing w:after="80"/>
        <w:ind w:left="0" w:firstLine="0"/>
        <w:jc w:val="left"/>
      </w:pPr>
      <w:r>
        <w:rPr>
          <w:rStyle w:val="FootnoteReference"/>
        </w:rPr>
        <w:footnoteRef/>
      </w:r>
      <w:r>
        <w:t xml:space="preserve"> Steven I. Friedland, </w:t>
      </w:r>
      <w:r>
        <w:rPr>
          <w:i/>
          <w:iCs/>
        </w:rPr>
        <w:t>Online Education and the Future of Legal Education</w:t>
      </w:r>
      <w:r>
        <w:t xml:space="preserve">, 64 </w:t>
      </w:r>
      <w:r>
        <w:rPr>
          <w:smallCaps/>
        </w:rPr>
        <w:t>Journal of Legal Education</w:t>
      </w:r>
      <w:r>
        <w:t xml:space="preserve"> 594, 606 (2015).</w:t>
      </w:r>
    </w:p>
  </w:footnote>
  <w:footnote w:id="11">
    <w:p w14:paraId="147C01E8" w14:textId="77777777" w:rsidR="003A2AA0" w:rsidRDefault="00BF743F" w:rsidP="00F53BB1">
      <w:pPr>
        <w:pStyle w:val="FootnoteText"/>
        <w:suppressAutoHyphens/>
        <w:spacing w:after="80"/>
        <w:ind w:left="0" w:firstLine="0"/>
        <w:jc w:val="left"/>
      </w:pPr>
      <w:r>
        <w:rPr>
          <w:rStyle w:val="FootnoteReference"/>
        </w:rPr>
        <w:footnoteRef/>
      </w:r>
      <w:r>
        <w:t xml:space="preserve"> Benjamin H. Barton, </w:t>
      </w:r>
      <w:r>
        <w:rPr>
          <w:smallCaps/>
        </w:rPr>
        <w:t>Glass Half Full: The Decline and Rebirth of the Legal Profession</w:t>
      </w:r>
      <w:r>
        <w:t xml:space="preserve"> (Oxford University Press 2015).</w:t>
      </w:r>
    </w:p>
  </w:footnote>
  <w:footnote w:id="12">
    <w:p w14:paraId="7461E457" w14:textId="77777777" w:rsidR="003A2AA0" w:rsidRDefault="00BF743F" w:rsidP="00F53BB1">
      <w:pPr>
        <w:pStyle w:val="FootnoteText"/>
        <w:suppressAutoHyphens/>
        <w:spacing w:after="80"/>
        <w:ind w:left="0" w:firstLine="0"/>
        <w:jc w:val="left"/>
      </w:pPr>
      <w:r>
        <w:rPr>
          <w:rStyle w:val="FootnoteReference"/>
        </w:rPr>
        <w:footnoteRef/>
      </w:r>
      <w:r>
        <w:t xml:space="preserve"> Gerald F. Hess, </w:t>
      </w:r>
      <w:r>
        <w:rPr>
          <w:i/>
          <w:iCs/>
        </w:rPr>
        <w:t>Improving Teaching and Learning in Law School: Faculty Development Research, Principles, and Programs</w:t>
      </w:r>
      <w:r>
        <w:t>, 19 WIDENER LAW REVIEW 443, 486 (2013).</w:t>
      </w:r>
    </w:p>
  </w:footnote>
  <w:footnote w:id="13">
    <w:p w14:paraId="6A81CD3F" w14:textId="77777777" w:rsidR="003A2AA0" w:rsidRDefault="00BF743F" w:rsidP="00F53BB1">
      <w:pPr>
        <w:pStyle w:val="FootnoteText"/>
        <w:suppressAutoHyphens/>
        <w:spacing w:after="80"/>
        <w:ind w:left="0" w:firstLine="0"/>
        <w:jc w:val="left"/>
      </w:pPr>
      <w:r>
        <w:rPr>
          <w:rStyle w:val="FootnoteReference"/>
        </w:rPr>
        <w:footnoteRef/>
      </w:r>
      <w:r>
        <w:t xml:space="preserve"> Yvonne M. Dutton, </w:t>
      </w:r>
      <w:r>
        <w:rPr>
          <w:i/>
          <w:iCs/>
        </w:rPr>
        <w:t>Commitment, Culture, and Context: An Empirical Study of Student Attrition in Online Legal Education</w:t>
      </w:r>
      <w:r>
        <w:t xml:space="preserve">, 67 </w:t>
      </w:r>
      <w:r>
        <w:rPr>
          <w:smallCaps/>
        </w:rPr>
        <w:t>Journal of Legal Education</w:t>
      </w:r>
      <w:r>
        <w:t xml:space="preserve"> 63, 108 (2017).</w:t>
      </w:r>
    </w:p>
  </w:footnote>
  <w:footnote w:id="14">
    <w:p w14:paraId="10ABDC75" w14:textId="77777777" w:rsidR="003A2AA0" w:rsidRDefault="00BF743F" w:rsidP="00F53BB1">
      <w:pPr>
        <w:pStyle w:val="FootnoteText"/>
        <w:suppressAutoHyphens/>
        <w:spacing w:after="80"/>
        <w:ind w:left="0" w:firstLine="0"/>
        <w:jc w:val="left"/>
      </w:pPr>
      <w:r>
        <w:rPr>
          <w:rStyle w:val="FootnoteReference"/>
        </w:rPr>
        <w:footnoteRef/>
      </w:r>
      <w:r>
        <w:t xml:space="preserve"> Wang, L, </w:t>
      </w:r>
      <w:r>
        <w:rPr>
          <w:i/>
          <w:iCs/>
        </w:rPr>
        <w:t>Quality Assurance in Online Legal Education</w:t>
      </w:r>
      <w:r>
        <w:t>, 68 JOURNAL OF LEGAL EDUCATION 345, 378 (2018).</w:t>
      </w:r>
    </w:p>
  </w:footnote>
  <w:footnote w:id="15">
    <w:p w14:paraId="2C351D91" w14:textId="77777777" w:rsidR="003A2AA0" w:rsidRDefault="00BF743F" w:rsidP="00F53BB1">
      <w:pPr>
        <w:pStyle w:val="FootnoteText"/>
        <w:suppressAutoHyphens/>
        <w:spacing w:after="80"/>
        <w:ind w:left="0" w:firstLine="0"/>
        <w:jc w:val="left"/>
      </w:pPr>
      <w:r>
        <w:rPr>
          <w:rStyle w:val="FootnoteReference"/>
        </w:rPr>
        <w:footnoteRef/>
      </w:r>
      <w:r>
        <w:t xml:space="preserve"> Gerald F. Hess &amp; Steven I. Friedland, </w:t>
      </w:r>
      <w:r>
        <w:rPr>
          <w:i/>
          <w:iCs/>
        </w:rPr>
        <w:t>Techniques for Teaching Law in a Learner-Centered Manner</w:t>
      </w:r>
      <w:r>
        <w:t xml:space="preserve">, 37 </w:t>
      </w:r>
      <w:r>
        <w:rPr>
          <w:smallCaps/>
        </w:rPr>
        <w:t>Seattle University Law Review</w:t>
      </w:r>
      <w:r>
        <w:t xml:space="preserve"> 273, 322 (2014).</w:t>
      </w:r>
    </w:p>
  </w:footnote>
  <w:footnote w:id="16">
    <w:p w14:paraId="0CBC0BD6" w14:textId="77777777" w:rsidR="003A2AA0" w:rsidRDefault="00BF743F" w:rsidP="00F53BB1">
      <w:pPr>
        <w:pStyle w:val="FootnoteText"/>
        <w:suppressAutoHyphens/>
        <w:spacing w:after="80"/>
        <w:ind w:left="0" w:firstLine="0"/>
        <w:jc w:val="left"/>
      </w:pPr>
      <w:r>
        <w:rPr>
          <w:rStyle w:val="FootnoteReference"/>
        </w:rPr>
        <w:footnoteRef/>
      </w:r>
      <w:r>
        <w:t xml:space="preserve"> Hess, G. F. (2002). Heads and hearts: The teaching and learning environment in law school. Journal of Legal Education, 52(1/2), 75-111.</w:t>
      </w:r>
    </w:p>
  </w:footnote>
  <w:footnote w:id="17">
    <w:p w14:paraId="251EC126" w14:textId="77777777" w:rsidR="003A2AA0" w:rsidRDefault="00BF743F" w:rsidP="00F53BB1">
      <w:pPr>
        <w:pStyle w:val="FootnoteText"/>
        <w:suppressAutoHyphens/>
        <w:spacing w:after="80"/>
        <w:ind w:left="0" w:firstLine="0"/>
        <w:jc w:val="left"/>
      </w:pPr>
      <w:r>
        <w:rPr>
          <w:rStyle w:val="FootnoteReference"/>
        </w:rPr>
        <w:footnoteRef/>
      </w:r>
      <w:r>
        <w:t xml:space="preserve"> Yvonne M. Dutton, </w:t>
      </w:r>
      <w:r>
        <w:rPr>
          <w:i/>
          <w:iCs/>
        </w:rPr>
        <w:t>Commitment, Culture, and Context: An Empirical Study of Student Attrition in Online Legal Education</w:t>
      </w:r>
      <w:r>
        <w:t xml:space="preserve">, 67 </w:t>
      </w:r>
      <w:r>
        <w:rPr>
          <w:smallCaps/>
        </w:rPr>
        <w:t>Journal of Legal Education</w:t>
      </w:r>
      <w:r>
        <w:t xml:space="preserve"> 63, 108 (2016).</w:t>
      </w:r>
    </w:p>
  </w:footnote>
  <w:footnote w:id="18">
    <w:p w14:paraId="27E48F52" w14:textId="77777777" w:rsidR="003A2AA0" w:rsidRDefault="00BF743F" w:rsidP="00F53BB1">
      <w:pPr>
        <w:pStyle w:val="FootnoteText"/>
        <w:suppressAutoHyphens/>
        <w:spacing w:after="80"/>
        <w:ind w:left="0" w:firstLine="0"/>
        <w:jc w:val="left"/>
      </w:pPr>
      <w:r>
        <w:rPr>
          <w:rStyle w:val="FootnoteReference"/>
        </w:rPr>
        <w:footnoteRef/>
      </w:r>
      <w:r>
        <w:t xml:space="preserve"> Wang, L, </w:t>
      </w:r>
      <w:r>
        <w:rPr>
          <w:i/>
          <w:iCs/>
        </w:rPr>
        <w:t>Quality Assurance in Online Legal Education</w:t>
      </w:r>
      <w:r>
        <w:t>, 68 JOURNAL OF LEGAL EDUCATION 345, 378 (2018).</w:t>
      </w:r>
    </w:p>
  </w:footnote>
  <w:footnote w:id="19">
    <w:p w14:paraId="065AFF54" w14:textId="77777777" w:rsidR="003A2AA0" w:rsidRDefault="00BF743F" w:rsidP="00F53BB1">
      <w:pPr>
        <w:pStyle w:val="FootnoteText"/>
        <w:suppressAutoHyphens/>
        <w:spacing w:after="80"/>
        <w:ind w:left="0" w:firstLine="0"/>
        <w:jc w:val="left"/>
      </w:pPr>
      <w:r>
        <w:rPr>
          <w:rStyle w:val="FootnoteReference"/>
        </w:rPr>
        <w:footnoteRef/>
      </w:r>
      <w:r>
        <w:t xml:space="preserve"> Wang, L, </w:t>
      </w:r>
      <w:r>
        <w:rPr>
          <w:i/>
          <w:iCs/>
        </w:rPr>
        <w:t>The Transformation of Legal Education in the United States and China: Convergence and Divergence</w:t>
      </w:r>
      <w:r>
        <w:t>, 49 VANDERBILT JOURNAL OF TRANSNATIONAL LAW 1285, 1342 (2016).</w:t>
      </w:r>
    </w:p>
  </w:footnote>
  <w:footnote w:id="20">
    <w:p w14:paraId="6C01F861" w14:textId="77777777" w:rsidR="003A2AA0" w:rsidRDefault="00BF743F" w:rsidP="00F53BB1">
      <w:pPr>
        <w:pStyle w:val="FootnoteText"/>
        <w:suppressAutoHyphens/>
        <w:spacing w:after="80"/>
        <w:ind w:left="0" w:firstLine="0"/>
        <w:jc w:val="left"/>
      </w:pPr>
      <w:r>
        <w:rPr>
          <w:rStyle w:val="FootnoteReference"/>
        </w:rPr>
        <w:footnoteRef/>
      </w:r>
      <w:r>
        <w:t xml:space="preserve"> Malcolm S. Knowles, </w:t>
      </w:r>
      <w:r>
        <w:rPr>
          <w:smallCaps/>
        </w:rPr>
        <w:t>Andragogy in Action: Applying Modern Principles of Adult Learning</w:t>
      </w:r>
      <w:r>
        <w:t xml:space="preserve"> (Jossey-Bass 1984).</w:t>
      </w:r>
    </w:p>
  </w:footnote>
  <w:footnote w:id="21">
    <w:p w14:paraId="22A28A4A" w14:textId="77777777" w:rsidR="003A2AA0" w:rsidRDefault="00BF743F" w:rsidP="00F53BB1">
      <w:pPr>
        <w:pStyle w:val="FootnoteText"/>
        <w:suppressAutoHyphens/>
        <w:spacing w:after="80"/>
        <w:ind w:left="0" w:firstLine="0"/>
        <w:jc w:val="left"/>
      </w:pPr>
      <w:r>
        <w:rPr>
          <w:rStyle w:val="FootnoteReference"/>
        </w:rPr>
        <w:footnoteRef/>
      </w:r>
      <w:r>
        <w:t xml:space="preserve"> Tracey E. George, </w:t>
      </w:r>
      <w:r>
        <w:rPr>
          <w:i/>
          <w:iCs/>
        </w:rPr>
        <w:t>Accessibility in Legal Education: The Need for Disability-Related Training in Law Schools</w:t>
      </w:r>
      <w:r>
        <w:t xml:space="preserve">, 69 </w:t>
      </w:r>
      <w:r>
        <w:rPr>
          <w:smallCaps/>
        </w:rPr>
        <w:t>University of Pittsburgh Law Review</w:t>
      </w:r>
      <w:r>
        <w:t xml:space="preserve"> 509, 542 (2008).</w:t>
      </w:r>
    </w:p>
  </w:footnote>
  <w:footnote w:id="22">
    <w:p w14:paraId="50A005AF" w14:textId="77777777" w:rsidR="003A2AA0" w:rsidRDefault="00BF743F" w:rsidP="00F53BB1">
      <w:pPr>
        <w:pStyle w:val="FootnoteText"/>
        <w:suppressAutoHyphens/>
        <w:spacing w:after="80"/>
        <w:ind w:left="0" w:firstLine="0"/>
        <w:jc w:val="left"/>
      </w:pPr>
      <w:r>
        <w:rPr>
          <w:rStyle w:val="FootnoteReference"/>
        </w:rPr>
        <w:footnoteRef/>
      </w:r>
      <w:r>
        <w:t xml:space="preserve"> Ruth Colker, </w:t>
      </w:r>
      <w:r>
        <w:rPr>
          <w:i/>
          <w:iCs/>
        </w:rPr>
        <w:t>The Disability Integration Presumption: Thirty Years Later</w:t>
      </w:r>
      <w:r>
        <w:t xml:space="preserve">, 154 </w:t>
      </w:r>
      <w:r>
        <w:rPr>
          <w:smallCaps/>
        </w:rPr>
        <w:t>University of Pennsylvania Law Review</w:t>
      </w:r>
      <w:r>
        <w:t xml:space="preserve"> 789, 862 (2006).</w:t>
      </w:r>
    </w:p>
  </w:footnote>
  <w:footnote w:id="23">
    <w:p w14:paraId="2606EB62" w14:textId="77777777" w:rsidR="003A2AA0" w:rsidRDefault="00BF743F" w:rsidP="00F53BB1">
      <w:pPr>
        <w:pStyle w:val="FootnoteText"/>
        <w:suppressAutoHyphens/>
        <w:spacing w:after="80"/>
        <w:ind w:left="0" w:firstLine="0"/>
        <w:jc w:val="left"/>
      </w:pPr>
      <w:r>
        <w:rPr>
          <w:rStyle w:val="FootnoteReference"/>
        </w:rPr>
        <w:footnoteRef/>
      </w:r>
      <w:r>
        <w:t xml:space="preserve"> Lisa Flanagan, </w:t>
      </w:r>
      <w:r>
        <w:rPr>
          <w:i/>
          <w:iCs/>
        </w:rPr>
        <w:t>Reaching All Learners: Applying Universal Design to Legal Education</w:t>
      </w:r>
      <w:r>
        <w:t xml:space="preserve">, 64 </w:t>
      </w:r>
      <w:r>
        <w:rPr>
          <w:smallCaps/>
        </w:rPr>
        <w:t>Journal of Legal Education</w:t>
      </w:r>
      <w:r>
        <w:t xml:space="preserve"> 627, 645 (2015).</w:t>
      </w:r>
    </w:p>
  </w:footnote>
  <w:footnote w:id="24">
    <w:p w14:paraId="7280DC26" w14:textId="77777777" w:rsidR="003A2AA0" w:rsidRDefault="00BF743F" w:rsidP="00F53BB1">
      <w:pPr>
        <w:pStyle w:val="FootnoteText"/>
        <w:suppressAutoHyphens/>
        <w:spacing w:after="80"/>
        <w:ind w:left="0" w:firstLine="0"/>
        <w:jc w:val="left"/>
      </w:pPr>
      <w:r>
        <w:rPr>
          <w:rStyle w:val="FootnoteReference"/>
        </w:rPr>
        <w:footnoteRef/>
      </w:r>
      <w:r>
        <w:t xml:space="preserve"> Tracey E. George, </w:t>
      </w:r>
      <w:r>
        <w:rPr>
          <w:i/>
          <w:iCs/>
        </w:rPr>
        <w:t>Accessibility in Legal Education: The Need for Disability-Related Training in Law Schools</w:t>
      </w:r>
      <w:r>
        <w:t xml:space="preserve">, 69 </w:t>
      </w:r>
      <w:r>
        <w:rPr>
          <w:smallCaps/>
        </w:rPr>
        <w:t>University of Pittsburgh Law Review</w:t>
      </w:r>
      <w:r>
        <w:t xml:space="preserve"> 509, 542 (2008).</w:t>
      </w:r>
    </w:p>
  </w:footnote>
  <w:footnote w:id="25">
    <w:p w14:paraId="548A9DEE" w14:textId="77777777" w:rsidR="003A2AA0" w:rsidRDefault="00BF743F" w:rsidP="00F53BB1">
      <w:pPr>
        <w:pStyle w:val="FootnoteText"/>
        <w:suppressAutoHyphens/>
        <w:spacing w:after="80"/>
        <w:ind w:left="0" w:firstLine="0"/>
        <w:jc w:val="left"/>
      </w:pPr>
      <w:r>
        <w:rPr>
          <w:rStyle w:val="FootnoteReference"/>
        </w:rPr>
        <w:footnoteRef/>
      </w:r>
      <w:r>
        <w:t xml:space="preserve"> Ruth Colker, </w:t>
      </w:r>
      <w:r>
        <w:rPr>
          <w:i/>
          <w:iCs/>
        </w:rPr>
        <w:t>The Disability Integration Presumption: Thirty Years Later</w:t>
      </w:r>
      <w:r>
        <w:t xml:space="preserve">, 154 </w:t>
      </w:r>
      <w:r>
        <w:rPr>
          <w:smallCaps/>
        </w:rPr>
        <w:t>University of Pennsylvania Law Review</w:t>
      </w:r>
      <w:r>
        <w:t xml:space="preserve"> 789, 862 (2006).</w:t>
      </w:r>
    </w:p>
  </w:footnote>
  <w:footnote w:id="26">
    <w:p w14:paraId="64D9A487" w14:textId="77777777" w:rsidR="003A2AA0" w:rsidRDefault="00BF743F" w:rsidP="00F53BB1">
      <w:pPr>
        <w:pStyle w:val="FootnoteText"/>
        <w:suppressAutoHyphens/>
        <w:spacing w:after="80"/>
        <w:ind w:left="0" w:firstLine="0"/>
        <w:jc w:val="left"/>
      </w:pPr>
      <w:r>
        <w:rPr>
          <w:rStyle w:val="FootnoteReference"/>
        </w:rPr>
        <w:footnoteRef/>
      </w:r>
      <w:r>
        <w:t xml:space="preserve"> Ruth Colker, </w:t>
      </w:r>
      <w:r>
        <w:rPr>
          <w:i/>
          <w:iCs/>
        </w:rPr>
        <w:t>Winning and Losing Under the Americans with Disabilities Act</w:t>
      </w:r>
      <w:r>
        <w:t xml:space="preserve">, 62 </w:t>
      </w:r>
      <w:r>
        <w:rPr>
          <w:smallCaps/>
        </w:rPr>
        <w:t>Ohio State Law Journal</w:t>
      </w:r>
      <w:r>
        <w:t xml:space="preserve"> 239, 284 (2011).</w:t>
      </w:r>
    </w:p>
  </w:footnote>
  <w:footnote w:id="27">
    <w:p w14:paraId="0C89AC8F" w14:textId="77777777" w:rsidR="003A2AA0" w:rsidRDefault="00BF743F" w:rsidP="00F53BB1">
      <w:pPr>
        <w:pStyle w:val="FootnoteText"/>
        <w:suppressAutoHyphens/>
        <w:spacing w:after="80"/>
        <w:ind w:left="0" w:firstLine="0"/>
        <w:jc w:val="left"/>
      </w:pPr>
      <w:r>
        <w:rPr>
          <w:rStyle w:val="FootnoteReference"/>
        </w:rPr>
        <w:footnoteRef/>
      </w:r>
      <w:r>
        <w:t xml:space="preserve"> Jennifer Jolly-Ryan, </w:t>
      </w:r>
      <w:r>
        <w:rPr>
          <w:i/>
          <w:iCs/>
        </w:rPr>
        <w:t>Disabilities to Exceptional Abilities: Law Students with Disabilities, Nontraditional Learners, and the Law Teacher as a Learner</w:t>
      </w:r>
      <w:r>
        <w:t xml:space="preserve">, 6 </w:t>
      </w:r>
      <w:r>
        <w:rPr>
          <w:smallCaps/>
        </w:rPr>
        <w:t>Nevada Law Journal</w:t>
      </w:r>
      <w:r>
        <w:t xml:space="preserve"> 116, 147 (2005).</w:t>
      </w:r>
    </w:p>
  </w:footnote>
  <w:footnote w:id="28">
    <w:p w14:paraId="18AD9170" w14:textId="77777777" w:rsidR="003A2AA0" w:rsidRDefault="00BF743F" w:rsidP="00F53BB1">
      <w:pPr>
        <w:pStyle w:val="FootnoteText"/>
        <w:suppressAutoHyphens/>
        <w:spacing w:after="80"/>
        <w:ind w:left="0" w:firstLine="0"/>
        <w:jc w:val="left"/>
      </w:pPr>
      <w:r>
        <w:rPr>
          <w:rStyle w:val="FootnoteReference"/>
        </w:rPr>
        <w:footnoteRef/>
      </w:r>
      <w:r>
        <w:t xml:space="preserve"> Michael Smith, </w:t>
      </w:r>
      <w:r>
        <w:rPr>
          <w:i/>
          <w:iCs/>
        </w:rPr>
        <w:t>Disabilities, Law Schools, and Law Students: A Proactive and Holistic Approach</w:t>
      </w:r>
      <w:r>
        <w:t xml:space="preserve">, 32 </w:t>
      </w:r>
      <w:r>
        <w:rPr>
          <w:smallCaps/>
        </w:rPr>
        <w:t>Akron Law Review</w:t>
      </w:r>
      <w:r>
        <w:t xml:space="preserve"> 857, 892 (1999).</w:t>
      </w:r>
    </w:p>
  </w:footnote>
  <w:footnote w:id="29">
    <w:p w14:paraId="55B144F6" w14:textId="77777777" w:rsidR="003A2AA0" w:rsidRDefault="00BF743F" w:rsidP="00F53BB1">
      <w:pPr>
        <w:pStyle w:val="FootnoteText"/>
        <w:suppressAutoHyphens/>
        <w:spacing w:after="80"/>
        <w:ind w:left="0" w:firstLine="0"/>
        <w:jc w:val="left"/>
      </w:pPr>
      <w:r>
        <w:rPr>
          <w:rStyle w:val="FootnoteReference"/>
        </w:rPr>
        <w:footnoteRef/>
      </w:r>
      <w:r>
        <w:t xml:space="preserve"> Layne Anderson &amp; Lisa Bowers, </w:t>
      </w:r>
      <w:r>
        <w:rPr>
          <w:i/>
          <w:iCs/>
        </w:rPr>
        <w:t>Beyond the ADA: How Clinics Can Assist Law Students with ‘Non-Visible’ Disabilities to Bridge the Accommodations Gap Between Classroom and Practice</w:t>
      </w:r>
      <w:r>
        <w:t xml:space="preserve">, 15 </w:t>
      </w:r>
      <w:r>
        <w:rPr>
          <w:smallCaps/>
        </w:rPr>
        <w:t>Clinical Law Review</w:t>
      </w:r>
      <w:r>
        <w:t xml:space="preserve"> 1, 42 (2008).</w:t>
      </w:r>
    </w:p>
  </w:footnote>
  <w:footnote w:id="30">
    <w:p w14:paraId="0CAF71F4" w14:textId="77777777" w:rsidR="003A2AA0" w:rsidRDefault="00BF743F" w:rsidP="00F53BB1">
      <w:pPr>
        <w:pStyle w:val="FootnoteText"/>
        <w:suppressAutoHyphens/>
        <w:spacing w:after="80"/>
        <w:ind w:left="0" w:firstLine="0"/>
        <w:jc w:val="left"/>
      </w:pPr>
      <w:r>
        <w:rPr>
          <w:rStyle w:val="FootnoteReference"/>
        </w:rPr>
        <w:footnoteRef/>
      </w:r>
      <w:r>
        <w:t xml:space="preserve"> Bryan A. Garner, </w:t>
      </w:r>
      <w:r>
        <w:rPr>
          <w:i/>
          <w:iCs/>
        </w:rPr>
        <w:t>The Socratic Method</w:t>
      </w:r>
      <w:r>
        <w:t xml:space="preserve">, 79 </w:t>
      </w:r>
      <w:r>
        <w:rPr>
          <w:smallCaps/>
        </w:rPr>
        <w:t>Texas Law Review</w:t>
      </w:r>
      <w:r>
        <w:t xml:space="preserve"> 1177, 1182 (2001).</w:t>
      </w:r>
    </w:p>
  </w:footnote>
  <w:footnote w:id="31">
    <w:p w14:paraId="41B35649" w14:textId="77777777" w:rsidR="003A2AA0" w:rsidRDefault="00BF743F" w:rsidP="00F53BB1">
      <w:pPr>
        <w:pStyle w:val="FootnoteText"/>
        <w:suppressAutoHyphens/>
        <w:spacing w:after="80"/>
        <w:ind w:left="0" w:firstLine="0"/>
        <w:jc w:val="left"/>
      </w:pPr>
      <w:r>
        <w:rPr>
          <w:rStyle w:val="FootnoteReference"/>
        </w:rPr>
        <w:footnoteRef/>
      </w:r>
      <w:r>
        <w:t xml:space="preserve"> Jay M. Feinman &amp; Marc Feldman, </w:t>
      </w:r>
      <w:r>
        <w:rPr>
          <w:i/>
          <w:iCs/>
        </w:rPr>
        <w:t>Pedagogy and Politics</w:t>
      </w:r>
      <w:r>
        <w:t>, 73 GEORGETOWN LAW JOURNAL 875, 916 (1985).</w:t>
      </w:r>
    </w:p>
  </w:footnote>
  <w:footnote w:id="32">
    <w:p w14:paraId="180214A6" w14:textId="77777777" w:rsidR="003A2AA0" w:rsidRDefault="00BF743F" w:rsidP="00F53BB1">
      <w:pPr>
        <w:pStyle w:val="FootnoteText"/>
        <w:suppressAutoHyphens/>
        <w:spacing w:after="80"/>
        <w:ind w:left="0" w:firstLine="0"/>
        <w:jc w:val="left"/>
      </w:pPr>
      <w:r>
        <w:rPr>
          <w:rStyle w:val="FootnoteReference"/>
        </w:rPr>
        <w:footnoteRef/>
      </w:r>
      <w:r>
        <w:t xml:space="preserve"> Kathryn Abrams, </w:t>
      </w:r>
      <w:r>
        <w:rPr>
          <w:i/>
          <w:iCs/>
        </w:rPr>
        <w:t>Barriers and Boundaries: Exploring Emotion in the Law School Classroom</w:t>
      </w:r>
      <w:r>
        <w:t xml:space="preserve">, 64 </w:t>
      </w:r>
      <w:r>
        <w:rPr>
          <w:smallCaps/>
        </w:rPr>
        <w:t>Journal of Legal Education</w:t>
      </w:r>
      <w:r>
        <w:t xml:space="preserve"> 401, 426 (2015).</w:t>
      </w:r>
    </w:p>
  </w:footnote>
  <w:footnote w:id="33">
    <w:p w14:paraId="22DEEDE3" w14:textId="77777777" w:rsidR="003A2AA0" w:rsidRDefault="00BF743F" w:rsidP="00F53BB1">
      <w:pPr>
        <w:pStyle w:val="FootnoteText"/>
        <w:suppressAutoHyphens/>
        <w:spacing w:after="80"/>
        <w:ind w:left="0" w:firstLine="0"/>
        <w:jc w:val="left"/>
      </w:pPr>
      <w:r>
        <w:rPr>
          <w:rStyle w:val="FootnoteReference"/>
        </w:rPr>
        <w:footnoteRef/>
      </w:r>
      <w:r>
        <w:t xml:space="preserve"> Kristin Madison, </w:t>
      </w:r>
      <w:r>
        <w:rPr>
          <w:i/>
          <w:iCs/>
        </w:rPr>
        <w:t>The Elephant in the Room: Socratic Method and the Marginalization of Women in Law School Classrooms</w:t>
      </w:r>
      <w:r>
        <w:t xml:space="preserve">, 17 SOUTHERN CALIFORNIA REVIEW OF </w:t>
      </w:r>
      <w:r>
        <w:rPr>
          <w:smallCaps/>
        </w:rPr>
        <w:t>Law and Women</w:t>
      </w:r>
      <w:r>
        <w:t>’S STUDIES 293, 326 (2008).</w:t>
      </w:r>
    </w:p>
  </w:footnote>
  <w:footnote w:id="34">
    <w:p w14:paraId="5D58DF2D" w14:textId="77777777" w:rsidR="003A2AA0" w:rsidRDefault="00BF743F" w:rsidP="00F53BB1">
      <w:pPr>
        <w:pStyle w:val="FootnoteText"/>
        <w:suppressAutoHyphens/>
        <w:spacing w:after="80"/>
        <w:ind w:left="0" w:firstLine="0"/>
        <w:jc w:val="left"/>
      </w:pPr>
      <w:r>
        <w:rPr>
          <w:rStyle w:val="FootnoteReference"/>
        </w:rPr>
        <w:footnoteRef/>
      </w:r>
      <w:r>
        <w:t xml:space="preserve"> Carol Silver, </w:t>
      </w:r>
      <w:r>
        <w:rPr>
          <w:i/>
          <w:iCs/>
        </w:rPr>
        <w:t>The Case Method in American Legal Education: An Empirical Study</w:t>
      </w:r>
      <w:r>
        <w:t xml:space="preserve">, 53 </w:t>
      </w:r>
      <w:r>
        <w:rPr>
          <w:smallCaps/>
        </w:rPr>
        <w:t>Journal of Legal Education</w:t>
      </w:r>
      <w:r>
        <w:t xml:space="preserve"> 344, 368 (2003).</w:t>
      </w:r>
    </w:p>
  </w:footnote>
  <w:footnote w:id="35">
    <w:p w14:paraId="3576A6A7" w14:textId="77777777" w:rsidR="003A2AA0" w:rsidRDefault="00BF743F" w:rsidP="00F53BB1">
      <w:pPr>
        <w:pStyle w:val="FootnoteText"/>
        <w:suppressAutoHyphens/>
        <w:spacing w:after="80"/>
        <w:ind w:left="0" w:firstLine="0"/>
        <w:jc w:val="left"/>
      </w:pPr>
      <w:r>
        <w:rPr>
          <w:rStyle w:val="FootnoteReference"/>
        </w:rPr>
        <w:footnoteRef/>
      </w:r>
      <w:r>
        <w:t xml:space="preserve"> Abrams, K, </w:t>
      </w:r>
      <w:r>
        <w:rPr>
          <w:i/>
          <w:iCs/>
        </w:rPr>
        <w:t>Barriers and Boundaries: Exploring Emotion in the Law School Classroom</w:t>
      </w:r>
      <w:r>
        <w:t xml:space="preserve">, 64 </w:t>
      </w:r>
      <w:r>
        <w:rPr>
          <w:smallCaps/>
        </w:rPr>
        <w:t>Journal of Legal Education</w:t>
      </w:r>
      <w:r>
        <w:t xml:space="preserve"> 401, 426 (2015).</w:t>
      </w:r>
    </w:p>
  </w:footnote>
  <w:footnote w:id="36">
    <w:p w14:paraId="23E41E53" w14:textId="77777777" w:rsidR="003A2AA0" w:rsidRDefault="00BF743F" w:rsidP="00F53BB1">
      <w:pPr>
        <w:pStyle w:val="FootnoteText"/>
        <w:suppressAutoHyphens/>
        <w:spacing w:after="80"/>
        <w:ind w:left="0" w:firstLine="0"/>
        <w:jc w:val="left"/>
      </w:pPr>
      <w:r>
        <w:rPr>
          <w:rStyle w:val="FootnoteReference"/>
        </w:rPr>
        <w:footnoteRef/>
      </w:r>
      <w:r>
        <w:t xml:space="preserve"> Abrams, K, </w:t>
      </w:r>
      <w:r>
        <w:rPr>
          <w:i/>
          <w:iCs/>
        </w:rPr>
        <w:t>Barriers and Boundaries: Exploring Emotion in the Law School Classroom</w:t>
      </w:r>
      <w:r>
        <w:t xml:space="preserve">, 64 </w:t>
      </w:r>
      <w:r>
        <w:rPr>
          <w:smallCaps/>
        </w:rPr>
        <w:t>Journal of Legal Education</w:t>
      </w:r>
      <w:r>
        <w:t xml:space="preserve"> 401, 426 (2015).</w:t>
      </w:r>
    </w:p>
  </w:footnote>
  <w:footnote w:id="37">
    <w:p w14:paraId="016C1ED6" w14:textId="77777777" w:rsidR="003A2AA0" w:rsidRDefault="00BF743F" w:rsidP="00F53BB1">
      <w:pPr>
        <w:pStyle w:val="FootnoteText"/>
        <w:suppressAutoHyphens/>
        <w:spacing w:after="80"/>
        <w:ind w:left="0" w:firstLine="0"/>
        <w:jc w:val="left"/>
      </w:pPr>
      <w:r>
        <w:rPr>
          <w:rStyle w:val="FootnoteReference"/>
        </w:rPr>
        <w:footnoteRef/>
      </w:r>
      <w:r>
        <w:t xml:space="preserve"> Madison, K, </w:t>
      </w:r>
      <w:r>
        <w:rPr>
          <w:i/>
          <w:iCs/>
        </w:rPr>
        <w:t>The Elephant in the Room: Socratic Method and the Marginalization of Women in Law School Classrooms</w:t>
      </w:r>
      <w:r>
        <w:t xml:space="preserve">, 17 SOUTHERN CALIFORNIA REVIEW OF </w:t>
      </w:r>
      <w:r>
        <w:rPr>
          <w:smallCaps/>
        </w:rPr>
        <w:t>Law and Women</w:t>
      </w:r>
      <w:r>
        <w:t>’S STUDIES 293, 326 (2008).</w:t>
      </w:r>
    </w:p>
  </w:footnote>
  <w:footnote w:id="38">
    <w:p w14:paraId="2BE7B290" w14:textId="77777777" w:rsidR="003A2AA0" w:rsidRDefault="00BF743F" w:rsidP="00F53BB1">
      <w:pPr>
        <w:pStyle w:val="FootnoteText"/>
        <w:suppressAutoHyphens/>
        <w:spacing w:after="80"/>
        <w:ind w:left="0" w:firstLine="0"/>
        <w:jc w:val="left"/>
      </w:pPr>
      <w:r>
        <w:rPr>
          <w:rStyle w:val="FootnoteReference"/>
        </w:rPr>
        <w:footnoteRef/>
      </w:r>
      <w:r>
        <w:t xml:space="preserve"> Madison, K, </w:t>
      </w:r>
      <w:r>
        <w:rPr>
          <w:i/>
          <w:iCs/>
        </w:rPr>
        <w:t>The Elephant in the Room: Socratic Method and the Marginalization of Women in Law School Classrooms</w:t>
      </w:r>
      <w:r>
        <w:t xml:space="preserve">, 17 SOUTHERN CALIFORNIA REVIEW OF </w:t>
      </w:r>
      <w:r>
        <w:rPr>
          <w:smallCaps/>
        </w:rPr>
        <w:t>Law and Women</w:t>
      </w:r>
      <w:r>
        <w:t>’S STUDIES 293, 326 (2008).</w:t>
      </w:r>
    </w:p>
  </w:footnote>
  <w:footnote w:id="39">
    <w:p w14:paraId="72BA0857" w14:textId="77777777" w:rsidR="003A2AA0" w:rsidRDefault="00BF743F" w:rsidP="00F53BB1">
      <w:pPr>
        <w:pStyle w:val="FootnoteText"/>
        <w:suppressAutoHyphens/>
        <w:spacing w:after="80"/>
        <w:ind w:left="0" w:firstLine="0"/>
        <w:jc w:val="left"/>
      </w:pPr>
      <w:r>
        <w:rPr>
          <w:rStyle w:val="FootnoteReference"/>
        </w:rPr>
        <w:footnoteRef/>
      </w:r>
      <w:r>
        <w:t xml:space="preserve"> Madison, K, </w:t>
      </w:r>
      <w:r>
        <w:rPr>
          <w:i/>
          <w:iCs/>
        </w:rPr>
        <w:t>The Elephant in the Room: Socratic Method and the Marginalization of Women in Law School Classrooms</w:t>
      </w:r>
      <w:r>
        <w:t xml:space="preserve">, 17 SOUTHERN CALIFORNIA REVIEW OF </w:t>
      </w:r>
      <w:r>
        <w:rPr>
          <w:smallCaps/>
        </w:rPr>
        <w:t>Law and Women</w:t>
      </w:r>
      <w:r>
        <w:t>’S STUDIES 293, 326 (2008).</w:t>
      </w:r>
    </w:p>
  </w:footnote>
  <w:footnote w:id="40">
    <w:p w14:paraId="65DEE8A1" w14:textId="77777777" w:rsidR="003A2AA0" w:rsidRDefault="00BF743F" w:rsidP="00F53BB1">
      <w:pPr>
        <w:pStyle w:val="FootnoteText"/>
        <w:suppressAutoHyphens/>
        <w:spacing w:after="80"/>
        <w:ind w:left="0" w:firstLine="0"/>
        <w:jc w:val="left"/>
      </w:pPr>
      <w:r>
        <w:rPr>
          <w:rStyle w:val="FootnoteReference"/>
        </w:rPr>
        <w:footnoteRef/>
      </w:r>
      <w:r>
        <w:t xml:space="preserve"> Silver, C, </w:t>
      </w:r>
      <w:r>
        <w:rPr>
          <w:i/>
          <w:iCs/>
        </w:rPr>
        <w:t>The Case Method in American Legal Education: An Empirical Study</w:t>
      </w:r>
      <w:r>
        <w:t xml:space="preserve">, 53 </w:t>
      </w:r>
      <w:r>
        <w:rPr>
          <w:smallCaps/>
        </w:rPr>
        <w:t>Journal of Legal Education</w:t>
      </w:r>
      <w:r>
        <w:t xml:space="preserve"> 344, 368 (2003).</w:t>
      </w:r>
    </w:p>
  </w:footnote>
  <w:footnote w:id="41">
    <w:p w14:paraId="338F43AD" w14:textId="77777777" w:rsidR="003A2AA0" w:rsidRDefault="00BF743F" w:rsidP="00F53BB1">
      <w:pPr>
        <w:pStyle w:val="FootnoteText"/>
        <w:suppressAutoHyphens/>
        <w:spacing w:after="80"/>
        <w:ind w:left="0" w:firstLine="0"/>
        <w:jc w:val="left"/>
      </w:pPr>
      <w:r>
        <w:rPr>
          <w:rStyle w:val="FootnoteReference"/>
        </w:rPr>
        <w:footnoteRef/>
      </w:r>
      <w:r>
        <w:t xml:space="preserve"> Silver, C, </w:t>
      </w:r>
      <w:r>
        <w:rPr>
          <w:i/>
          <w:iCs/>
        </w:rPr>
        <w:t>The Case Method in American Legal Education: An Empirical Study</w:t>
      </w:r>
      <w:r>
        <w:t xml:space="preserve">, 53 </w:t>
      </w:r>
      <w:r>
        <w:rPr>
          <w:smallCaps/>
        </w:rPr>
        <w:t>Journal of Legal Education</w:t>
      </w:r>
      <w:r>
        <w:t xml:space="preserve"> 344, 368 (2003).</w:t>
      </w:r>
    </w:p>
  </w:footnote>
  <w:footnote w:id="42">
    <w:p w14:paraId="1A241FDD" w14:textId="77777777" w:rsidR="003A2AA0" w:rsidRDefault="00BF743F" w:rsidP="00F53BB1">
      <w:pPr>
        <w:pStyle w:val="FootnoteText"/>
        <w:suppressAutoHyphens/>
        <w:spacing w:after="80"/>
        <w:ind w:left="0" w:firstLine="0"/>
        <w:jc w:val="left"/>
      </w:pPr>
      <w:r>
        <w:rPr>
          <w:rStyle w:val="FootnoteReference"/>
        </w:rPr>
        <w:footnoteRef/>
      </w:r>
      <w:r>
        <w:t xml:space="preserve"> Silver, C, </w:t>
      </w:r>
      <w:r>
        <w:rPr>
          <w:i/>
          <w:iCs/>
        </w:rPr>
        <w:t>The Case Method in American Legal Education: An Empirical Study</w:t>
      </w:r>
      <w:r>
        <w:t xml:space="preserve">, 53 </w:t>
      </w:r>
      <w:r>
        <w:rPr>
          <w:smallCaps/>
        </w:rPr>
        <w:t>Journal of Legal Education</w:t>
      </w:r>
      <w:r>
        <w:t xml:space="preserve"> 344, 368 (2003).</w:t>
      </w:r>
    </w:p>
  </w:footnote>
  <w:footnote w:id="43">
    <w:p w14:paraId="76E716DB" w14:textId="77777777" w:rsidR="003A2AA0" w:rsidRDefault="00BF743F" w:rsidP="00F53BB1">
      <w:pPr>
        <w:pStyle w:val="FootnoteText"/>
        <w:suppressAutoHyphens/>
        <w:spacing w:after="80"/>
        <w:ind w:left="0" w:firstLine="0"/>
        <w:jc w:val="left"/>
      </w:pPr>
      <w:r>
        <w:rPr>
          <w:rStyle w:val="FootnoteReference"/>
        </w:rPr>
        <w:footnoteRef/>
      </w:r>
      <w:r>
        <w:t xml:space="preserve"> Bjork, R. A., &amp; Bjork, E. L. (1992). A new theory of disuse and an old theory of stimulus fluctuation. In A. Healy, S. Kosslyn, &amp; R. Shiffrin (Eds.), From learning processes to cognitive processes: Essays in honor of William K. Estes (Vol. 2, pp. 35-67). Erlbaum.</w:t>
      </w:r>
    </w:p>
  </w:footnote>
  <w:footnote w:id="44">
    <w:p w14:paraId="1A64CAE5" w14:textId="77777777" w:rsidR="003A2AA0" w:rsidRDefault="00BF743F" w:rsidP="00F53BB1">
      <w:pPr>
        <w:pStyle w:val="FootnoteText"/>
        <w:suppressAutoHyphens/>
        <w:spacing w:after="80"/>
        <w:ind w:left="0" w:firstLine="0"/>
        <w:jc w:val="left"/>
      </w:pPr>
      <w:r>
        <w:rPr>
          <w:rStyle w:val="FootnoteReference"/>
        </w:rPr>
        <w:footnoteRef/>
      </w:r>
      <w:r>
        <w:t xml:space="preserve"> Elizabeth L. Bjork &amp; Robert A. Bjork, Making things hard on yourself, but in a good way: Creating desirable difficulties to enhance learning, in Psychology and the Real World: Essays Illustrating Fundamental Contributions to Society 56, 64 (Worth Publishers 2011).</w:t>
      </w:r>
    </w:p>
  </w:footnote>
  <w:footnote w:id="45">
    <w:p w14:paraId="27C865EB" w14:textId="77777777" w:rsidR="003A2AA0" w:rsidRDefault="00BF743F" w:rsidP="00F53BB1">
      <w:pPr>
        <w:pStyle w:val="FootnoteText"/>
        <w:suppressAutoHyphens/>
        <w:spacing w:after="80"/>
        <w:ind w:left="0" w:firstLine="0"/>
        <w:jc w:val="left"/>
      </w:pPr>
      <w:r>
        <w:rPr>
          <w:rStyle w:val="FootnoteReference"/>
        </w:rPr>
        <w:footnoteRef/>
      </w:r>
      <w:r>
        <w:t xml:space="preserve"> Nate Kornell &amp; Robert A. Bjork, (2008). Learning concepts and categories: Is spacing the “enemy of induction”? Psychological Science, 19(6), 585-592.</w:t>
      </w:r>
    </w:p>
  </w:footnote>
  <w:footnote w:id="46">
    <w:p w14:paraId="4DFAC116" w14:textId="77777777" w:rsidR="003A2AA0" w:rsidRDefault="00BF743F" w:rsidP="00F53BB1">
      <w:pPr>
        <w:pStyle w:val="FootnoteText"/>
        <w:suppressAutoHyphens/>
        <w:spacing w:after="80"/>
        <w:ind w:left="0" w:firstLine="0"/>
        <w:jc w:val="left"/>
      </w:pPr>
      <w:r>
        <w:rPr>
          <w:rStyle w:val="FootnoteReference"/>
        </w:rPr>
        <w:footnoteRef/>
      </w:r>
      <w:r>
        <w:t xml:space="preserve"> Bjork, R. A., &amp; Bjork, E. L. (1992). A new theory of disuse and an old theory of stimulus fluctuation. In A. Healy, S. Kosslyn, &amp; R. Shiffrin (Eds.), From learning processes to cognitive processes: Essays in honor of William K. Estes (Vol. 2, pp. 35-67). Erlbaum.</w:t>
      </w:r>
    </w:p>
  </w:footnote>
  <w:footnote w:id="47">
    <w:p w14:paraId="27CE453B" w14:textId="77777777" w:rsidR="003A2AA0" w:rsidRDefault="00BF743F" w:rsidP="00F53BB1">
      <w:pPr>
        <w:pStyle w:val="FootnoteText"/>
        <w:suppressAutoHyphens/>
        <w:spacing w:after="80"/>
        <w:ind w:left="0" w:firstLine="0"/>
        <w:jc w:val="left"/>
      </w:pPr>
      <w:r>
        <w:rPr>
          <w:rStyle w:val="FootnoteReference"/>
        </w:rPr>
        <w:footnoteRef/>
      </w:r>
      <w:r>
        <w:t xml:space="preserve"> Bjork, E. L. &amp; Bjork, R. A, Making things hard on yourself, but in a good way: Creating desirable difficulties to enhance learning, in Psychology and the Real World: Essays Illustrating Fundamental Contributions to Society 56, 64 (Worth Publishers 2011).</w:t>
      </w:r>
    </w:p>
  </w:footnote>
  <w:footnote w:id="48">
    <w:p w14:paraId="2F42B2EA" w14:textId="77777777" w:rsidR="003A2AA0" w:rsidRDefault="00BF743F" w:rsidP="00F53BB1">
      <w:pPr>
        <w:pStyle w:val="FootnoteText"/>
        <w:suppressAutoHyphens/>
        <w:spacing w:after="80"/>
        <w:ind w:left="0" w:firstLine="0"/>
        <w:jc w:val="left"/>
      </w:pPr>
      <w:r>
        <w:rPr>
          <w:rStyle w:val="FootnoteReference"/>
        </w:rPr>
        <w:footnoteRef/>
      </w:r>
      <w:r>
        <w:t xml:space="preserve"> Margaret A. Schulze, </w:t>
      </w:r>
      <w:r>
        <w:rPr>
          <w:i/>
          <w:iCs/>
        </w:rPr>
        <w:t>Desirable Difficulties in Legal Education</w:t>
      </w:r>
      <w:r>
        <w:t xml:space="preserve">, 69 </w:t>
      </w:r>
      <w:r>
        <w:rPr>
          <w:smallCaps/>
        </w:rPr>
        <w:t>Journal of Legal Education</w:t>
      </w:r>
      <w:r>
        <w:t xml:space="preserve"> 495, 528 (2020).</w:t>
      </w:r>
    </w:p>
  </w:footnote>
  <w:footnote w:id="49">
    <w:p w14:paraId="2CD6839D" w14:textId="77777777" w:rsidR="003A2AA0" w:rsidRDefault="00BF743F" w:rsidP="00F53BB1">
      <w:pPr>
        <w:pStyle w:val="FootnoteText"/>
        <w:suppressAutoHyphens/>
        <w:spacing w:after="80"/>
        <w:ind w:left="0" w:firstLine="0"/>
        <w:jc w:val="left"/>
      </w:pPr>
      <w:r>
        <w:rPr>
          <w:rStyle w:val="FootnoteReference"/>
        </w:rPr>
        <w:footnoteRef/>
      </w:r>
      <w:r>
        <w:t xml:space="preserve"> Margaret A. Schulze, </w:t>
      </w:r>
      <w:r>
        <w:rPr>
          <w:i/>
          <w:iCs/>
        </w:rPr>
        <w:t>Desirable Difficulties in Legal Education</w:t>
      </w:r>
      <w:r>
        <w:t xml:space="preserve">, 69 </w:t>
      </w:r>
      <w:r>
        <w:rPr>
          <w:smallCaps/>
        </w:rPr>
        <w:t>Journal of Legal Education</w:t>
      </w:r>
      <w:r>
        <w:t xml:space="preserve"> 495, 528 (2020).</w:t>
      </w:r>
    </w:p>
  </w:footnote>
  <w:footnote w:id="50">
    <w:p w14:paraId="3C83F840" w14:textId="77777777" w:rsidR="003A2AA0" w:rsidRDefault="00BF743F" w:rsidP="00F53BB1">
      <w:pPr>
        <w:pStyle w:val="FootnoteText"/>
        <w:suppressAutoHyphens/>
        <w:spacing w:after="80"/>
        <w:ind w:left="0" w:firstLine="0"/>
        <w:jc w:val="left"/>
      </w:pPr>
      <w:r>
        <w:rPr>
          <w:rStyle w:val="FootnoteReference"/>
        </w:rPr>
        <w:footnoteRef/>
      </w:r>
      <w:r>
        <w:t xml:space="preserve"> John Sweller, </w:t>
      </w:r>
      <w:r>
        <w:rPr>
          <w:i/>
          <w:iCs/>
        </w:rPr>
        <w:t>Cognitive Load During Problem Solving: Effects on Learning</w:t>
      </w:r>
      <w:r>
        <w:t xml:space="preserve">, 12 COGNITIVE </w:t>
      </w:r>
      <w:r>
        <w:rPr>
          <w:smallCaps/>
        </w:rPr>
        <w:t>Science</w:t>
      </w:r>
      <w:r>
        <w:t xml:space="preserve"> 257, 285 (1988).</w:t>
      </w:r>
    </w:p>
  </w:footnote>
  <w:footnote w:id="51">
    <w:p w14:paraId="2DD77D67" w14:textId="77777777" w:rsidR="003A2AA0" w:rsidRDefault="00BF743F" w:rsidP="00F53BB1">
      <w:pPr>
        <w:pStyle w:val="FootnoteText"/>
        <w:suppressAutoHyphens/>
        <w:spacing w:after="80"/>
        <w:ind w:left="0" w:firstLine="0"/>
        <w:jc w:val="left"/>
      </w:pPr>
      <w:r>
        <w:rPr>
          <w:rStyle w:val="FootnoteReference"/>
        </w:rPr>
        <w:footnoteRef/>
      </w:r>
      <w:r>
        <w:t xml:space="preserve"> John Sweller, Jeroen J. G. van Merriënboer &amp; Fred Paas, </w:t>
      </w:r>
      <w:r>
        <w:rPr>
          <w:i/>
          <w:iCs/>
        </w:rPr>
        <w:t>Cognitive Architecture and Instructional Design</w:t>
      </w:r>
      <w:r>
        <w:t xml:space="preserve">, 10 </w:t>
      </w:r>
      <w:r>
        <w:rPr>
          <w:smallCaps/>
        </w:rPr>
        <w:t>Educational Psychology Review</w:t>
      </w:r>
      <w:r>
        <w:t xml:space="preserve"> 251, 296 (1998).</w:t>
      </w:r>
    </w:p>
  </w:footnote>
  <w:footnote w:id="52">
    <w:p w14:paraId="3EF29D34" w14:textId="77777777" w:rsidR="003A2AA0" w:rsidRDefault="00BF743F" w:rsidP="00F53BB1">
      <w:pPr>
        <w:pStyle w:val="FootnoteText"/>
        <w:suppressAutoHyphens/>
        <w:spacing w:after="80"/>
        <w:ind w:left="0" w:firstLine="0"/>
        <w:jc w:val="left"/>
      </w:pPr>
      <w:r>
        <w:rPr>
          <w:rStyle w:val="FootnoteReference"/>
        </w:rPr>
        <w:footnoteRef/>
      </w:r>
      <w:r>
        <w:t xml:space="preserve"> Sweller, J, </w:t>
      </w:r>
      <w:r>
        <w:rPr>
          <w:i/>
          <w:iCs/>
        </w:rPr>
        <w:t>Cognitive Load During Problem Solving: Effects on Learning</w:t>
      </w:r>
      <w:r>
        <w:t xml:space="preserve">, 12 COGNITIVE </w:t>
      </w:r>
      <w:r>
        <w:rPr>
          <w:smallCaps/>
        </w:rPr>
        <w:t>Science</w:t>
      </w:r>
      <w:r>
        <w:t xml:space="preserve"> 257, 285 (1988).</w:t>
      </w:r>
    </w:p>
  </w:footnote>
  <w:footnote w:id="53">
    <w:p w14:paraId="7C85A3FC" w14:textId="77777777" w:rsidR="003A2AA0" w:rsidRDefault="00BF743F" w:rsidP="00F53BB1">
      <w:pPr>
        <w:pStyle w:val="FootnoteText"/>
        <w:suppressAutoHyphens/>
        <w:spacing w:after="80"/>
        <w:ind w:left="0" w:firstLine="0"/>
        <w:jc w:val="left"/>
      </w:pPr>
      <w:r>
        <w:rPr>
          <w:rStyle w:val="FootnoteReference"/>
        </w:rPr>
        <w:footnoteRef/>
      </w:r>
      <w:r>
        <w:t xml:space="preserve"> John Sweller, Jeroen J. G. van Merriënboer &amp; Fred Paas, </w:t>
      </w:r>
      <w:r>
        <w:rPr>
          <w:i/>
          <w:iCs/>
        </w:rPr>
        <w:t>Cognitive Architecture and Instructional Design</w:t>
      </w:r>
      <w:r>
        <w:t xml:space="preserve">, 10 </w:t>
      </w:r>
      <w:r>
        <w:rPr>
          <w:smallCaps/>
        </w:rPr>
        <w:t>Educational Psychology Review</w:t>
      </w:r>
      <w:r>
        <w:t xml:space="preserve"> 251, 296 (1998).</w:t>
      </w:r>
    </w:p>
  </w:footnote>
  <w:footnote w:id="54">
    <w:p w14:paraId="2DF1016B" w14:textId="77777777" w:rsidR="003A2AA0" w:rsidRDefault="00BF743F" w:rsidP="00F53BB1">
      <w:pPr>
        <w:pStyle w:val="FootnoteText"/>
        <w:suppressAutoHyphens/>
        <w:spacing w:after="80"/>
        <w:ind w:left="0" w:firstLine="0"/>
        <w:jc w:val="left"/>
      </w:pPr>
      <w:r>
        <w:rPr>
          <w:rStyle w:val="FootnoteReference"/>
        </w:rPr>
        <w:footnoteRef/>
      </w:r>
      <w:r>
        <w:t xml:space="preserve"> Kruger, J. &amp; Dunning, D, </w:t>
      </w:r>
      <w:r>
        <w:rPr>
          <w:i/>
          <w:iCs/>
        </w:rPr>
        <w:t>Unskilled and Unaware of It: How Difficulties in Recognizing One’s Own Incompetence Lead to Inflated Self-Assessments</w:t>
      </w:r>
      <w:r>
        <w:t xml:space="preserve">, 77 </w:t>
      </w:r>
      <w:r>
        <w:rPr>
          <w:smallCaps/>
        </w:rPr>
        <w:t>Journal of Personality and Social Psychology</w:t>
      </w:r>
      <w:r>
        <w:t xml:space="preserve"> 1121, 1134 (1999).</w:t>
      </w:r>
    </w:p>
  </w:footnote>
  <w:footnote w:id="55">
    <w:p w14:paraId="11D03DEA" w14:textId="77777777" w:rsidR="003A2AA0" w:rsidRDefault="00BF743F" w:rsidP="00F53BB1">
      <w:pPr>
        <w:pStyle w:val="FootnoteText"/>
        <w:suppressAutoHyphens/>
        <w:spacing w:after="80"/>
        <w:ind w:left="0" w:firstLine="0"/>
        <w:jc w:val="left"/>
      </w:pPr>
      <w:r>
        <w:rPr>
          <w:rStyle w:val="FootnoteReference"/>
        </w:rPr>
        <w:footnoteRef/>
      </w:r>
      <w:r>
        <w:t xml:space="preserve"> Dunning, D, The Dunning-Kruger effect: </w:t>
      </w:r>
      <w:r>
        <w:rPr>
          <w:i/>
          <w:iCs/>
        </w:rPr>
        <w:t>On Being Ignorant of One’s Own Ignorance</w:t>
      </w:r>
      <w:r>
        <w:t xml:space="preserve">, 44 </w:t>
      </w:r>
      <w:r>
        <w:rPr>
          <w:smallCaps/>
        </w:rPr>
        <w:t>Advances in Experimental Social Psychology</w:t>
      </w:r>
      <w:r>
        <w:t xml:space="preserve"> 247, 296 (2011).</w:t>
      </w:r>
    </w:p>
  </w:footnote>
  <w:footnote w:id="56">
    <w:p w14:paraId="7CE3FDE4" w14:textId="77777777" w:rsidR="003A2AA0" w:rsidRDefault="00BF743F" w:rsidP="00F53BB1">
      <w:pPr>
        <w:pStyle w:val="FootnoteText"/>
        <w:suppressAutoHyphens/>
        <w:spacing w:after="80"/>
        <w:ind w:left="0" w:firstLine="0"/>
        <w:jc w:val="left"/>
      </w:pPr>
      <w:r>
        <w:rPr>
          <w:rStyle w:val="FootnoteReference"/>
        </w:rPr>
        <w:footnoteRef/>
      </w:r>
      <w:r>
        <w:t xml:space="preserve"> Kruger, J. &amp; Dunning, D, </w:t>
      </w:r>
      <w:r>
        <w:rPr>
          <w:i/>
          <w:iCs/>
        </w:rPr>
        <w:t>Unskilled and Unaware of It: How Difficulties in Recognizing One’s Own Incompetence Lead to Inflated Self-Assessments</w:t>
      </w:r>
      <w:r>
        <w:t xml:space="preserve">, 77 </w:t>
      </w:r>
      <w:r>
        <w:rPr>
          <w:smallCaps/>
        </w:rPr>
        <w:t>Journal of Personality and Social Psychology</w:t>
      </w:r>
      <w:r>
        <w:t xml:space="preserve"> 1121, 1134 (1999).</w:t>
      </w:r>
    </w:p>
  </w:footnote>
  <w:footnote w:id="57">
    <w:p w14:paraId="51900365" w14:textId="77777777" w:rsidR="003A2AA0" w:rsidRDefault="00BF743F" w:rsidP="00F53BB1">
      <w:pPr>
        <w:pStyle w:val="FootnoteText"/>
        <w:suppressAutoHyphens/>
        <w:spacing w:after="80"/>
        <w:ind w:left="0" w:firstLine="0"/>
        <w:jc w:val="left"/>
      </w:pPr>
      <w:r>
        <w:rPr>
          <w:rStyle w:val="FootnoteReference"/>
        </w:rPr>
        <w:footnoteRef/>
      </w:r>
      <w:r>
        <w:t xml:space="preserve"> David Dunning, Kerry Johnson, Joyce Ehrlinger &amp; Justin Kruger, </w:t>
      </w:r>
      <w:r>
        <w:rPr>
          <w:i/>
          <w:iCs/>
        </w:rPr>
        <w:t>Why People Fail to Recognize Their Own Incompetence</w:t>
      </w:r>
      <w:r>
        <w:t xml:space="preserve">, 12 CURRENT DIRECTIONS IN PSYCHOLOGICAL </w:t>
      </w:r>
      <w:r>
        <w:rPr>
          <w:smallCaps/>
        </w:rPr>
        <w:t>Science</w:t>
      </w:r>
      <w:r>
        <w:t xml:space="preserve"> 83, 87 (2003).</w:t>
      </w:r>
    </w:p>
  </w:footnote>
  <w:footnote w:id="58">
    <w:p w14:paraId="1CDF255E" w14:textId="77777777" w:rsidR="003A2AA0" w:rsidRDefault="00BF743F" w:rsidP="00F53BB1">
      <w:pPr>
        <w:pStyle w:val="FootnoteText"/>
        <w:suppressAutoHyphens/>
        <w:spacing w:after="80"/>
        <w:ind w:left="0" w:firstLine="0"/>
        <w:jc w:val="left"/>
      </w:pPr>
      <w:r>
        <w:rPr>
          <w:rStyle w:val="FootnoteReference"/>
        </w:rPr>
        <w:footnoteRef/>
      </w:r>
      <w:r>
        <w:t xml:space="preserve"> Joyce Ehrlinger, Kerry Johnson, Matthew Banner, David Dunning &amp; Justin Kruger, Why the unskilled are unaware: Further explorations of (absent) self-insight among the incompetent, 105 </w:t>
      </w:r>
      <w:r>
        <w:rPr>
          <w:smallCaps/>
        </w:rPr>
        <w:t>Organizational Behavior and Human Decision Processes</w:t>
      </w:r>
      <w:r>
        <w:t xml:space="preserve"> 98, 121 (2008).</w:t>
      </w:r>
    </w:p>
  </w:footnote>
  <w:footnote w:id="59">
    <w:p w14:paraId="37A93B4D" w14:textId="77777777" w:rsidR="003A2AA0" w:rsidRDefault="00BF743F" w:rsidP="00F53BB1">
      <w:pPr>
        <w:pStyle w:val="FootnoteText"/>
        <w:suppressAutoHyphens/>
        <w:spacing w:after="80"/>
        <w:ind w:left="0" w:firstLine="0"/>
        <w:jc w:val="left"/>
      </w:pPr>
      <w:r>
        <w:rPr>
          <w:rStyle w:val="FootnoteReference"/>
        </w:rPr>
        <w:footnoteRef/>
      </w:r>
      <w:r>
        <w:t xml:space="preserve"> Dunning, D, The Dunning-Kruger effect: </w:t>
      </w:r>
      <w:r>
        <w:rPr>
          <w:i/>
          <w:iCs/>
        </w:rPr>
        <w:t>On Being Ignorant of One’s Own Ignorance</w:t>
      </w:r>
      <w:r>
        <w:t xml:space="preserve">, 44 </w:t>
      </w:r>
      <w:r>
        <w:rPr>
          <w:smallCaps/>
        </w:rPr>
        <w:t>Advances in Experimental Social Psychology</w:t>
      </w:r>
      <w:r>
        <w:t xml:space="preserve"> 247, 296 (2011).</w:t>
      </w:r>
    </w:p>
  </w:footnote>
  <w:footnote w:id="60">
    <w:p w14:paraId="7254BCA1" w14:textId="77777777" w:rsidR="003A2AA0" w:rsidRDefault="00BF743F" w:rsidP="00F53BB1">
      <w:pPr>
        <w:pStyle w:val="FootnoteText"/>
        <w:suppressAutoHyphens/>
        <w:spacing w:after="80"/>
        <w:ind w:left="0" w:firstLine="0"/>
        <w:jc w:val="left"/>
      </w:pPr>
      <w:r>
        <w:rPr>
          <w:rStyle w:val="FootnoteReference"/>
        </w:rPr>
        <w:footnoteRef/>
      </w:r>
      <w:r>
        <w:t xml:space="preserve"> Kruger, J. &amp; Dunning, D, </w:t>
      </w:r>
      <w:r>
        <w:rPr>
          <w:i/>
          <w:iCs/>
        </w:rPr>
        <w:t>Unskilled and Unaware of It: How Difficulties in Recognizing One’s Own Incompetence Lead to Inflated Self-Assessments</w:t>
      </w:r>
      <w:r>
        <w:t xml:space="preserve">, 77 </w:t>
      </w:r>
      <w:r>
        <w:rPr>
          <w:smallCaps/>
        </w:rPr>
        <w:t>Journal of Personality and Social Psychology</w:t>
      </w:r>
      <w:r>
        <w:t xml:space="preserve"> 1121, 1134 (1999).</w:t>
      </w:r>
    </w:p>
  </w:footnote>
  <w:footnote w:id="61">
    <w:p w14:paraId="37D56D84" w14:textId="77777777" w:rsidR="003A2AA0" w:rsidRDefault="00BF743F" w:rsidP="00F53BB1">
      <w:pPr>
        <w:pStyle w:val="FootnoteText"/>
        <w:suppressAutoHyphens/>
        <w:spacing w:after="80"/>
        <w:ind w:left="0" w:firstLine="0"/>
        <w:jc w:val="left"/>
      </w:pPr>
      <w:r>
        <w:rPr>
          <w:rStyle w:val="FootnoteReference"/>
        </w:rPr>
        <w:footnoteRef/>
      </w:r>
      <w:r>
        <w:t xml:space="preserve"> Dunning, D, The Dunning-Kruger effect: </w:t>
      </w:r>
      <w:r>
        <w:rPr>
          <w:i/>
          <w:iCs/>
        </w:rPr>
        <w:t>On Being Ignorant of One’s Own Ignorance</w:t>
      </w:r>
      <w:r>
        <w:t xml:space="preserve">, 44 </w:t>
      </w:r>
      <w:r>
        <w:rPr>
          <w:smallCaps/>
        </w:rPr>
        <w:t>Advances in Experimental Social Psychology</w:t>
      </w:r>
      <w:r>
        <w:t xml:space="preserve"> 247, 296 (2011).</w:t>
      </w:r>
    </w:p>
  </w:footnote>
  <w:footnote w:id="62">
    <w:p w14:paraId="11D7328E" w14:textId="77777777" w:rsidR="003A2AA0" w:rsidRDefault="00BF743F" w:rsidP="00F53BB1">
      <w:pPr>
        <w:pStyle w:val="FootnoteText"/>
        <w:suppressAutoHyphens/>
        <w:spacing w:after="80"/>
        <w:ind w:left="0" w:firstLine="0"/>
        <w:jc w:val="left"/>
      </w:pPr>
      <w:r>
        <w:rPr>
          <w:rStyle w:val="FootnoteReference"/>
        </w:rPr>
        <w:footnoteRef/>
      </w:r>
      <w:r>
        <w:t xml:space="preserve"> Douglas J. Hacker, Lyle Bol, Dennis D. Horgan &amp; Edward A. Rakow, Test prediction and performance in a classroom context, 92 JOURNAL OF EDUCATIONAL PSYCHOLOGY 160, 170 (2000).</w:t>
      </w:r>
    </w:p>
  </w:footnote>
  <w:footnote w:id="63">
    <w:p w14:paraId="07BB1DA6" w14:textId="77777777" w:rsidR="003A2AA0" w:rsidRDefault="00BF743F" w:rsidP="00F53BB1">
      <w:pPr>
        <w:pStyle w:val="FootnoteText"/>
        <w:suppressAutoHyphens/>
        <w:spacing w:after="80"/>
        <w:ind w:left="0" w:firstLine="0"/>
        <w:jc w:val="left"/>
      </w:pPr>
      <w:r>
        <w:rPr>
          <w:rStyle w:val="FootnoteReference"/>
        </w:rPr>
        <w:footnoteRef/>
      </w:r>
      <w:r>
        <w:t xml:space="preserve"> Thomas M. Miller &amp; Liana Geraci, </w:t>
      </w:r>
      <w:r>
        <w:rPr>
          <w:i/>
          <w:iCs/>
        </w:rPr>
        <w:t>Unskilled but Aware: Reinterpreting Overconfidence in Low-Performing Students</w:t>
      </w:r>
      <w:r>
        <w:t xml:space="preserve">, 37 JOURNAL OF </w:t>
      </w:r>
      <w:r>
        <w:rPr>
          <w:smallCaps/>
        </w:rPr>
        <w:t>Experimental Psychology</w:t>
      </w:r>
      <w:r>
        <w:t>: LEARNING, MEMORY, AND COGNITION 502, 506 (2011).</w:t>
      </w:r>
    </w:p>
  </w:footnote>
  <w:footnote w:id="64">
    <w:p w14:paraId="306D154A" w14:textId="77777777" w:rsidR="003A2AA0" w:rsidRDefault="00BF743F" w:rsidP="00F53BB1">
      <w:pPr>
        <w:pStyle w:val="FootnoteText"/>
        <w:suppressAutoHyphens/>
        <w:spacing w:after="80"/>
        <w:ind w:left="0" w:firstLine="0"/>
        <w:jc w:val="left"/>
      </w:pPr>
      <w:r>
        <w:rPr>
          <w:rStyle w:val="FootnoteReference"/>
        </w:rPr>
        <w:footnoteRef/>
      </w:r>
      <w:r>
        <w:t xml:space="preserve"> Douglas J. Hacker, Lyle Bol &amp; Katharine Bahbahani, </w:t>
      </w:r>
      <w:r>
        <w:rPr>
          <w:i/>
          <w:iCs/>
        </w:rPr>
        <w:t>Explaining Calibration Accuracy in Classroom Contexts: The Effects of Incentives, Reflection, and Explanatory Style</w:t>
      </w:r>
      <w:r>
        <w:t xml:space="preserve">, 3 </w:t>
      </w:r>
      <w:r>
        <w:rPr>
          <w:smallCaps/>
        </w:rPr>
        <w:t>Metacognition and Learning</w:t>
      </w:r>
      <w:r>
        <w:t xml:space="preserve"> 101, 121 (2008).</w:t>
      </w:r>
    </w:p>
  </w:footnote>
  <w:footnote w:id="65">
    <w:p w14:paraId="63D68342" w14:textId="77777777" w:rsidR="003A2AA0" w:rsidRDefault="00BF743F" w:rsidP="00F53BB1">
      <w:pPr>
        <w:pStyle w:val="FootnoteText"/>
        <w:suppressAutoHyphens/>
        <w:spacing w:after="80"/>
        <w:ind w:left="0" w:firstLine="0"/>
        <w:jc w:val="left"/>
      </w:pPr>
      <w:r>
        <w:rPr>
          <w:rStyle w:val="FootnoteReference"/>
        </w:rPr>
        <w:footnoteRef/>
      </w:r>
      <w:r>
        <w:t xml:space="preserve"> David Dunning, Chip Heath &amp; Jerry M. Suls, </w:t>
      </w:r>
      <w:r>
        <w:rPr>
          <w:i/>
          <w:iCs/>
        </w:rPr>
        <w:t>Flawed Self-Assessment: Implications for Health, Education, and the Workplace</w:t>
      </w:r>
      <w:r>
        <w:t xml:space="preserve">, 5 PSYCHOLOGICAL </w:t>
      </w:r>
      <w:r>
        <w:rPr>
          <w:smallCaps/>
        </w:rPr>
        <w:t>Science</w:t>
      </w:r>
      <w:r>
        <w:t xml:space="preserve"> IN </w:t>
      </w:r>
      <w:r>
        <w:rPr>
          <w:smallCaps/>
        </w:rPr>
        <w:t>The Public Interest</w:t>
      </w:r>
      <w:r>
        <w:t xml:space="preserve"> 69, 106 (2004).</w:t>
      </w:r>
    </w:p>
  </w:footnote>
  <w:footnote w:id="66">
    <w:p w14:paraId="377670D7" w14:textId="77777777" w:rsidR="003A2AA0" w:rsidRDefault="00BF743F" w:rsidP="00F53BB1">
      <w:pPr>
        <w:pStyle w:val="FootnoteText"/>
        <w:suppressAutoHyphens/>
        <w:spacing w:after="80"/>
        <w:ind w:left="0" w:firstLine="0"/>
        <w:jc w:val="left"/>
      </w:pPr>
      <w:r>
        <w:rPr>
          <w:rStyle w:val="FootnoteReference"/>
        </w:rPr>
        <w:footnoteRef/>
      </w:r>
      <w:r>
        <w:t xml:space="preserve"> Knowles, M. S, </w:t>
      </w:r>
      <w:r>
        <w:rPr>
          <w:smallCaps/>
        </w:rPr>
        <w:t>Andragogy in Action: Applying Modern Principles of Adult Learning</w:t>
      </w:r>
      <w:r>
        <w:t xml:space="preserve"> (Jossey-Bass 1984).</w:t>
      </w:r>
    </w:p>
  </w:footnote>
  <w:footnote w:id="67">
    <w:p w14:paraId="55D3B73B" w14:textId="77777777" w:rsidR="003A2AA0" w:rsidRDefault="00BF743F" w:rsidP="00F53BB1">
      <w:pPr>
        <w:pStyle w:val="FootnoteText"/>
        <w:suppressAutoHyphens/>
        <w:spacing w:after="80"/>
        <w:ind w:left="0" w:firstLine="0"/>
        <w:jc w:val="left"/>
      </w:pPr>
      <w:r>
        <w:rPr>
          <w:rStyle w:val="FootnoteReference"/>
        </w:rPr>
        <w:footnoteRef/>
      </w:r>
      <w:r>
        <w:t xml:space="preserve"> Knowles, M., </w:t>
      </w:r>
      <w:r>
        <w:rPr>
          <w:smallCaps/>
        </w:rPr>
        <w:t>The Adult Learner: The Definitive Classic in Adult Education and Human Resource Development</w:t>
      </w:r>
      <w:r>
        <w:t xml:space="preserve"> (2015).</w:t>
      </w:r>
    </w:p>
  </w:footnote>
  <w:footnote w:id="68">
    <w:p w14:paraId="36292515" w14:textId="77777777" w:rsidR="003A2AA0" w:rsidRDefault="00BF743F" w:rsidP="00F53BB1">
      <w:pPr>
        <w:pStyle w:val="FootnoteText"/>
        <w:suppressAutoHyphens/>
        <w:spacing w:after="80"/>
        <w:ind w:left="0" w:firstLine="0"/>
        <w:jc w:val="left"/>
      </w:pPr>
      <w:r>
        <w:rPr>
          <w:rStyle w:val="FootnoteReference"/>
        </w:rPr>
        <w:footnoteRef/>
      </w:r>
      <w:r>
        <w:t xml:space="preserve"> Knowles, M. S, </w:t>
      </w:r>
      <w:r>
        <w:rPr>
          <w:smallCaps/>
        </w:rPr>
        <w:t>Andragogy in Action: Applying Modern Principles of Adult Learning</w:t>
      </w:r>
      <w:r>
        <w:t xml:space="preserve"> (Jossey-Bass 1984).</w:t>
      </w:r>
    </w:p>
  </w:footnote>
  <w:footnote w:id="69">
    <w:p w14:paraId="63805784" w14:textId="77777777" w:rsidR="003A2AA0" w:rsidRDefault="00BF743F" w:rsidP="00F53BB1">
      <w:pPr>
        <w:pStyle w:val="FootnoteText"/>
        <w:suppressAutoHyphens/>
        <w:spacing w:after="80"/>
        <w:ind w:left="0" w:firstLine="0"/>
        <w:jc w:val="left"/>
      </w:pPr>
      <w:r>
        <w:rPr>
          <w:rStyle w:val="FootnoteReference"/>
        </w:rPr>
        <w:footnoteRef/>
      </w:r>
      <w:r>
        <w:t xml:space="preserve"> Yvonne M. Dutton, </w:t>
      </w:r>
      <w:r>
        <w:rPr>
          <w:i/>
          <w:iCs/>
        </w:rPr>
        <w:t>Commitment, Culture, and Context: An Empirical Study of Student Attrition in Online Legal Education</w:t>
      </w:r>
      <w:r>
        <w:t xml:space="preserve">, 67 </w:t>
      </w:r>
      <w:r>
        <w:rPr>
          <w:smallCaps/>
        </w:rPr>
        <w:t>Journal of Legal Education</w:t>
      </w:r>
      <w:r>
        <w:t xml:space="preserve"> 63, 108 (2016).</w:t>
      </w:r>
    </w:p>
  </w:footnote>
  <w:footnote w:id="70">
    <w:p w14:paraId="4DAA4855" w14:textId="77777777" w:rsidR="003A2AA0" w:rsidRDefault="00BF743F" w:rsidP="00F53BB1">
      <w:pPr>
        <w:pStyle w:val="FootnoteText"/>
        <w:suppressAutoHyphens/>
        <w:spacing w:after="80"/>
        <w:ind w:left="0" w:firstLine="0"/>
        <w:jc w:val="left"/>
      </w:pPr>
      <w:r>
        <w:rPr>
          <w:rStyle w:val="FootnoteReference"/>
        </w:rPr>
        <w:footnoteRef/>
      </w:r>
      <w:r>
        <w:t xml:space="preserve"> Wang, L, </w:t>
      </w:r>
      <w:r>
        <w:rPr>
          <w:i/>
          <w:iCs/>
        </w:rPr>
        <w:t>Quality Assurance in Online Legal Education</w:t>
      </w:r>
      <w:r>
        <w:t>, 68 JOURNAL OF LEGAL EDUCATION 345, 378 (2018).</w:t>
      </w:r>
    </w:p>
  </w:footnote>
  <w:footnote w:id="71">
    <w:p w14:paraId="18A5B581" w14:textId="77777777" w:rsidR="003A2AA0" w:rsidRDefault="00BF743F" w:rsidP="00F53BB1">
      <w:pPr>
        <w:pStyle w:val="FootnoteText"/>
        <w:suppressAutoHyphens/>
        <w:spacing w:after="80"/>
        <w:ind w:left="0" w:firstLine="0"/>
        <w:jc w:val="left"/>
      </w:pPr>
      <w:r>
        <w:rPr>
          <w:rStyle w:val="FootnoteReference"/>
        </w:rPr>
        <w:footnoteRef/>
      </w:r>
      <w:r>
        <w:t xml:space="preserve"> Sloan, C, Pioneering online legal education: The story of Concord Law School, 67 </w:t>
      </w:r>
      <w:r>
        <w:rPr>
          <w:smallCaps/>
        </w:rPr>
        <w:t>Journal of Legal Education</w:t>
      </w:r>
      <w:r>
        <w:t xml:space="preserve"> 798, 825 (2018).</w:t>
      </w:r>
    </w:p>
  </w:footnote>
  <w:footnote w:id="72">
    <w:p w14:paraId="2830DA6D" w14:textId="77777777" w:rsidR="003A2AA0" w:rsidRDefault="00BF743F" w:rsidP="00F53BB1">
      <w:pPr>
        <w:pStyle w:val="FootnoteText"/>
        <w:suppressAutoHyphens/>
        <w:spacing w:after="80"/>
        <w:ind w:left="0" w:firstLine="0"/>
        <w:jc w:val="left"/>
      </w:pPr>
      <w:r>
        <w:rPr>
          <w:rStyle w:val="FootnoteReference"/>
        </w:rPr>
        <w:footnoteRef/>
      </w:r>
      <w:r>
        <w:t xml:space="preserve"> Knowles, M., </w:t>
      </w:r>
      <w:r>
        <w:rPr>
          <w:smallCaps/>
        </w:rPr>
        <w:t>The Adult Learner: The Definitive Classic in Adult Education and Human Resource Development</w:t>
      </w:r>
      <w:r>
        <w:t xml:space="preserve"> (2015).</w:t>
      </w:r>
    </w:p>
  </w:footnote>
  <w:footnote w:id="73">
    <w:p w14:paraId="753842CA" w14:textId="77777777" w:rsidR="003A2AA0" w:rsidRDefault="00BF743F" w:rsidP="00F53BB1">
      <w:pPr>
        <w:pStyle w:val="FootnoteText"/>
        <w:suppressAutoHyphens/>
        <w:spacing w:after="80"/>
        <w:ind w:left="0" w:firstLine="0"/>
        <w:jc w:val="left"/>
      </w:pPr>
      <w:r>
        <w:rPr>
          <w:rStyle w:val="FootnoteReference"/>
        </w:rPr>
        <w:footnoteRef/>
      </w:r>
      <w:r>
        <w:t xml:space="preserve"> Margaret A. Schulze, </w:t>
      </w:r>
      <w:r>
        <w:rPr>
          <w:i/>
          <w:iCs/>
        </w:rPr>
        <w:t>Desirable Difficulties in Legal Education</w:t>
      </w:r>
      <w:r>
        <w:t xml:space="preserve">, 69 </w:t>
      </w:r>
      <w:r>
        <w:rPr>
          <w:smallCaps/>
        </w:rPr>
        <w:t>Journal of Legal Education</w:t>
      </w:r>
      <w:r>
        <w:t xml:space="preserve"> 495, 528 (2020).</w:t>
      </w:r>
    </w:p>
  </w:footnote>
  <w:footnote w:id="74">
    <w:p w14:paraId="0A672C42" w14:textId="77777777" w:rsidR="003A2AA0" w:rsidRDefault="00BF743F" w:rsidP="00F53BB1">
      <w:pPr>
        <w:pStyle w:val="FootnoteText"/>
        <w:suppressAutoHyphens/>
        <w:spacing w:after="80"/>
        <w:ind w:left="0" w:firstLine="0"/>
        <w:jc w:val="left"/>
      </w:pPr>
      <w:r>
        <w:rPr>
          <w:rStyle w:val="FootnoteReference"/>
        </w:rPr>
        <w:footnoteRef/>
      </w:r>
      <w:r>
        <w:t xml:space="preserve"> Michael Hunter Schwartz, Gerald F. Hess &amp; Sophie Sparrow, </w:t>
      </w:r>
      <w:r>
        <w:rPr>
          <w:i/>
          <w:iCs/>
        </w:rPr>
        <w:t>What the Best Law Teachers Do</w:t>
      </w:r>
      <w:r>
        <w:t xml:space="preserve">, 126 </w:t>
      </w:r>
      <w:r>
        <w:rPr>
          <w:smallCaps/>
        </w:rPr>
        <w:t>Harvard Law Review</w:t>
      </w:r>
      <w:r>
        <w:t xml:space="preserve"> 824, 851 (2013).</w:t>
      </w:r>
    </w:p>
  </w:footnote>
  <w:footnote w:id="75">
    <w:p w14:paraId="3319909B" w14:textId="77777777" w:rsidR="003A2AA0" w:rsidRDefault="00BF743F" w:rsidP="00F53BB1">
      <w:pPr>
        <w:pStyle w:val="FootnoteText"/>
        <w:suppressAutoHyphens/>
        <w:spacing w:after="80"/>
        <w:ind w:left="0" w:firstLine="0"/>
        <w:jc w:val="left"/>
      </w:pPr>
      <w:r>
        <w:rPr>
          <w:rStyle w:val="FootnoteReference"/>
        </w:rPr>
        <w:footnoteRef/>
      </w:r>
      <w:r>
        <w:t xml:space="preserve"> Feinman, J. M. &amp; Feldman, M, </w:t>
      </w:r>
      <w:r>
        <w:rPr>
          <w:i/>
          <w:iCs/>
        </w:rPr>
        <w:t>Pedagogy and Politics</w:t>
      </w:r>
      <w:r>
        <w:t>, 73 GEORGETOWN LAW JOURNAL 875, 916 (1985).</w:t>
      </w:r>
    </w:p>
  </w:footnote>
  <w:footnote w:id="76">
    <w:p w14:paraId="76CD5FB9" w14:textId="77777777" w:rsidR="003A2AA0" w:rsidRDefault="00BF743F" w:rsidP="00F53BB1">
      <w:pPr>
        <w:pStyle w:val="FootnoteText"/>
        <w:suppressAutoHyphens/>
        <w:spacing w:after="80"/>
        <w:ind w:left="0" w:firstLine="0"/>
        <w:jc w:val="left"/>
      </w:pPr>
      <w:r>
        <w:rPr>
          <w:rStyle w:val="FootnoteReference"/>
        </w:rPr>
        <w:footnoteRef/>
      </w:r>
      <w:r>
        <w:t xml:space="preserve"> Garner, B. A, </w:t>
      </w:r>
      <w:r>
        <w:rPr>
          <w:i/>
          <w:iCs/>
        </w:rPr>
        <w:t>The Socratic Method</w:t>
      </w:r>
      <w:r>
        <w:t xml:space="preserve">, 79 </w:t>
      </w:r>
      <w:r>
        <w:rPr>
          <w:smallCaps/>
        </w:rPr>
        <w:t>Texas Law Review</w:t>
      </w:r>
      <w:r>
        <w:t xml:space="preserve"> 1177, 1182 (2001).</w:t>
      </w:r>
    </w:p>
  </w:footnote>
  <w:footnote w:id="77">
    <w:p w14:paraId="3FDE3F1B" w14:textId="77777777" w:rsidR="003A2AA0" w:rsidRDefault="00BF743F" w:rsidP="00F53BB1">
      <w:pPr>
        <w:pStyle w:val="FootnoteText"/>
        <w:suppressAutoHyphens/>
        <w:spacing w:after="80"/>
        <w:ind w:left="0" w:firstLine="0"/>
        <w:jc w:val="left"/>
      </w:pPr>
      <w:r>
        <w:rPr>
          <w:rStyle w:val="FootnoteReference"/>
        </w:rPr>
        <w:footnoteRef/>
      </w:r>
      <w:r>
        <w:t xml:space="preserve"> Robert Granfield, </w:t>
      </w:r>
      <w:r>
        <w:rPr>
          <w:i/>
          <w:iCs/>
        </w:rPr>
        <w:t>Making It by Faking It: Working-Class Students in an Elite Academic Environment</w:t>
      </w:r>
      <w:r>
        <w:t>, 20 JOURNAL OF CONTEMPORARY ETHNOGRAPHY 331, 351 (1991).</w:t>
      </w:r>
    </w:p>
  </w:footnote>
  <w:footnote w:id="78">
    <w:p w14:paraId="4C27D53C" w14:textId="77777777" w:rsidR="003A2AA0" w:rsidRDefault="00BF743F" w:rsidP="00F53BB1">
      <w:pPr>
        <w:pStyle w:val="FootnoteText"/>
        <w:suppressAutoHyphens/>
        <w:spacing w:after="80"/>
        <w:ind w:left="0" w:firstLine="0"/>
        <w:jc w:val="left"/>
      </w:pPr>
      <w:r>
        <w:rPr>
          <w:rStyle w:val="FootnoteReference"/>
        </w:rPr>
        <w:footnoteRef/>
      </w:r>
      <w:r>
        <w:t xml:space="preserve"> Elizabeth Mertz, </w:t>
      </w:r>
      <w:r>
        <w:rPr>
          <w:smallCaps/>
        </w:rPr>
        <w:t>The Language of Law School: Learning to “Think Like a Lawyer”</w:t>
      </w:r>
      <w:r>
        <w:t xml:space="preserve"> (Oxford University Press 2007).</w:t>
      </w:r>
    </w:p>
  </w:footnote>
  <w:footnote w:id="79">
    <w:p w14:paraId="2F2C4440" w14:textId="77777777" w:rsidR="003A2AA0" w:rsidRDefault="00BF743F" w:rsidP="00F53BB1">
      <w:pPr>
        <w:pStyle w:val="FootnoteText"/>
        <w:suppressAutoHyphens/>
        <w:spacing w:after="80"/>
        <w:ind w:left="0" w:firstLine="0"/>
        <w:jc w:val="left"/>
      </w:pPr>
      <w:r>
        <w:rPr>
          <w:rStyle w:val="FootnoteReference"/>
        </w:rPr>
        <w:footnoteRef/>
      </w:r>
      <w:r>
        <w:t xml:space="preserve"> Jerome M. Organ, David Jaffe &amp; Katherine M. Bender, </w:t>
      </w:r>
      <w:r>
        <w:rPr>
          <w:i/>
          <w:iCs/>
        </w:rPr>
        <w:t>Suffering in Silence: The Survey of Law Student Well-Being and the Reluctance of Law Students to Seek Help for Substance Use and Mental Health Concerns</w:t>
      </w:r>
      <w:r>
        <w:t xml:space="preserve">, 66 </w:t>
      </w:r>
      <w:r>
        <w:rPr>
          <w:smallCaps/>
        </w:rPr>
        <w:t>Journal of Legal Education</w:t>
      </w:r>
      <w:r>
        <w:t xml:space="preserve"> 116, 156 (2016).</w:t>
      </w:r>
    </w:p>
  </w:footnote>
  <w:footnote w:id="80">
    <w:p w14:paraId="504322D7" w14:textId="77777777" w:rsidR="003A2AA0" w:rsidRDefault="00BF743F" w:rsidP="00F53BB1">
      <w:pPr>
        <w:pStyle w:val="FootnoteText"/>
        <w:suppressAutoHyphens/>
        <w:spacing w:after="80"/>
        <w:ind w:left="0" w:firstLine="0"/>
        <w:jc w:val="left"/>
      </w:pPr>
      <w:r>
        <w:rPr>
          <w:rStyle w:val="FootnoteReference"/>
        </w:rPr>
        <w:footnoteRef/>
      </w:r>
      <w:r>
        <w:t xml:space="preserve"> Claude M. Steele &amp; Joshua Aronson, </w:t>
      </w:r>
      <w:r>
        <w:rPr>
          <w:i/>
          <w:iCs/>
        </w:rPr>
        <w:t>Stereotype Threat and the Intellectual Test Performance of African Americans</w:t>
      </w:r>
      <w:r>
        <w:t>, 69 JOURNAL OF PERSONALITY AND SOCIAL PSYCHOLOGY 797, 811 (1995).</w:t>
      </w:r>
    </w:p>
  </w:footnote>
  <w:footnote w:id="81">
    <w:p w14:paraId="3A9C78E8" w14:textId="77777777" w:rsidR="003A2AA0" w:rsidRDefault="00BF743F" w:rsidP="00F53BB1">
      <w:pPr>
        <w:pStyle w:val="FootnoteText"/>
        <w:suppressAutoHyphens/>
        <w:spacing w:after="80"/>
        <w:ind w:left="0" w:firstLine="0"/>
        <w:jc w:val="left"/>
      </w:pPr>
      <w:r>
        <w:rPr>
          <w:rStyle w:val="FootnoteReference"/>
        </w:rPr>
        <w:footnoteRef/>
      </w:r>
      <w:r>
        <w:t xml:space="preserve"> Steven J. Spencer, Claude M. Steele &amp; Diane M. Quinn, </w:t>
      </w:r>
      <w:r>
        <w:rPr>
          <w:i/>
          <w:iCs/>
        </w:rPr>
        <w:t>Stereotype Threat and Women’s Math Performance</w:t>
      </w:r>
      <w:r>
        <w:t xml:space="preserve">, 35 JOURNAL OF </w:t>
      </w:r>
      <w:r>
        <w:rPr>
          <w:smallCaps/>
        </w:rPr>
        <w:t>Experimental Social Psychology</w:t>
      </w:r>
      <w:r>
        <w:t xml:space="preserve"> 4, 28 (1999).</w:t>
      </w:r>
    </w:p>
  </w:footnote>
  <w:footnote w:id="82">
    <w:p w14:paraId="1FD73E37" w14:textId="77777777" w:rsidR="003A2AA0" w:rsidRDefault="00BF743F" w:rsidP="00F53BB1">
      <w:pPr>
        <w:pStyle w:val="FootnoteText"/>
        <w:suppressAutoHyphens/>
        <w:spacing w:after="80"/>
        <w:ind w:left="0" w:firstLine="0"/>
        <w:jc w:val="left"/>
      </w:pPr>
      <w:r>
        <w:rPr>
          <w:rStyle w:val="FootnoteReference"/>
        </w:rPr>
        <w:footnoteRef/>
      </w:r>
      <w:r>
        <w:t xml:space="preserve"> Claude M. Steele, </w:t>
      </w:r>
      <w:r>
        <w:rPr>
          <w:i/>
          <w:iCs/>
        </w:rPr>
        <w:t>A Threat in the Air: How Stereotypes Shape Intellectual Identity and Performance</w:t>
      </w:r>
      <w:r>
        <w:t>, 52 AMERICAN PSYCHOLOGIST 613, 629 (1997).</w:t>
      </w:r>
    </w:p>
  </w:footnote>
  <w:footnote w:id="83">
    <w:p w14:paraId="1F7A86F8" w14:textId="77777777" w:rsidR="003A2AA0" w:rsidRDefault="00BF743F" w:rsidP="00F53BB1">
      <w:pPr>
        <w:pStyle w:val="FootnoteText"/>
        <w:suppressAutoHyphens/>
        <w:spacing w:after="80"/>
        <w:ind w:left="0" w:firstLine="0"/>
        <w:jc w:val="left"/>
      </w:pPr>
      <w:r>
        <w:rPr>
          <w:rStyle w:val="FootnoteReference"/>
        </w:rPr>
        <w:footnoteRef/>
      </w:r>
      <w:r>
        <w:t xml:space="preserve"> Madison, K, </w:t>
      </w:r>
      <w:r>
        <w:rPr>
          <w:i/>
          <w:iCs/>
        </w:rPr>
        <w:t>The Elephant in the Room: Socratic Method and the Marginalization of Women in Law School Classrooms</w:t>
      </w:r>
      <w:r>
        <w:t xml:space="preserve">, 17 SOUTHERN CALIFORNIA REVIEW OF </w:t>
      </w:r>
      <w:r>
        <w:rPr>
          <w:smallCaps/>
        </w:rPr>
        <w:t>Law and Women</w:t>
      </w:r>
      <w:r>
        <w:t>’S STUDIES 293, 326 (2008).</w:t>
      </w:r>
    </w:p>
  </w:footnote>
  <w:footnote w:id="84">
    <w:p w14:paraId="3A989A68" w14:textId="77777777" w:rsidR="003A2AA0" w:rsidRDefault="00BF743F" w:rsidP="00F53BB1">
      <w:pPr>
        <w:pStyle w:val="FootnoteText"/>
        <w:suppressAutoHyphens/>
        <w:spacing w:after="80"/>
        <w:ind w:left="0" w:firstLine="0"/>
        <w:jc w:val="left"/>
      </w:pPr>
      <w:r>
        <w:rPr>
          <w:rStyle w:val="FootnoteReference"/>
        </w:rPr>
        <w:footnoteRef/>
      </w:r>
      <w:r>
        <w:t xml:space="preserve"> Lani Guinier, Michelle Fine &amp; Jane Balin, </w:t>
      </w:r>
      <w:r>
        <w:rPr>
          <w:smallCaps/>
        </w:rPr>
        <w:t>Becoming Gentlemen: Women, Law School, and Institutional Change</w:t>
      </w:r>
      <w:r>
        <w:t xml:space="preserve"> (Beacon Press 1997).</w:t>
      </w:r>
    </w:p>
  </w:footnote>
  <w:footnote w:id="85">
    <w:p w14:paraId="0B68581C" w14:textId="77777777" w:rsidR="003A2AA0" w:rsidRDefault="00BF743F" w:rsidP="00F53BB1">
      <w:pPr>
        <w:pStyle w:val="FootnoteText"/>
        <w:suppressAutoHyphens/>
        <w:spacing w:after="80"/>
        <w:ind w:left="0" w:firstLine="0"/>
        <w:jc w:val="left"/>
      </w:pPr>
      <w:r>
        <w:rPr>
          <w:rStyle w:val="FootnoteReference"/>
        </w:rPr>
        <w:footnoteRef/>
      </w:r>
      <w:r>
        <w:t xml:space="preserve"> Madison, K, </w:t>
      </w:r>
      <w:r>
        <w:rPr>
          <w:i/>
          <w:iCs/>
        </w:rPr>
        <w:t>The Elephant in the Room: Socratic Method and the Marginalization of Women in Law School Classrooms</w:t>
      </w:r>
      <w:r>
        <w:t xml:space="preserve">, 17 SOUTHERN CALIFORNIA REVIEW OF </w:t>
      </w:r>
      <w:r>
        <w:rPr>
          <w:smallCaps/>
        </w:rPr>
        <w:t>Law and Women</w:t>
      </w:r>
      <w:r>
        <w:t>’S STUDIES 293, 326 (2008).</w:t>
      </w:r>
    </w:p>
  </w:footnote>
  <w:footnote w:id="86">
    <w:p w14:paraId="3D08D2DC" w14:textId="77777777" w:rsidR="003A2AA0" w:rsidRDefault="00BF743F" w:rsidP="00F53BB1">
      <w:pPr>
        <w:pStyle w:val="FootnoteText"/>
        <w:suppressAutoHyphens/>
        <w:spacing w:after="80"/>
        <w:ind w:left="0" w:firstLine="0"/>
        <w:jc w:val="left"/>
      </w:pPr>
      <w:r>
        <w:rPr>
          <w:rStyle w:val="FootnoteReference"/>
        </w:rPr>
        <w:footnoteRef/>
      </w:r>
      <w:r>
        <w:t xml:space="preserve"> Jennifer Jolly-Ryan, </w:t>
      </w:r>
      <w:r>
        <w:rPr>
          <w:i/>
          <w:iCs/>
        </w:rPr>
        <w:t>Disabilities to Exceptional Abilities: Law Students with Disabilities, Nontraditional Learners, and the Law Teacher as a Learner</w:t>
      </w:r>
      <w:r>
        <w:t xml:space="preserve">, 6 </w:t>
      </w:r>
      <w:r>
        <w:rPr>
          <w:smallCaps/>
        </w:rPr>
        <w:t>Nevada Law Journal</w:t>
      </w:r>
      <w:r>
        <w:t xml:space="preserve"> 116, 147 (2005).</w:t>
      </w:r>
    </w:p>
  </w:footnote>
  <w:footnote w:id="87">
    <w:p w14:paraId="168E0D9A" w14:textId="77777777" w:rsidR="003A2AA0" w:rsidRDefault="00BF743F" w:rsidP="00F53BB1">
      <w:pPr>
        <w:pStyle w:val="FootnoteText"/>
        <w:suppressAutoHyphens/>
        <w:spacing w:after="80"/>
        <w:ind w:left="0" w:firstLine="0"/>
        <w:jc w:val="left"/>
      </w:pPr>
      <w:r>
        <w:rPr>
          <w:rStyle w:val="FootnoteReference"/>
        </w:rPr>
        <w:footnoteRef/>
      </w:r>
      <w:r>
        <w:t xml:space="preserve"> Smith, M, </w:t>
      </w:r>
      <w:r>
        <w:rPr>
          <w:i/>
          <w:iCs/>
        </w:rPr>
        <w:t>Disabilities, Law Schools, and Law Students: A Proactive and Holistic Approach</w:t>
      </w:r>
      <w:r>
        <w:t xml:space="preserve">, 32 </w:t>
      </w:r>
      <w:r>
        <w:rPr>
          <w:smallCaps/>
        </w:rPr>
        <w:t>Akron Law Review</w:t>
      </w:r>
      <w:r>
        <w:t xml:space="preserve"> 857, 892 (1999).</w:t>
      </w:r>
    </w:p>
  </w:footnote>
  <w:footnote w:id="88">
    <w:p w14:paraId="62AC91F4" w14:textId="77777777" w:rsidR="003A2AA0" w:rsidRDefault="00BF743F" w:rsidP="00F53BB1">
      <w:pPr>
        <w:pStyle w:val="FootnoteText"/>
        <w:suppressAutoHyphens/>
        <w:spacing w:after="80"/>
        <w:ind w:left="0" w:firstLine="0"/>
        <w:jc w:val="left"/>
      </w:pPr>
      <w:r>
        <w:rPr>
          <w:rStyle w:val="FootnoteReference"/>
        </w:rPr>
        <w:footnoteRef/>
      </w:r>
      <w:r>
        <w:t xml:space="preserve"> Knowles, M., </w:t>
      </w:r>
      <w:r>
        <w:rPr>
          <w:smallCaps/>
        </w:rPr>
        <w:t>The Adult Learner: The Definitive Classic in Adult Education and Human Resource Development</w:t>
      </w:r>
      <w:r>
        <w:t xml:space="preserve"> (2015).</w:t>
      </w:r>
    </w:p>
  </w:footnote>
  <w:footnote w:id="89">
    <w:p w14:paraId="116822A6" w14:textId="77777777" w:rsidR="003A2AA0" w:rsidRDefault="00BF743F" w:rsidP="00F53BB1">
      <w:pPr>
        <w:pStyle w:val="FootnoteText"/>
        <w:suppressAutoHyphens/>
        <w:spacing w:after="80"/>
        <w:ind w:left="0" w:firstLine="0"/>
        <w:jc w:val="left"/>
      </w:pPr>
      <w:r>
        <w:rPr>
          <w:rStyle w:val="FootnoteReference"/>
        </w:rPr>
        <w:footnoteRef/>
      </w:r>
      <w:r>
        <w:t xml:space="preserve"> Madison, K, </w:t>
      </w:r>
      <w:r>
        <w:rPr>
          <w:i/>
          <w:iCs/>
        </w:rPr>
        <w:t>The Elephant in the Room: Socratic Method and the Marginalization of Women in Law School Classrooms</w:t>
      </w:r>
      <w:r>
        <w:t xml:space="preserve">, 17 SOUTHERN CALIFORNIA REVIEW OF </w:t>
      </w:r>
      <w:r>
        <w:rPr>
          <w:smallCaps/>
        </w:rPr>
        <w:t>Law and Women</w:t>
      </w:r>
      <w:r>
        <w:t>’S STUDIES 293, 326 (2008).</w:t>
      </w:r>
    </w:p>
  </w:footnote>
  <w:footnote w:id="90">
    <w:p w14:paraId="6305E816" w14:textId="77777777" w:rsidR="003A2AA0" w:rsidRDefault="00BF743F" w:rsidP="00F53BB1">
      <w:pPr>
        <w:pStyle w:val="FootnoteText"/>
        <w:suppressAutoHyphens/>
        <w:spacing w:after="80"/>
        <w:ind w:left="0" w:firstLine="0"/>
        <w:jc w:val="left"/>
      </w:pPr>
      <w:r>
        <w:rPr>
          <w:rStyle w:val="FootnoteReference"/>
        </w:rPr>
        <w:footnoteRef/>
      </w:r>
      <w:r>
        <w:t xml:space="preserve"> Guinier, L., Fine, M. &amp; Balin, J, </w:t>
      </w:r>
      <w:r>
        <w:rPr>
          <w:smallCaps/>
        </w:rPr>
        <w:t>Becoming Gentlemen: Women, Law School, and Institutional Change</w:t>
      </w:r>
      <w:r>
        <w:t xml:space="preserve"> (Beacon Press 1997).</w:t>
      </w:r>
    </w:p>
  </w:footnote>
  <w:footnote w:id="91">
    <w:p w14:paraId="74A56D27" w14:textId="77777777" w:rsidR="003A2AA0" w:rsidRDefault="00BF743F" w:rsidP="00F53BB1">
      <w:pPr>
        <w:pStyle w:val="FootnoteText"/>
        <w:suppressAutoHyphens/>
        <w:spacing w:after="80"/>
        <w:ind w:left="0" w:firstLine="0"/>
        <w:jc w:val="left"/>
      </w:pPr>
      <w:r>
        <w:rPr>
          <w:rStyle w:val="FootnoteReference"/>
        </w:rPr>
        <w:footnoteRef/>
      </w:r>
      <w:r>
        <w:t xml:space="preserve"> Mertz, E, </w:t>
      </w:r>
      <w:r>
        <w:rPr>
          <w:smallCaps/>
        </w:rPr>
        <w:t>The Language of Law School: Learning to “Think Like a Lawyer”</w:t>
      </w:r>
      <w:r>
        <w:t xml:space="preserve"> (Oxford University Press 2007).</w:t>
      </w:r>
    </w:p>
  </w:footnote>
  <w:footnote w:id="92">
    <w:p w14:paraId="09597738" w14:textId="77777777" w:rsidR="003A2AA0" w:rsidRDefault="00BF743F" w:rsidP="00F53BB1">
      <w:pPr>
        <w:pStyle w:val="FootnoteText"/>
        <w:suppressAutoHyphens/>
        <w:spacing w:after="80"/>
        <w:ind w:left="0" w:firstLine="0"/>
        <w:jc w:val="left"/>
      </w:pPr>
      <w:r>
        <w:rPr>
          <w:rStyle w:val="FootnoteReference"/>
        </w:rPr>
        <w:footnoteRef/>
      </w:r>
      <w:r>
        <w:t xml:space="preserve"> Madison, K, </w:t>
      </w:r>
      <w:r>
        <w:rPr>
          <w:i/>
          <w:iCs/>
        </w:rPr>
        <w:t>The Elephant in the Room: Socratic Method and the Marginalization of Women in Law School Classrooms</w:t>
      </w:r>
      <w:r>
        <w:t xml:space="preserve">, 17 SOUTHERN CALIFORNIA REVIEW OF </w:t>
      </w:r>
      <w:r>
        <w:rPr>
          <w:smallCaps/>
        </w:rPr>
        <w:t>Law and Women</w:t>
      </w:r>
      <w:r>
        <w:t>’S STUDIES 293, 326 (2008).</w:t>
      </w:r>
    </w:p>
  </w:footnote>
  <w:footnote w:id="93">
    <w:p w14:paraId="483F512C" w14:textId="77777777" w:rsidR="003A2AA0" w:rsidRDefault="00BF743F" w:rsidP="00F53BB1">
      <w:pPr>
        <w:pStyle w:val="FootnoteText"/>
        <w:suppressAutoHyphens/>
        <w:spacing w:after="80"/>
        <w:ind w:left="0" w:firstLine="0"/>
        <w:jc w:val="left"/>
      </w:pPr>
      <w:r>
        <w:rPr>
          <w:rStyle w:val="FootnoteReference"/>
        </w:rPr>
        <w:footnoteRef/>
      </w:r>
      <w:r>
        <w:t xml:space="preserve"> Guinier, L., Fine, M. &amp; Balin, J, </w:t>
      </w:r>
      <w:r>
        <w:rPr>
          <w:smallCaps/>
        </w:rPr>
        <w:t>Becoming Gentlemen: Women, Law School, and Institutional Change</w:t>
      </w:r>
      <w:r>
        <w:t xml:space="preserve"> (Beacon Press 1997).</w:t>
      </w:r>
    </w:p>
  </w:footnote>
  <w:footnote w:id="94">
    <w:p w14:paraId="4019D6CE" w14:textId="77777777" w:rsidR="003A2AA0" w:rsidRDefault="00BF743F" w:rsidP="00F53BB1">
      <w:pPr>
        <w:pStyle w:val="FootnoteText"/>
        <w:suppressAutoHyphens/>
        <w:spacing w:after="80"/>
        <w:ind w:left="0" w:firstLine="0"/>
        <w:jc w:val="left"/>
      </w:pPr>
      <w:r>
        <w:rPr>
          <w:rStyle w:val="FootnoteReference"/>
        </w:rPr>
        <w:footnoteRef/>
      </w:r>
      <w:r>
        <w:t xml:space="preserve"> American Bar Association, </w:t>
      </w:r>
      <w:r>
        <w:rPr>
          <w:smallCaps/>
        </w:rPr>
        <w:t>ABA Standards and Rules of Procedure for Approval of Law Schools</w:t>
      </w:r>
      <w:r>
        <w:t xml:space="preserve"> 2023-2024 (https://www 2023).</w:t>
      </w:r>
    </w:p>
  </w:footnote>
  <w:footnote w:id="95">
    <w:p w14:paraId="3A52842A" w14:textId="77777777" w:rsidR="003A2AA0" w:rsidRDefault="00BF743F" w:rsidP="00F53BB1">
      <w:pPr>
        <w:pStyle w:val="FootnoteText"/>
        <w:suppressAutoHyphens/>
        <w:spacing w:after="80"/>
        <w:ind w:left="0" w:firstLine="0"/>
        <w:jc w:val="left"/>
      </w:pPr>
      <w:r>
        <w:rPr>
          <w:rStyle w:val="FootnoteReference"/>
        </w:rPr>
        <w:footnoteRef/>
      </w:r>
      <w:r>
        <w:t xml:space="preserve"> Elizabeth Mertz, Ann Tait &amp; Ronald Anderson, </w:t>
      </w:r>
      <w:r>
        <w:rPr>
          <w:i/>
          <w:iCs/>
        </w:rPr>
        <w:t>The Role of Social Science in Law</w:t>
      </w:r>
      <w:r>
        <w:t xml:space="preserve">, 6 </w:t>
      </w:r>
      <w:r>
        <w:rPr>
          <w:smallCaps/>
        </w:rPr>
        <w:t>Annual Review of Law and Social Science</w:t>
      </w:r>
      <w:r>
        <w:t xml:space="preserve"> 433, 457 (2010).</w:t>
      </w:r>
    </w:p>
  </w:footnote>
  <w:footnote w:id="96">
    <w:p w14:paraId="0AA5053F" w14:textId="77777777" w:rsidR="003A2AA0" w:rsidRDefault="00BF743F" w:rsidP="00F53BB1">
      <w:pPr>
        <w:pStyle w:val="FootnoteText"/>
        <w:suppressAutoHyphens/>
        <w:spacing w:after="80"/>
        <w:ind w:left="0" w:firstLine="0"/>
        <w:jc w:val="left"/>
      </w:pPr>
      <w:r>
        <w:rPr>
          <w:rStyle w:val="FootnoteReference"/>
        </w:rPr>
        <w:footnoteRef/>
      </w:r>
      <w:r>
        <w:t xml:space="preserve"> Richard O. Lempert, David L. Chambers &amp; Terry K. Adams, </w:t>
      </w:r>
      <w:r>
        <w:rPr>
          <w:i/>
          <w:iCs/>
        </w:rPr>
        <w:t>Michigan’s Minority Graduates in Practice: The River Runs Through Law School</w:t>
      </w:r>
      <w:r>
        <w:t xml:space="preserve">, 25 </w:t>
      </w:r>
      <w:r>
        <w:rPr>
          <w:smallCaps/>
        </w:rPr>
        <w:t>Law &amp; Social Inquiry</w:t>
      </w:r>
      <w:r>
        <w:t xml:space="preserve"> 395, 505 (2000).</w:t>
      </w:r>
    </w:p>
  </w:footnote>
  <w:footnote w:id="97">
    <w:p w14:paraId="77C6E806" w14:textId="77777777" w:rsidR="003A2AA0" w:rsidRDefault="00BF743F" w:rsidP="00F53BB1">
      <w:pPr>
        <w:pStyle w:val="FootnoteText"/>
        <w:suppressAutoHyphens/>
        <w:spacing w:after="80"/>
        <w:ind w:left="0" w:firstLine="0"/>
        <w:jc w:val="left"/>
      </w:pPr>
      <w:r>
        <w:rPr>
          <w:rStyle w:val="FootnoteReference"/>
        </w:rPr>
        <w:footnoteRef/>
      </w:r>
      <w:r>
        <w:t xml:space="preserve"> Tracey E. George, </w:t>
      </w:r>
      <w:r>
        <w:rPr>
          <w:i/>
          <w:iCs/>
        </w:rPr>
        <w:t>Accessibility in Legal Education: The Need for Disability-Related Training in Law Schools</w:t>
      </w:r>
      <w:r>
        <w:t xml:space="preserve">, 69 </w:t>
      </w:r>
      <w:r>
        <w:rPr>
          <w:smallCaps/>
        </w:rPr>
        <w:t>University of Pittsburgh Law Review</w:t>
      </w:r>
      <w:r>
        <w:t xml:space="preserve"> 509, 542 (2008).</w:t>
      </w:r>
    </w:p>
  </w:footnote>
  <w:footnote w:id="98">
    <w:p w14:paraId="24C0197B" w14:textId="77777777" w:rsidR="003A2AA0" w:rsidRDefault="00BF743F" w:rsidP="00F53BB1">
      <w:pPr>
        <w:pStyle w:val="FootnoteText"/>
        <w:suppressAutoHyphens/>
        <w:spacing w:after="80"/>
        <w:ind w:left="0" w:firstLine="0"/>
        <w:jc w:val="left"/>
      </w:pPr>
      <w:r>
        <w:rPr>
          <w:rStyle w:val="FootnoteReference"/>
        </w:rPr>
        <w:footnoteRef/>
      </w:r>
      <w:r>
        <w:t xml:space="preserve"> Ruth Colker, </w:t>
      </w:r>
      <w:r>
        <w:rPr>
          <w:i/>
          <w:iCs/>
        </w:rPr>
        <w:t>The Disability Integration Presumption: Thirty Years Later</w:t>
      </w:r>
      <w:r>
        <w:t xml:space="preserve">, 154 </w:t>
      </w:r>
      <w:r>
        <w:rPr>
          <w:smallCaps/>
        </w:rPr>
        <w:t>University of Pennsylvania Law Review</w:t>
      </w:r>
      <w:r>
        <w:t xml:space="preserve"> 789, 862 (2006).</w:t>
      </w:r>
    </w:p>
  </w:footnote>
  <w:footnote w:id="99">
    <w:p w14:paraId="789E3B5A" w14:textId="77777777" w:rsidR="003A2AA0" w:rsidRDefault="00BF743F" w:rsidP="00F53BB1">
      <w:pPr>
        <w:pStyle w:val="FootnoteText"/>
        <w:suppressAutoHyphens/>
        <w:spacing w:after="80"/>
        <w:ind w:left="0" w:firstLine="0"/>
        <w:jc w:val="left"/>
      </w:pPr>
      <w:r>
        <w:rPr>
          <w:rStyle w:val="FootnoteReference"/>
        </w:rPr>
        <w:footnoteRef/>
      </w:r>
      <w:r>
        <w:t xml:space="preserve"> Kruger, J. &amp; Dunning, D, </w:t>
      </w:r>
      <w:r>
        <w:rPr>
          <w:i/>
          <w:iCs/>
        </w:rPr>
        <w:t>Unskilled and Unaware of It: How Difficulties in Recognizing One’s Own Incompetence Lead to Inflated Self-Assessments</w:t>
      </w:r>
      <w:r>
        <w:t xml:space="preserve">, 77 </w:t>
      </w:r>
      <w:r>
        <w:rPr>
          <w:smallCaps/>
        </w:rPr>
        <w:t>Journal of Personality and Social Psychology</w:t>
      </w:r>
      <w:r>
        <w:t xml:space="preserve"> 1121, 1134 (1999).</w:t>
      </w:r>
    </w:p>
  </w:footnote>
  <w:footnote w:id="100">
    <w:p w14:paraId="6957EA52" w14:textId="77777777" w:rsidR="003A2AA0" w:rsidRDefault="00BF743F" w:rsidP="00F53BB1">
      <w:pPr>
        <w:pStyle w:val="FootnoteText"/>
        <w:suppressAutoHyphens/>
        <w:spacing w:after="80"/>
        <w:ind w:left="0" w:firstLine="0"/>
        <w:jc w:val="left"/>
      </w:pPr>
      <w:r>
        <w:rPr>
          <w:rStyle w:val="FootnoteReference"/>
        </w:rPr>
        <w:footnoteRef/>
      </w:r>
      <w:r>
        <w:t xml:space="preserve"> J.R.R. Tolkien, </w:t>
      </w:r>
      <w:r>
        <w:rPr>
          <w:smallCaps/>
        </w:rPr>
        <w:t>The Fellowship of the Ring</w:t>
      </w:r>
      <w:r>
        <w:t xml:space="preserve"> 390-415 (George Allen &amp; Unwin 1954). Tolkien’s Boromir is a figure of genuine courage and competence whose tragedy lies precisely in his inability to recognize the boundary between his domain of expertise and a domain governed by different principles.</w:t>
      </w:r>
    </w:p>
  </w:footnote>
  <w:footnote w:id="101">
    <w:p w14:paraId="6CC54AF1" w14:textId="77777777" w:rsidR="003A2AA0" w:rsidRDefault="00BF743F" w:rsidP="00F53BB1">
      <w:pPr>
        <w:pStyle w:val="FootnoteText"/>
        <w:suppressAutoHyphens/>
        <w:spacing w:after="80"/>
        <w:ind w:left="0" w:firstLine="0"/>
        <w:jc w:val="left"/>
      </w:pPr>
      <w:r>
        <w:rPr>
          <w:rStyle w:val="FootnoteReference"/>
        </w:rPr>
        <w:footnoteRef/>
      </w:r>
      <w:r>
        <w:t xml:space="preserve"> Maimonides, M., </w:t>
      </w:r>
      <w:r>
        <w:rPr>
          <w:smallCaps/>
        </w:rPr>
        <w:t>The Guide for the Perplexed</w:t>
      </w:r>
      <w:r>
        <w:t xml:space="preserve"> (1963).</w:t>
      </w:r>
    </w:p>
  </w:footnote>
  <w:footnote w:id="102">
    <w:p w14:paraId="67D8E2C1" w14:textId="77777777" w:rsidR="003A2AA0" w:rsidRDefault="00BF743F" w:rsidP="00F53BB1">
      <w:pPr>
        <w:pStyle w:val="FootnoteText"/>
        <w:suppressAutoHyphens/>
        <w:spacing w:after="80"/>
        <w:ind w:left="0" w:firstLine="0"/>
        <w:jc w:val="left"/>
      </w:pPr>
      <w:r>
        <w:rPr>
          <w:rStyle w:val="FootnoteReference"/>
        </w:rPr>
        <w:footnoteRef/>
      </w:r>
      <w:r>
        <w:t xml:space="preserve"> Maimonides, M., </w:t>
      </w:r>
      <w:r>
        <w:rPr>
          <w:smallCaps/>
        </w:rPr>
        <w:t>The Guide for the Perplexed</w:t>
      </w:r>
      <w:r>
        <w:t xml:space="preserve"> (1963).</w:t>
      </w:r>
    </w:p>
  </w:footnote>
  <w:footnote w:id="103">
    <w:p w14:paraId="067FF2D7" w14:textId="77777777" w:rsidR="003A2AA0" w:rsidRDefault="00BF743F" w:rsidP="00F53BB1">
      <w:pPr>
        <w:pStyle w:val="FootnoteText"/>
        <w:suppressAutoHyphens/>
        <w:spacing w:after="80"/>
        <w:ind w:left="0" w:firstLine="0"/>
        <w:jc w:val="left"/>
      </w:pPr>
      <w:r>
        <w:rPr>
          <w:rStyle w:val="FootnoteReference"/>
        </w:rPr>
        <w:footnoteRef/>
      </w:r>
      <w:r>
        <w:t xml:space="preserve"> Maimonides, M., </w:t>
      </w:r>
      <w:r>
        <w:rPr>
          <w:smallCaps/>
        </w:rPr>
        <w:t>The Guide for the Perplexed</w:t>
      </w:r>
      <w:r>
        <w:t xml:space="preserve"> (1963).</w:t>
      </w:r>
    </w:p>
  </w:footnote>
  <w:footnote w:id="104">
    <w:p w14:paraId="7593C4B8" w14:textId="77777777" w:rsidR="003A2AA0" w:rsidRDefault="00BF743F" w:rsidP="00F53BB1">
      <w:pPr>
        <w:pStyle w:val="FootnoteText"/>
        <w:suppressAutoHyphens/>
        <w:spacing w:after="80"/>
        <w:ind w:left="0" w:firstLine="0"/>
        <w:jc w:val="left"/>
      </w:pPr>
      <w:r>
        <w:rPr>
          <w:rStyle w:val="FootnoteReference"/>
        </w:rPr>
        <w:footnoteRef/>
      </w:r>
      <w:r>
        <w:t xml:space="preserve"> Thomas Aquinas, </w:t>
      </w:r>
      <w:r>
        <w:rPr>
          <w:i/>
          <w:iCs/>
        </w:rPr>
        <w:t>Summa Theologiae</w:t>
      </w:r>
      <w:r>
        <w:t xml:space="preserve"> pt. I-II, q. 1 (Fathers of the English Dominican Province trans., Benziger Bros. 1947).</w:t>
      </w:r>
    </w:p>
  </w:footnote>
  <w:footnote w:id="105">
    <w:p w14:paraId="40EEC3E6" w14:textId="77777777" w:rsidR="003A2AA0" w:rsidRDefault="00BF743F" w:rsidP="00F53BB1">
      <w:pPr>
        <w:pStyle w:val="FootnoteText"/>
        <w:suppressAutoHyphens/>
        <w:spacing w:after="80"/>
        <w:ind w:left="0" w:firstLine="0"/>
        <w:jc w:val="left"/>
      </w:pPr>
      <w:r>
        <w:rPr>
          <w:rStyle w:val="FootnoteReference"/>
        </w:rPr>
        <w:footnoteRef/>
      </w:r>
      <w:r>
        <w:t xml:space="preserve"> The Summa Theologiae (1265-1274) was composed in three main parts, with the </w:t>
      </w:r>
      <w:r>
        <w:rPr>
          <w:i/>
          <w:iCs/>
        </w:rPr>
        <w:t>Pars Prima</w:t>
      </w:r>
      <w:r>
        <w:t xml:space="preserve"> and </w:t>
      </w:r>
      <w:r>
        <w:rPr>
          <w:i/>
          <w:iCs/>
        </w:rPr>
        <w:t>Pars Prima Secundae</w:t>
      </w:r>
      <w:r>
        <w:t xml:space="preserve"> most directly engaging the epistemological structure of instruction. The citation here follows the standard Benziger Brothers translation (1947), which uses “order of teaching” for </w:t>
      </w:r>
      <w:r>
        <w:rPr>
          <w:i/>
          <w:iCs/>
        </w:rPr>
        <w:t>ordo doctrinae</w:t>
      </w:r>
      <w:r>
        <w:t xml:space="preserve">. Norman Kretzmann and Eleonore Stump have argued that Aquinas’s epistemological order applies beyond theology to any domain of disciplined inquiry in which foundational principles are logically prior to derived conclusions. </w:t>
      </w:r>
      <w:r>
        <w:rPr>
          <w:i/>
          <w:iCs/>
        </w:rPr>
        <w:t>See</w:t>
      </w:r>
      <w:r>
        <w:t xml:space="preserve"> Norman Kretzmann &amp; Eleonore Stump, </w:t>
      </w:r>
      <w:r>
        <w:rPr>
          <w:i/>
          <w:iCs/>
        </w:rPr>
        <w:t>The Cambridge Companion to Aquinas</w:t>
      </w:r>
      <w:r>
        <w:t xml:space="preserve"> 1-26 (1993).</w:t>
      </w:r>
    </w:p>
  </w:footnote>
  <w:footnote w:id="106">
    <w:p w14:paraId="22DE2E8A" w14:textId="77777777" w:rsidR="003A2AA0" w:rsidRDefault="00BF743F" w:rsidP="00F53BB1">
      <w:pPr>
        <w:pStyle w:val="FootnoteText"/>
        <w:suppressAutoHyphens/>
        <w:spacing w:after="80"/>
        <w:ind w:left="0" w:firstLine="0"/>
        <w:jc w:val="left"/>
      </w:pPr>
      <w:r>
        <w:rPr>
          <w:rStyle w:val="FootnoteReference"/>
        </w:rPr>
        <w:footnoteRef/>
      </w:r>
      <w:r>
        <w:t xml:space="preserve"> </w:t>
      </w:r>
      <w:r>
        <w:rPr>
          <w:i/>
          <w:iCs/>
        </w:rPr>
        <w:t>Id.</w:t>
      </w:r>
      <w:r>
        <w:t xml:space="preserve"> at pt. I, q. 1, art. 1 (distinguishing the order of teaching from the order of being and the order of knowing, and arguing that instruction must follow the student’s capacity to receive it).</w:t>
      </w:r>
    </w:p>
  </w:footnote>
  <w:footnote w:id="107">
    <w:p w14:paraId="40AC31C2" w14:textId="77777777" w:rsidR="003A2AA0" w:rsidRDefault="00BF743F" w:rsidP="00F53BB1">
      <w:pPr>
        <w:pStyle w:val="FootnoteText"/>
        <w:suppressAutoHyphens/>
        <w:spacing w:after="80"/>
        <w:ind w:left="0" w:firstLine="0"/>
        <w:jc w:val="left"/>
      </w:pPr>
      <w:r>
        <w:rPr>
          <w:rStyle w:val="FootnoteReference"/>
        </w:rPr>
        <w:footnoteRef/>
      </w:r>
      <w:r>
        <w:t xml:space="preserve"> </w:t>
      </w:r>
      <w:r>
        <w:rPr>
          <w:i/>
          <w:iCs/>
        </w:rPr>
        <w:t>Id.</w:t>
      </w:r>
      <w:r>
        <w:t xml:space="preserve"> at pt. I, q. 1, art. 2.</w:t>
      </w:r>
    </w:p>
  </w:footnote>
  <w:footnote w:id="108">
    <w:p w14:paraId="28FDC036" w14:textId="77777777" w:rsidR="003A2AA0" w:rsidRDefault="00BF743F" w:rsidP="00F53BB1">
      <w:pPr>
        <w:pStyle w:val="FootnoteText"/>
        <w:suppressAutoHyphens/>
        <w:spacing w:after="80"/>
        <w:ind w:left="0" w:firstLine="0"/>
        <w:jc w:val="left"/>
      </w:pPr>
      <w:r>
        <w:rPr>
          <w:rStyle w:val="FootnoteReference"/>
        </w:rPr>
        <w:footnoteRef/>
      </w:r>
      <w:r>
        <w:t xml:space="preserve"> </w:t>
      </w:r>
      <w:r>
        <w:rPr>
          <w:i/>
          <w:iCs/>
        </w:rPr>
        <w:t>Id.</w:t>
      </w:r>
      <w:r>
        <w:t xml:space="preserve"> at pt. I-II, q. 6, art. 1.</w:t>
      </w:r>
    </w:p>
  </w:footnote>
  <w:footnote w:id="109">
    <w:p w14:paraId="29C39E34" w14:textId="77777777" w:rsidR="003A2AA0" w:rsidRDefault="00BF743F" w:rsidP="00F53BB1">
      <w:pPr>
        <w:pStyle w:val="FootnoteText"/>
        <w:suppressAutoHyphens/>
        <w:spacing w:after="80"/>
        <w:ind w:left="0" w:firstLine="0"/>
        <w:jc w:val="left"/>
      </w:pPr>
      <w:r>
        <w:rPr>
          <w:rStyle w:val="FootnoteReference"/>
        </w:rPr>
        <w:footnoteRef/>
      </w:r>
      <w:r>
        <w:t xml:space="preserve"> </w:t>
      </w:r>
      <w:r>
        <w:rPr>
          <w:i/>
          <w:iCs/>
        </w:rPr>
        <w:t>Id.</w:t>
      </w:r>
    </w:p>
  </w:footnote>
  <w:footnote w:id="110">
    <w:p w14:paraId="5098E869" w14:textId="77777777" w:rsidR="003A2AA0" w:rsidRDefault="00BF743F" w:rsidP="00F53BB1">
      <w:pPr>
        <w:pStyle w:val="FootnoteText"/>
        <w:suppressAutoHyphens/>
        <w:spacing w:after="80"/>
        <w:ind w:left="0" w:firstLine="0"/>
        <w:jc w:val="left"/>
      </w:pPr>
      <w:r>
        <w:rPr>
          <w:rStyle w:val="FootnoteReference"/>
        </w:rPr>
        <w:footnoteRef/>
      </w:r>
      <w:r>
        <w:t xml:space="preserve"> Dunning, D, The Dunning-Kruger effect: On being ignorant of one’s own ignorance, 44 </w:t>
      </w:r>
      <w:r>
        <w:rPr>
          <w:smallCaps/>
        </w:rPr>
        <w:t>Advances in Experimental Social Psychology</w:t>
      </w:r>
      <w:r>
        <w:t xml:space="preserve"> 247, 296 (2011).</w:t>
      </w:r>
    </w:p>
  </w:footnote>
  <w:footnote w:id="111">
    <w:p w14:paraId="1518F4D7" w14:textId="77777777" w:rsidR="003A2AA0" w:rsidRDefault="00BF743F" w:rsidP="00F53BB1">
      <w:pPr>
        <w:pStyle w:val="FootnoteText"/>
        <w:suppressAutoHyphens/>
        <w:spacing w:after="80"/>
        <w:ind w:left="0" w:firstLine="0"/>
        <w:jc w:val="left"/>
      </w:pPr>
      <w:r>
        <w:rPr>
          <w:rStyle w:val="FootnoteReference"/>
        </w:rPr>
        <w:footnoteRef/>
      </w:r>
      <w:r>
        <w:t xml:space="preserve"> Bjork, E. L. &amp; Bjork, R. A, Making things hard on yourself, but in a good way: Creating desirable difficulties to enhance learning, in Psychology and the Real World: Essays Illustrating Fundamental Contributions to Society 56, 64 (Worth Publishers 2011).</w:t>
      </w:r>
    </w:p>
  </w:footnote>
  <w:footnote w:id="112">
    <w:p w14:paraId="797596C5" w14:textId="77777777" w:rsidR="003A2AA0" w:rsidRDefault="00BF743F" w:rsidP="00F53BB1">
      <w:pPr>
        <w:pStyle w:val="FootnoteText"/>
        <w:suppressAutoHyphens/>
        <w:spacing w:after="80"/>
        <w:ind w:left="0" w:firstLine="0"/>
        <w:jc w:val="left"/>
      </w:pPr>
      <w:r>
        <w:rPr>
          <w:rStyle w:val="FootnoteReference"/>
        </w:rPr>
        <w:footnoteRef/>
      </w:r>
      <w:r>
        <w:t xml:space="preserve"> The analysis here is compatible with schema theory in cognitive psychology, which holds that new information can only be encoded in relation to existing cognitive structures (schemas), but that existing schemas can also block the acquisition of new structures when the existing schema is sufficiently developed. </w:t>
      </w:r>
      <w:r>
        <w:rPr>
          <w:i/>
          <w:iCs/>
        </w:rPr>
        <w:t>See</w:t>
      </w:r>
      <w:r>
        <w:t xml:space="preserve"> Frederic Bartlett, </w:t>
      </w:r>
      <w:r>
        <w:rPr>
          <w:smallCaps/>
        </w:rPr>
        <w:t>Remembering: A Study in Experimental and Social Psychology</w:t>
      </w:r>
      <w:r>
        <w:t xml:space="preserve"> 199-214 (1932); John Anderson, </w:t>
      </w:r>
      <w:r>
        <w:rPr>
          <w:smallCaps/>
        </w:rPr>
        <w:t>The Architecture of Cognition</w:t>
      </w:r>
      <w:r>
        <w:t xml:space="preserve"> 55-80 (1983). The operational knowledge schema is precisely the kind of developed existing structure that schema theory predicts will resist displacement. The Valley of Despair, on this account, is the experience of schema conflict, in which the learner must choose between the existing operational schema and the newly encountered doctrinal schema. The resolution of that conflict in favor of the doctrinal schema is what constitutes learning.</w:t>
      </w:r>
    </w:p>
  </w:footnote>
  <w:footnote w:id="113">
    <w:p w14:paraId="2F260C63" w14:textId="77777777" w:rsidR="003A2AA0" w:rsidRDefault="00BF743F" w:rsidP="00F53BB1">
      <w:pPr>
        <w:pStyle w:val="FootnoteText"/>
        <w:suppressAutoHyphens/>
        <w:spacing w:after="80"/>
        <w:ind w:left="0" w:firstLine="0"/>
        <w:jc w:val="left"/>
      </w:pPr>
      <w:r>
        <w:rPr>
          <w:rStyle w:val="FootnoteReference"/>
        </w:rPr>
        <w:footnoteRef/>
      </w:r>
      <w:r>
        <w:t xml:space="preserve"> Yvonne M. Dutton, </w:t>
      </w:r>
      <w:r>
        <w:rPr>
          <w:i/>
          <w:iCs/>
        </w:rPr>
        <w:t>Commitment, Culture, and Context: An Empirical Study of Student Attrition in Online Legal Education</w:t>
      </w:r>
      <w:r>
        <w:t xml:space="preserve">, 67 </w:t>
      </w:r>
      <w:r>
        <w:rPr>
          <w:smallCaps/>
        </w:rPr>
        <w:t>Journal of Legal Education</w:t>
      </w:r>
      <w:r>
        <w:t xml:space="preserve"> 63, 108 (2016).</w:t>
      </w:r>
    </w:p>
  </w:footnote>
  <w:footnote w:id="114">
    <w:p w14:paraId="61B5FF5D" w14:textId="77777777" w:rsidR="003A2AA0" w:rsidRDefault="00BF743F" w:rsidP="00F53BB1">
      <w:pPr>
        <w:pStyle w:val="FootnoteText"/>
        <w:suppressAutoHyphens/>
        <w:spacing w:after="80"/>
        <w:ind w:left="0" w:firstLine="0"/>
        <w:jc w:val="left"/>
      </w:pPr>
      <w:r>
        <w:rPr>
          <w:rStyle w:val="FootnoteReference"/>
        </w:rPr>
        <w:footnoteRef/>
      </w:r>
      <w:r>
        <w:t xml:space="preserve"> </w:t>
      </w:r>
      <w:r>
        <w:rPr>
          <w:i/>
          <w:iCs/>
        </w:rPr>
        <w:t>See</w:t>
      </w:r>
      <w:r>
        <w:t xml:space="preserve"> Gerald F. Hess, </w:t>
      </w:r>
      <w:r>
        <w:rPr>
          <w:i/>
          <w:iCs/>
        </w:rPr>
        <w:t>Heads and Hearts: The Teaching and Learning Environment in Law School</w:t>
      </w:r>
      <w:r>
        <w:t xml:space="preserve">, 52 </w:t>
      </w:r>
      <w:r>
        <w:rPr>
          <w:smallCaps/>
        </w:rPr>
        <w:t>Journal of Legal Education</w:t>
      </w:r>
      <w:r>
        <w:t xml:space="preserve"> 75, 95 (2002) (finding that students are least aware of their learning during the period of maximum discomfort, and most likely to attribute their struggles to teaching quality rather than to the learning process itself).</w:t>
      </w:r>
    </w:p>
  </w:footnote>
  <w:footnote w:id="115">
    <w:p w14:paraId="1E1284FA" w14:textId="77777777" w:rsidR="003A2AA0" w:rsidRDefault="00BF743F" w:rsidP="00F53BB1">
      <w:pPr>
        <w:pStyle w:val="FootnoteText"/>
        <w:suppressAutoHyphens/>
        <w:spacing w:after="80"/>
        <w:ind w:left="0" w:firstLine="0"/>
        <w:jc w:val="left"/>
      </w:pPr>
      <w:r>
        <w:rPr>
          <w:rStyle w:val="FootnoteReference"/>
        </w:rPr>
        <w:footnoteRef/>
      </w:r>
      <w:r>
        <w:t xml:space="preserve"> The problem is compounded by response rate dynamics in online programs. Course evaluations in online programs are often administered immediately following assessment results, when students are in the Valley. Response rates are typically highest among students with strong opinions, which disproportionately includes both very satisfied and very dissatisfied students. Students in the Valley are likely to be both dissatisfied and motivated to express that dissatisfaction. </w:t>
      </w:r>
      <w:r>
        <w:rPr>
          <w:i/>
          <w:iCs/>
        </w:rPr>
        <w:t>See</w:t>
      </w:r>
      <w:r>
        <w:t xml:space="preserve"> Patrick Stark &amp; Jason Freier, </w:t>
      </w:r>
      <w:r>
        <w:rPr>
          <w:i/>
          <w:iCs/>
        </w:rPr>
        <w:t>The Power of Course Evaluations: A Review of Administrative Uses and Implications</w:t>
      </w:r>
      <w:r>
        <w:t xml:space="preserve">, 36 </w:t>
      </w:r>
      <w:r>
        <w:rPr>
          <w:smallCaps/>
        </w:rPr>
        <w:t>Journal of Instructional Psychology</w:t>
      </w:r>
      <w:r>
        <w:t xml:space="preserve"> 232, 240 (2009). An evaluation system that captures Valley-phase reactions thus systematically undercounts the long-term satisfaction of students who successfully navigate the Valley, because those students are often surveyed before the Valley has been traversed.</w:t>
      </w:r>
    </w:p>
  </w:footnote>
  <w:footnote w:id="116">
    <w:p w14:paraId="47843DC4" w14:textId="77777777" w:rsidR="003A2AA0" w:rsidRDefault="00BF743F" w:rsidP="00F53BB1">
      <w:pPr>
        <w:pStyle w:val="FootnoteText"/>
        <w:suppressAutoHyphens/>
        <w:spacing w:after="80"/>
        <w:ind w:left="0" w:firstLine="0"/>
        <w:jc w:val="left"/>
      </w:pPr>
      <w:r>
        <w:rPr>
          <w:rStyle w:val="FootnoteReference"/>
        </w:rPr>
        <w:footnoteRef/>
      </w:r>
      <w:r>
        <w:t xml:space="preserve"> Margaret A. Schulze, </w:t>
      </w:r>
      <w:r>
        <w:rPr>
          <w:i/>
          <w:iCs/>
        </w:rPr>
        <w:t>Desirable Difficulties in Legal Education</w:t>
      </w:r>
      <w:r>
        <w:t xml:space="preserve">, 69 </w:t>
      </w:r>
      <w:r>
        <w:rPr>
          <w:smallCaps/>
        </w:rPr>
        <w:t>Journal of Legal Education</w:t>
      </w:r>
      <w:r>
        <w:t xml:space="preserve"> 495, 528 (2020).</w:t>
      </w:r>
    </w:p>
  </w:footnote>
  <w:footnote w:id="117">
    <w:p w14:paraId="374264F7" w14:textId="77777777" w:rsidR="003A2AA0" w:rsidRDefault="00BF743F" w:rsidP="00F53BB1">
      <w:pPr>
        <w:pStyle w:val="FootnoteText"/>
        <w:suppressAutoHyphens/>
        <w:spacing w:after="80"/>
        <w:ind w:left="0" w:firstLine="0"/>
        <w:jc w:val="left"/>
      </w:pPr>
      <w:r>
        <w:rPr>
          <w:rStyle w:val="FootnoteReference"/>
        </w:rPr>
        <w:footnoteRef/>
      </w:r>
      <w:r>
        <w:t xml:space="preserve"> Yvonne M. Dutton, </w:t>
      </w:r>
      <w:r>
        <w:rPr>
          <w:i/>
          <w:iCs/>
        </w:rPr>
        <w:t>Commitment, Culture, and Context: An Empirical Study of Student Attrition in Online Legal Education</w:t>
      </w:r>
      <w:r>
        <w:t xml:space="preserve">, 67 </w:t>
      </w:r>
      <w:r>
        <w:rPr>
          <w:smallCaps/>
        </w:rPr>
        <w:t>Journal of Legal Education</w:t>
      </w:r>
      <w:r>
        <w:t xml:space="preserve"> 63, 108 (2016).</w:t>
      </w:r>
    </w:p>
  </w:footnote>
  <w:footnote w:id="118">
    <w:p w14:paraId="09282CA1" w14:textId="77777777" w:rsidR="003A2AA0" w:rsidRDefault="00BF743F" w:rsidP="00F53BB1">
      <w:pPr>
        <w:pStyle w:val="FootnoteText"/>
        <w:suppressAutoHyphens/>
        <w:spacing w:after="80"/>
        <w:ind w:left="0" w:firstLine="0"/>
        <w:jc w:val="left"/>
      </w:pPr>
      <w:r>
        <w:rPr>
          <w:rStyle w:val="FootnoteReference"/>
        </w:rPr>
        <w:footnoteRef/>
      </w:r>
      <w:r>
        <w:t xml:space="preserve"> Jerome M. Organ, David Jaffe &amp; Katherine M. Bender, </w:t>
      </w:r>
      <w:r>
        <w:rPr>
          <w:i/>
          <w:iCs/>
        </w:rPr>
        <w:t>Suffering in Silence:</w:t>
      </w:r>
      <w:r>
        <w:t xml:space="preserve"> The survey of law student well-being and the reluctance of law students to seek help for substance use and mental health concerns, 66 </w:t>
      </w:r>
      <w:r>
        <w:rPr>
          <w:smallCaps/>
        </w:rPr>
        <w:t>Journal of Legal Education</w:t>
      </w:r>
      <w:r>
        <w:t xml:space="preserve"> 116, 156 (2016).</w:t>
      </w:r>
    </w:p>
  </w:footnote>
  <w:footnote w:id="119">
    <w:p w14:paraId="6544C83F" w14:textId="77777777" w:rsidR="003A2AA0" w:rsidRDefault="00BF743F" w:rsidP="00F53BB1">
      <w:pPr>
        <w:pStyle w:val="FootnoteText"/>
        <w:suppressAutoHyphens/>
        <w:spacing w:after="80"/>
        <w:ind w:left="0" w:firstLine="0"/>
        <w:jc w:val="left"/>
      </w:pPr>
      <w:r>
        <w:rPr>
          <w:rStyle w:val="FootnoteReference"/>
        </w:rPr>
        <w:footnoteRef/>
      </w:r>
      <w:r>
        <w:t xml:space="preserve"> The bar passage implications of the accommodation problem are not merely theoretical. The NCBE has documented declining first-time bar passage rates at some online and hybrid programs, and several state bars have imposed additional scrutiny on graduates from programs with consistently low passage rates. </w:t>
      </w:r>
      <w:r>
        <w:rPr>
          <w:i/>
          <w:iCs/>
        </w:rPr>
        <w:t>See</w:t>
      </w:r>
      <w:r>
        <w:t xml:space="preserve"> Nat’l Conference of Bar Examiners, </w:t>
      </w:r>
      <w:r>
        <w:rPr>
          <w:smallCaps/>
        </w:rPr>
        <w:t>Testing and Practice</w:t>
      </w:r>
      <w:r>
        <w:t>: 2022 Statistics 14-18 (2023). The causal chain from accommodation to bar failure runs precisely through the Valley: a student who has been accommodated out of the Valley has doctrinal vocabulary without doctrinal knowledge, which is precisely what the bar examination is designed to test. Faculty who rationalize accommodation on student welfare grounds should consider that bar failure is itself a serious harm to student welfare.</w:t>
      </w:r>
    </w:p>
  </w:footnote>
  <w:footnote w:id="120">
    <w:p w14:paraId="1AC2F5BA" w14:textId="77777777" w:rsidR="003A2AA0" w:rsidRDefault="00BF743F" w:rsidP="00F53BB1">
      <w:pPr>
        <w:pStyle w:val="FootnoteText"/>
        <w:suppressAutoHyphens/>
        <w:spacing w:after="80"/>
        <w:ind w:left="0" w:firstLine="0"/>
        <w:jc w:val="left"/>
      </w:pPr>
      <w:r>
        <w:rPr>
          <w:rStyle w:val="FootnoteReference"/>
        </w:rPr>
        <w:footnoteRef/>
      </w:r>
      <w:r>
        <w:t xml:space="preserve"> William M. Sullivan, Anne Colby, Judith Wegner, Lloyd Bond &amp; Lee S. Shulman, </w:t>
      </w:r>
      <w:r>
        <w:rPr>
          <w:smallCaps/>
        </w:rPr>
        <w:t>Educating Lawyers: Preparation for the Profession of Law</w:t>
      </w:r>
      <w:r>
        <w:t xml:space="preserve"> (Jossey-Bass 2007).</w:t>
      </w:r>
    </w:p>
  </w:footnote>
  <w:footnote w:id="121">
    <w:p w14:paraId="44599612" w14:textId="77777777" w:rsidR="003A2AA0" w:rsidRDefault="00BF743F" w:rsidP="00F53BB1">
      <w:pPr>
        <w:pStyle w:val="FootnoteText"/>
        <w:suppressAutoHyphens/>
        <w:spacing w:after="80"/>
        <w:ind w:left="0" w:firstLine="0"/>
        <w:jc w:val="left"/>
      </w:pPr>
      <w:r>
        <w:rPr>
          <w:rStyle w:val="FootnoteReference"/>
        </w:rPr>
        <w:footnoteRef/>
      </w:r>
      <w:r>
        <w:t xml:space="preserve"> American Bar Association Section of Legal Education and Admissions to the Bar. (1992). Legal education and professional development, An educational continuum: Report of the Task Force on Law Schools and the Profession: Narrowing the Gap (MacCrate Report). American Bar Association.</w:t>
      </w:r>
    </w:p>
  </w:footnote>
  <w:footnote w:id="122">
    <w:p w14:paraId="3BDEFE8A" w14:textId="77777777" w:rsidR="003A2AA0" w:rsidRDefault="00BF743F" w:rsidP="00F53BB1">
      <w:pPr>
        <w:pStyle w:val="FootnoteText"/>
        <w:suppressAutoHyphens/>
        <w:spacing w:after="80"/>
        <w:ind w:left="0" w:firstLine="0"/>
        <w:jc w:val="left"/>
      </w:pPr>
      <w:r>
        <w:rPr>
          <w:rStyle w:val="FootnoteReference"/>
        </w:rPr>
        <w:footnoteRef/>
      </w:r>
      <w:r>
        <w:t xml:space="preserve"> Benjamin H. Barton, </w:t>
      </w:r>
      <w:r>
        <w:rPr>
          <w:smallCaps/>
        </w:rPr>
        <w:t>Glass Half Full: The Decline and Rebirth of the Legal Profession</w:t>
      </w:r>
      <w:r>
        <w:t xml:space="preserve"> (Oxford University Press 2015).</w:t>
      </w:r>
    </w:p>
  </w:footnote>
  <w:footnote w:id="123">
    <w:p w14:paraId="74D7D157" w14:textId="77777777" w:rsidR="003A2AA0" w:rsidRDefault="00BF743F" w:rsidP="00F53BB1">
      <w:pPr>
        <w:pStyle w:val="FootnoteText"/>
        <w:suppressAutoHyphens/>
        <w:spacing w:after="80"/>
        <w:ind w:left="0" w:firstLine="0"/>
        <w:jc w:val="left"/>
      </w:pPr>
      <w:r>
        <w:rPr>
          <w:rStyle w:val="FootnoteReference"/>
        </w:rPr>
        <w:footnoteRef/>
      </w:r>
      <w:r>
        <w:t xml:space="preserve"> Sullivan et al., </w:t>
      </w:r>
      <w:r>
        <w:rPr>
          <w:i/>
          <w:iCs/>
        </w:rPr>
        <w:t>supra</w:t>
      </w:r>
      <w:r>
        <w:t xml:space="preserve"> note 120.</w:t>
      </w:r>
    </w:p>
  </w:footnote>
  <w:footnote w:id="124">
    <w:p w14:paraId="1686F550" w14:textId="77777777" w:rsidR="003A2AA0" w:rsidRDefault="00BF743F" w:rsidP="00F53BB1">
      <w:pPr>
        <w:pStyle w:val="FootnoteText"/>
        <w:suppressAutoHyphens/>
        <w:spacing w:after="80"/>
        <w:ind w:left="0" w:firstLine="0"/>
        <w:jc w:val="left"/>
      </w:pPr>
      <w:r>
        <w:rPr>
          <w:rStyle w:val="FootnoteReference"/>
        </w:rPr>
        <w:footnoteRef/>
      </w:r>
      <w:r>
        <w:t xml:space="preserve"> Mertz, E, </w:t>
      </w:r>
      <w:r>
        <w:rPr>
          <w:smallCaps/>
        </w:rPr>
        <w:t>The Language of Law School: Learning to “Think Like a Lawyer”</w:t>
      </w:r>
      <w:r>
        <w:t xml:space="preserve"> (Oxford University Press 2007).</w:t>
      </w:r>
    </w:p>
  </w:footnote>
  <w:footnote w:id="125">
    <w:p w14:paraId="527DB788" w14:textId="77777777" w:rsidR="003A2AA0" w:rsidRDefault="00BF743F" w:rsidP="00F53BB1">
      <w:pPr>
        <w:pStyle w:val="FootnoteText"/>
        <w:suppressAutoHyphens/>
        <w:spacing w:after="80"/>
        <w:ind w:left="0" w:firstLine="0"/>
        <w:jc w:val="left"/>
      </w:pPr>
      <w:r>
        <w:rPr>
          <w:rStyle w:val="FootnoteReference"/>
        </w:rPr>
        <w:footnoteRef/>
      </w:r>
      <w:r>
        <w:t xml:space="preserve"> John Sweller, Jeroen J. G. van Merriënboer &amp; Fred Paas, </w:t>
      </w:r>
      <w:r>
        <w:rPr>
          <w:i/>
          <w:iCs/>
        </w:rPr>
        <w:t>Cognitive Architecture and Instructional Design</w:t>
      </w:r>
      <w:r>
        <w:t xml:space="preserve">, 10 </w:t>
      </w:r>
      <w:r>
        <w:rPr>
          <w:smallCaps/>
        </w:rPr>
        <w:t>Educational Psychology Review</w:t>
      </w:r>
      <w:r>
        <w:t xml:space="preserve"> 251, 296 (1998).</w:t>
      </w:r>
    </w:p>
  </w:footnote>
  <w:footnote w:id="126">
    <w:p w14:paraId="3BF6C276" w14:textId="77777777" w:rsidR="003A2AA0" w:rsidRDefault="00BF743F" w:rsidP="00F53BB1">
      <w:pPr>
        <w:pStyle w:val="FootnoteText"/>
        <w:suppressAutoHyphens/>
        <w:spacing w:after="80"/>
        <w:ind w:left="0" w:firstLine="0"/>
        <w:jc w:val="left"/>
      </w:pPr>
      <w:r>
        <w:rPr>
          <w:rStyle w:val="FootnoteReference"/>
        </w:rPr>
        <w:footnoteRef/>
      </w:r>
      <w:r>
        <w:t xml:space="preserve"> Tracey E. George, </w:t>
      </w:r>
      <w:r>
        <w:rPr>
          <w:i/>
          <w:iCs/>
        </w:rPr>
        <w:t>Accessibility in Legal Education: The Need for Disability-Related Training in Law Schools</w:t>
      </w:r>
      <w:r>
        <w:t xml:space="preserve">, 69 </w:t>
      </w:r>
      <w:r>
        <w:rPr>
          <w:smallCaps/>
        </w:rPr>
        <w:t>University of Pittsburgh Law Review</w:t>
      </w:r>
      <w:r>
        <w:t xml:space="preserve"> 509, 542 (2008).</w:t>
      </w:r>
    </w:p>
  </w:footnote>
  <w:footnote w:id="127">
    <w:p w14:paraId="048EEB7B" w14:textId="77777777" w:rsidR="003A2AA0" w:rsidRDefault="00BF743F" w:rsidP="00F53BB1">
      <w:pPr>
        <w:pStyle w:val="FootnoteText"/>
        <w:suppressAutoHyphens/>
        <w:spacing w:after="80"/>
        <w:ind w:left="0" w:firstLine="0"/>
        <w:jc w:val="left"/>
      </w:pPr>
      <w:r>
        <w:rPr>
          <w:rStyle w:val="FootnoteReference"/>
        </w:rPr>
        <w:footnoteRef/>
      </w:r>
      <w:r>
        <w:t xml:space="preserve"> Ruth Colker, </w:t>
      </w:r>
      <w:r>
        <w:rPr>
          <w:i/>
          <w:iCs/>
        </w:rPr>
        <w:t>The Disability Integration Presumption: Thirty Years Later</w:t>
      </w:r>
      <w:r>
        <w:t xml:space="preserve">, 154 </w:t>
      </w:r>
      <w:r>
        <w:rPr>
          <w:smallCaps/>
        </w:rPr>
        <w:t>University of Pennsylvania Law Review</w:t>
      </w:r>
      <w:r>
        <w:t xml:space="preserve"> 789, 862 (2006).</w:t>
      </w:r>
    </w:p>
  </w:footnote>
  <w:footnote w:id="128">
    <w:p w14:paraId="79EC9383" w14:textId="77777777" w:rsidR="003A2AA0" w:rsidRDefault="00BF743F" w:rsidP="00F53BB1">
      <w:pPr>
        <w:pStyle w:val="FootnoteText"/>
        <w:suppressAutoHyphens/>
        <w:spacing w:after="80"/>
        <w:ind w:left="0" w:firstLine="0"/>
        <w:jc w:val="left"/>
      </w:pPr>
      <w:r>
        <w:rPr>
          <w:rStyle w:val="FootnoteReference"/>
        </w:rPr>
        <w:footnoteRef/>
      </w:r>
      <w:r>
        <w:t xml:space="preserve"> Ruth Colker, </w:t>
      </w:r>
      <w:r>
        <w:rPr>
          <w:i/>
          <w:iCs/>
        </w:rPr>
        <w:t>Winning and Losing Under the Americans with Disabilities Act</w:t>
      </w:r>
      <w:r>
        <w:t xml:space="preserve">, 62 </w:t>
      </w:r>
      <w:r>
        <w:rPr>
          <w:smallCaps/>
        </w:rPr>
        <w:t>Ohio State Law Journal</w:t>
      </w:r>
      <w:r>
        <w:t xml:space="preserve"> 239, 284 (2011).</w:t>
      </w:r>
    </w:p>
  </w:footnote>
  <w:footnote w:id="129">
    <w:p w14:paraId="03E413E3" w14:textId="77777777" w:rsidR="003A2AA0" w:rsidRDefault="00BF743F" w:rsidP="00F53BB1">
      <w:pPr>
        <w:pStyle w:val="FootnoteText"/>
        <w:suppressAutoHyphens/>
        <w:spacing w:after="80"/>
        <w:ind w:left="0" w:firstLine="0"/>
        <w:jc w:val="left"/>
      </w:pPr>
      <w:r>
        <w:rPr>
          <w:rStyle w:val="FootnoteReference"/>
        </w:rPr>
        <w:footnoteRef/>
      </w:r>
      <w:r>
        <w:t xml:space="preserve"> Jennifer Jolly-Ryan, </w:t>
      </w:r>
      <w:r>
        <w:rPr>
          <w:i/>
          <w:iCs/>
        </w:rPr>
        <w:t>Disabilities to Exceptional Abilities: Law Students with Disabilities, Nontraditional Learners, and the Law Teacher as a Learner</w:t>
      </w:r>
      <w:r>
        <w:t xml:space="preserve">, 6 </w:t>
      </w:r>
      <w:r>
        <w:rPr>
          <w:smallCaps/>
        </w:rPr>
        <w:t>Nevada Law Journal</w:t>
      </w:r>
      <w:r>
        <w:t xml:space="preserve"> 116, 147 (2005).</w:t>
      </w:r>
    </w:p>
  </w:footnote>
  <w:footnote w:id="130">
    <w:p w14:paraId="5FDB925A" w14:textId="77777777" w:rsidR="003A2AA0" w:rsidRDefault="00BF743F" w:rsidP="00F53BB1">
      <w:pPr>
        <w:pStyle w:val="FootnoteText"/>
        <w:suppressAutoHyphens/>
        <w:spacing w:after="80"/>
        <w:ind w:left="0" w:firstLine="0"/>
        <w:jc w:val="left"/>
      </w:pPr>
      <w:r>
        <w:rPr>
          <w:rStyle w:val="FootnoteReference"/>
        </w:rPr>
        <w:footnoteRef/>
      </w:r>
      <w:r>
        <w:t xml:space="preserve"> Layne Anderson &amp; Lisa Bowers, </w:t>
      </w:r>
      <w:r>
        <w:rPr>
          <w:i/>
          <w:iCs/>
        </w:rPr>
        <w:t>Beyond the ADA: How Clinics Can Assist Law Students with ‘Non-Visible’ Disabilities to Bridge the Accommodations Gap Between Classroom and Practice</w:t>
      </w:r>
      <w:r>
        <w:t xml:space="preserve">, 15 </w:t>
      </w:r>
      <w:r>
        <w:rPr>
          <w:smallCaps/>
        </w:rPr>
        <w:t>Clinical Law Review</w:t>
      </w:r>
      <w:r>
        <w:t xml:space="preserve"> 1, 42 (2008).</w:t>
      </w:r>
    </w:p>
  </w:footnote>
  <w:footnote w:id="131">
    <w:p w14:paraId="058A6AF4" w14:textId="77777777" w:rsidR="003A2AA0" w:rsidRDefault="00BF743F" w:rsidP="00F53BB1">
      <w:pPr>
        <w:pStyle w:val="FootnoteText"/>
        <w:suppressAutoHyphens/>
        <w:spacing w:after="80"/>
        <w:ind w:left="0" w:firstLine="0"/>
        <w:jc w:val="left"/>
      </w:pPr>
      <w:r>
        <w:rPr>
          <w:rStyle w:val="FootnoteReference"/>
        </w:rPr>
        <w:footnoteRef/>
      </w:r>
      <w:r>
        <w:t xml:space="preserve"> Garrett Hardin, </w:t>
      </w:r>
      <w:r>
        <w:rPr>
          <w:i/>
          <w:iCs/>
        </w:rPr>
        <w:t>The Tragedy of the Commons</w:t>
      </w:r>
      <w:r>
        <w:t xml:space="preserve">, 162 </w:t>
      </w:r>
      <w:r>
        <w:rPr>
          <w:smallCaps/>
        </w:rPr>
        <w:t>Science</w:t>
      </w:r>
      <w:r>
        <w:t xml:space="preserve"> 1243, 1248 (1968).</w:t>
      </w:r>
    </w:p>
  </w:footnote>
  <w:footnote w:id="132">
    <w:p w14:paraId="2A35C777" w14:textId="77777777" w:rsidR="003A2AA0" w:rsidRDefault="00BF743F" w:rsidP="00F53BB1">
      <w:pPr>
        <w:pStyle w:val="FootnoteText"/>
        <w:suppressAutoHyphens/>
        <w:spacing w:after="80"/>
        <w:ind w:left="0" w:firstLine="0"/>
        <w:jc w:val="left"/>
      </w:pPr>
      <w:r>
        <w:rPr>
          <w:rStyle w:val="FootnoteReference"/>
        </w:rPr>
        <w:footnoteRef/>
      </w:r>
      <w:r>
        <w:t xml:space="preserve"> </w:t>
      </w:r>
      <w:r>
        <w:rPr>
          <w:i/>
          <w:iCs/>
        </w:rPr>
        <w:t>See</w:t>
      </w:r>
      <w:r>
        <w:t xml:space="preserve"> Hardin, </w:t>
      </w:r>
      <w:r>
        <w:rPr>
          <w:i/>
          <w:iCs/>
        </w:rPr>
        <w:t>supra</w:t>
      </w:r>
      <w:r>
        <w:t xml:space="preserve"> note 131.</w:t>
      </w:r>
    </w:p>
  </w:footnote>
  <w:footnote w:id="133">
    <w:p w14:paraId="6C31FC3D" w14:textId="77777777" w:rsidR="003A2AA0" w:rsidRDefault="00BF743F" w:rsidP="00F53BB1">
      <w:pPr>
        <w:pStyle w:val="FootnoteText"/>
        <w:suppressAutoHyphens/>
        <w:spacing w:after="80"/>
        <w:ind w:left="0" w:firstLine="0"/>
        <w:jc w:val="left"/>
      </w:pPr>
      <w:r>
        <w:rPr>
          <w:rStyle w:val="FootnoteReference"/>
        </w:rPr>
        <w:footnoteRef/>
      </w:r>
      <w:r>
        <w:t xml:space="preserve"> Sullivan et al., </w:t>
      </w:r>
      <w:r>
        <w:rPr>
          <w:i/>
          <w:iCs/>
        </w:rPr>
        <w:t>supra</w:t>
      </w:r>
      <w:r>
        <w:t xml:space="preserve"> note 120, at 88-91 (documenting that graduates who lack analytical reasoning skills face elevated risks of professional error in contexts that differ from those they encountered in training).</w:t>
      </w:r>
    </w:p>
  </w:footnote>
  <w:footnote w:id="134">
    <w:p w14:paraId="54A6B276" w14:textId="77777777" w:rsidR="003A2AA0" w:rsidRDefault="00BF743F" w:rsidP="00F53BB1">
      <w:pPr>
        <w:pStyle w:val="FootnoteText"/>
        <w:suppressAutoHyphens/>
        <w:spacing w:after="80"/>
        <w:ind w:left="0" w:firstLine="0"/>
        <w:jc w:val="left"/>
      </w:pPr>
      <w:r>
        <w:rPr>
          <w:rStyle w:val="FootnoteReference"/>
        </w:rPr>
        <w:footnoteRef/>
      </w:r>
      <w:r>
        <w:t xml:space="preserve"> Michael Spence, </w:t>
      </w:r>
      <w:r>
        <w:rPr>
          <w:i/>
          <w:iCs/>
        </w:rPr>
        <w:t>Job Market Signaling</w:t>
      </w:r>
      <w:r>
        <w:t xml:space="preserve">, 87 </w:t>
      </w:r>
      <w:r>
        <w:rPr>
          <w:smallCaps/>
        </w:rPr>
        <w:t>Quarterly Journal of Economics</w:t>
      </w:r>
      <w:r>
        <w:t xml:space="preserve"> 355, 374 (1973).</w:t>
      </w:r>
    </w:p>
  </w:footnote>
  <w:footnote w:id="135">
    <w:p w14:paraId="1A192DEA" w14:textId="77777777" w:rsidR="003A2AA0" w:rsidRDefault="00BF743F" w:rsidP="00F53BB1">
      <w:pPr>
        <w:pStyle w:val="FootnoteText"/>
        <w:suppressAutoHyphens/>
        <w:spacing w:after="80"/>
        <w:ind w:left="0" w:firstLine="0"/>
        <w:jc w:val="left"/>
      </w:pPr>
      <w:r>
        <w:rPr>
          <w:rStyle w:val="FootnoteReference"/>
        </w:rPr>
        <w:footnoteRef/>
      </w:r>
      <w:r>
        <w:t xml:space="preserve"> Deborah L. Rhode, </w:t>
      </w:r>
      <w:r>
        <w:rPr>
          <w:smallCaps/>
        </w:rPr>
        <w:t>In the Interests of Justice: Reforming the Legal Profession</w:t>
      </w:r>
      <w:r>
        <w:t xml:space="preserve"> (Oxford University Press 2000).</w:t>
      </w:r>
    </w:p>
  </w:footnote>
  <w:footnote w:id="136">
    <w:p w14:paraId="530323B4" w14:textId="77777777" w:rsidR="003A2AA0" w:rsidRDefault="00BF743F" w:rsidP="00F53BB1">
      <w:pPr>
        <w:pStyle w:val="FootnoteText"/>
        <w:suppressAutoHyphens/>
        <w:spacing w:after="80"/>
        <w:ind w:left="0" w:firstLine="0"/>
        <w:jc w:val="left"/>
      </w:pPr>
      <w:r>
        <w:rPr>
          <w:rStyle w:val="FootnoteReference"/>
        </w:rPr>
        <w:footnoteRef/>
      </w:r>
      <w:r>
        <w:t xml:space="preserve"> Sullivan et al., </w:t>
      </w:r>
      <w:r>
        <w:rPr>
          <w:i/>
          <w:iCs/>
        </w:rPr>
        <w:t>supra</w:t>
      </w:r>
      <w:r>
        <w:t xml:space="preserve"> note 120, at 6-10.</w:t>
      </w:r>
    </w:p>
  </w:footnote>
  <w:footnote w:id="137">
    <w:p w14:paraId="3A7D84FC" w14:textId="77777777" w:rsidR="003A2AA0" w:rsidRDefault="00BF743F" w:rsidP="00F53BB1">
      <w:pPr>
        <w:pStyle w:val="FootnoteText"/>
        <w:suppressAutoHyphens/>
        <w:spacing w:after="80"/>
        <w:ind w:left="0" w:firstLine="0"/>
        <w:jc w:val="left"/>
      </w:pPr>
      <w:r>
        <w:rPr>
          <w:rStyle w:val="FootnoteReference"/>
        </w:rPr>
        <w:footnoteRef/>
      </w:r>
      <w:r>
        <w:t xml:space="preserve"> </w:t>
      </w:r>
      <w:r>
        <w:rPr>
          <w:i/>
          <w:iCs/>
        </w:rPr>
        <w:t>See</w:t>
      </w:r>
      <w:r>
        <w:t xml:space="preserve"> Hardin, </w:t>
      </w:r>
      <w:r>
        <w:rPr>
          <w:i/>
          <w:iCs/>
        </w:rPr>
        <w:t>supra</w:t>
      </w:r>
      <w:r>
        <w:t xml:space="preserve"> note 131 (noting that the mechanism involves reputational exhaustion rather than physical resource exhaustion, but the structural logic is similar).</w:t>
      </w:r>
    </w:p>
  </w:footnote>
  <w:footnote w:id="138">
    <w:p w14:paraId="7C639428" w14:textId="77777777" w:rsidR="003A2AA0" w:rsidRDefault="00BF743F" w:rsidP="00F53BB1">
      <w:pPr>
        <w:pStyle w:val="FootnoteText"/>
        <w:suppressAutoHyphens/>
        <w:spacing w:after="80"/>
        <w:ind w:left="0" w:firstLine="0"/>
        <w:jc w:val="left"/>
      </w:pPr>
      <w:r>
        <w:rPr>
          <w:rStyle w:val="FootnoteReference"/>
        </w:rPr>
        <w:footnoteRef/>
      </w:r>
      <w:r>
        <w:t xml:space="preserve"> </w:t>
      </w:r>
      <w:r>
        <w:rPr>
          <w:i/>
          <w:iCs/>
        </w:rPr>
        <w:t>See</w:t>
      </w:r>
      <w:r>
        <w:t xml:space="preserve"> Sullivan et al., </w:t>
      </w:r>
      <w:r>
        <w:rPr>
          <w:i/>
          <w:iCs/>
        </w:rPr>
        <w:t>supra</w:t>
      </w:r>
      <w:r>
        <w:t xml:space="preserve"> note 120, at 185-210 (arguing that professional formation is the law school’s obligation to the student, the profession, and the public, and that the professor functions as a gatekeeper for professional entry).</w:t>
      </w:r>
    </w:p>
  </w:footnote>
  <w:footnote w:id="139">
    <w:p w14:paraId="1337AFDB" w14:textId="77777777" w:rsidR="003A2AA0" w:rsidRDefault="00BF743F" w:rsidP="00F53BB1">
      <w:pPr>
        <w:pStyle w:val="FootnoteText"/>
        <w:suppressAutoHyphens/>
        <w:spacing w:after="80"/>
        <w:ind w:left="0" w:firstLine="0"/>
        <w:jc w:val="left"/>
      </w:pPr>
      <w:r>
        <w:rPr>
          <w:rStyle w:val="FootnoteReference"/>
        </w:rPr>
        <w:footnoteRef/>
      </w:r>
      <w:r>
        <w:t xml:space="preserve"> Am. Bar Ass’n, </w:t>
      </w:r>
      <w:r>
        <w:rPr>
          <w:smallCaps/>
        </w:rPr>
        <w:t>ABA Standards and Rules of Procedure for Approval of Law Schools</w:t>
      </w:r>
      <w:r>
        <w:t xml:space="preserve"> stds. 301(a), 302 (2023-2024). Standard 301(a) requires that a law school “maintain a rigorous program of legal education,” and Standard 302 requires that law schools establish and assess student learning outcomes including “competency in legal analysis and reasoning.”</w:t>
      </w:r>
    </w:p>
  </w:footnote>
  <w:footnote w:id="140">
    <w:p w14:paraId="5A6218A2" w14:textId="77777777" w:rsidR="003A2AA0" w:rsidRDefault="00BF743F" w:rsidP="00F53BB1">
      <w:pPr>
        <w:pStyle w:val="FootnoteText"/>
        <w:suppressAutoHyphens/>
        <w:spacing w:after="80"/>
        <w:ind w:left="0" w:firstLine="0"/>
        <w:jc w:val="left"/>
      </w:pPr>
      <w:r>
        <w:rPr>
          <w:rStyle w:val="FootnoteReference"/>
        </w:rPr>
        <w:footnoteRef/>
      </w:r>
      <w:r>
        <w:t xml:space="preserve"> </w:t>
      </w:r>
      <w:r>
        <w:rPr>
          <w:i/>
          <w:iCs/>
        </w:rPr>
        <w:t>See</w:t>
      </w:r>
      <w:r>
        <w:t xml:space="preserve"> Rhode, </w:t>
      </w:r>
      <w:r>
        <w:rPr>
          <w:i/>
          <w:iCs/>
        </w:rPr>
        <w:t>supra</w:t>
      </w:r>
      <w:r>
        <w:t xml:space="preserve"> note 135.</w:t>
      </w:r>
    </w:p>
  </w:footnote>
  <w:footnote w:id="141">
    <w:p w14:paraId="0057E1E9" w14:textId="77777777" w:rsidR="003A2AA0" w:rsidRDefault="00BF743F" w:rsidP="00F53BB1">
      <w:pPr>
        <w:pStyle w:val="FootnoteText"/>
        <w:suppressAutoHyphens/>
        <w:spacing w:after="80"/>
        <w:ind w:left="0" w:firstLine="0"/>
        <w:jc w:val="left"/>
      </w:pPr>
      <w:r>
        <w:rPr>
          <w:rStyle w:val="FootnoteReference"/>
        </w:rPr>
        <w:footnoteRef/>
      </w:r>
      <w:r>
        <w:t xml:space="preserve"> </w:t>
      </w:r>
      <w:r>
        <w:rPr>
          <w:i/>
          <w:iCs/>
        </w:rPr>
        <w:t>See</w:t>
      </w:r>
      <w:r>
        <w:t xml:space="preserve"> Sullivan et al., </w:t>
      </w:r>
      <w:r>
        <w:rPr>
          <w:i/>
          <w:iCs/>
        </w:rPr>
        <w:t>supra</w:t>
      </w:r>
      <w:r>
        <w:t xml:space="preserve"> note 120, at 13-17.</w:t>
      </w:r>
    </w:p>
  </w:footnote>
  <w:footnote w:id="142">
    <w:p w14:paraId="46826011" w14:textId="77777777" w:rsidR="003A2AA0" w:rsidRDefault="00BF743F" w:rsidP="00F53BB1">
      <w:pPr>
        <w:pStyle w:val="FootnoteText"/>
        <w:suppressAutoHyphens/>
        <w:spacing w:after="80"/>
        <w:ind w:left="0" w:firstLine="0"/>
        <w:jc w:val="left"/>
      </w:pPr>
      <w:r>
        <w:rPr>
          <w:rStyle w:val="FootnoteReference"/>
        </w:rPr>
        <w:footnoteRef/>
      </w:r>
      <w:r>
        <w:t xml:space="preserve"> Lon L. Fuller, </w:t>
      </w:r>
      <w:r>
        <w:rPr>
          <w:smallCaps/>
        </w:rPr>
        <w:t>The Morality of Law</w:t>
      </w:r>
      <w:r>
        <w:t xml:space="preserve"> 33-94 (rev. ed. 1969). Fuller’s argument that law’s effectiveness depends on subjects who can comprehend and act on legal rules implies that the lawyer who lacks doctrinal knowledge cannot perform the interpretive function the rule of law requires.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F29E7" w14:textId="74ABC162" w:rsidR="00766DF3" w:rsidRDefault="00766DF3" w:rsidP="00766DF3">
    <w:pPr>
      <w:pStyle w:val="Header"/>
      <w:pBdr>
        <w:bottom w:val="single" w:sz="4" w:space="1" w:color="auto"/>
      </w:pBdr>
    </w:pPr>
    <w:r>
      <w:fldChar w:fldCharType="begin"/>
    </w:r>
    <w:r>
      <w:instrText xml:space="preserve"> PAGE  \* MERGEFORMAT </w:instrText>
    </w:r>
    <w:r>
      <w:fldChar w:fldCharType="separate"/>
    </w:r>
    <w:r>
      <w:rPr>
        <w:noProof/>
      </w:rPr>
      <w:t>4</w:t>
    </w:r>
    <w:r>
      <w:fldChar w:fldCharType="end"/>
    </w:r>
    <w:r>
      <w:tab/>
    </w:r>
    <w:r>
      <w:tab/>
    </w:r>
    <w:r w:rsidRPr="00766DF3">
      <w:rPr>
        <w:i/>
        <w:iCs/>
      </w:rPr>
      <w:t>Shadow of Law</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6DF35" w14:textId="7C3698FE" w:rsidR="00766DF3" w:rsidRPr="00766DF3" w:rsidRDefault="00766DF3" w:rsidP="00766DF3">
    <w:pPr>
      <w:pStyle w:val="Header"/>
      <w:pBdr>
        <w:bottom w:val="single" w:sz="4" w:space="1" w:color="auto"/>
      </w:pBdr>
    </w:pPr>
    <w:r>
      <w:t>2026-03-12]</w:t>
    </w:r>
    <w:r>
      <w:tab/>
    </w:r>
    <w:r>
      <w:tab/>
    </w:r>
    <w:r>
      <w:fldChar w:fldCharType="begin"/>
    </w:r>
    <w:r>
      <w:instrText xml:space="preserve"> PAGE  \* MERGEFORMAT </w:instrText>
    </w:r>
    <w:r>
      <w:fldChar w:fldCharType="separate"/>
    </w:r>
    <w:r>
      <w:t>4</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242AA5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DE86D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B20B2D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3B2A3460"/>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4" w15:restartNumberingAfterBreak="0">
    <w:nsid w:val="00A99413"/>
    <w:multiLevelType w:val="multilevel"/>
    <w:tmpl w:val="94EED8AA"/>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5" w15:restartNumberingAfterBreak="0">
    <w:nsid w:val="00A99414"/>
    <w:multiLevelType w:val="multilevel"/>
    <w:tmpl w:val="484C055A"/>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6" w15:restartNumberingAfterBreak="0">
    <w:nsid w:val="00A99415"/>
    <w:multiLevelType w:val="multilevel"/>
    <w:tmpl w:val="4E44DCD0"/>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7" w15:restartNumberingAfterBreak="0">
    <w:nsid w:val="42B97DEA"/>
    <w:multiLevelType w:val="hybridMultilevel"/>
    <w:tmpl w:val="772C3800"/>
    <w:lvl w:ilvl="0" w:tplc="DFDEFDFA">
      <w:start w:val="1"/>
      <w:numFmt w:val="bullet"/>
      <w:lvlText w:val="●"/>
      <w:lvlJc w:val="left"/>
      <w:pPr>
        <w:ind w:left="720" w:hanging="360"/>
      </w:pPr>
    </w:lvl>
    <w:lvl w:ilvl="1" w:tplc="0F9E7274">
      <w:start w:val="1"/>
      <w:numFmt w:val="bullet"/>
      <w:lvlText w:val="○"/>
      <w:lvlJc w:val="left"/>
      <w:pPr>
        <w:ind w:left="1440" w:hanging="360"/>
      </w:pPr>
    </w:lvl>
    <w:lvl w:ilvl="2" w:tplc="47B095EC">
      <w:start w:val="1"/>
      <w:numFmt w:val="bullet"/>
      <w:lvlText w:val="■"/>
      <w:lvlJc w:val="left"/>
      <w:pPr>
        <w:ind w:left="2160" w:hanging="360"/>
      </w:pPr>
    </w:lvl>
    <w:lvl w:ilvl="3" w:tplc="FBDA96C6">
      <w:start w:val="1"/>
      <w:numFmt w:val="bullet"/>
      <w:lvlText w:val="●"/>
      <w:lvlJc w:val="left"/>
      <w:pPr>
        <w:ind w:left="2880" w:hanging="360"/>
      </w:pPr>
    </w:lvl>
    <w:lvl w:ilvl="4" w:tplc="A63E2CB4">
      <w:start w:val="1"/>
      <w:numFmt w:val="bullet"/>
      <w:lvlText w:val="○"/>
      <w:lvlJc w:val="left"/>
      <w:pPr>
        <w:ind w:left="3600" w:hanging="360"/>
      </w:pPr>
    </w:lvl>
    <w:lvl w:ilvl="5" w:tplc="3CE0C632">
      <w:start w:val="1"/>
      <w:numFmt w:val="bullet"/>
      <w:lvlText w:val="■"/>
      <w:lvlJc w:val="left"/>
      <w:pPr>
        <w:ind w:left="4320" w:hanging="360"/>
      </w:pPr>
    </w:lvl>
    <w:lvl w:ilvl="6" w:tplc="F920CCD2">
      <w:start w:val="1"/>
      <w:numFmt w:val="bullet"/>
      <w:lvlText w:val="●"/>
      <w:lvlJc w:val="left"/>
      <w:pPr>
        <w:ind w:left="5040" w:hanging="360"/>
      </w:pPr>
    </w:lvl>
    <w:lvl w:ilvl="7" w:tplc="088C2242">
      <w:start w:val="1"/>
      <w:numFmt w:val="bullet"/>
      <w:lvlText w:val="●"/>
      <w:lvlJc w:val="left"/>
      <w:pPr>
        <w:ind w:left="5760" w:hanging="360"/>
      </w:pPr>
    </w:lvl>
    <w:lvl w:ilvl="8" w:tplc="B7F6F060">
      <w:start w:val="1"/>
      <w:numFmt w:val="bullet"/>
      <w:lvlText w:val="●"/>
      <w:lvlJc w:val="left"/>
      <w:pPr>
        <w:ind w:left="6480" w:hanging="360"/>
      </w:pPr>
    </w:lvl>
  </w:abstractNum>
  <w:num w:numId="1" w16cid:durableId="501629406">
    <w:abstractNumId w:val="7"/>
    <w:lvlOverride w:ilvl="0">
      <w:startOverride w:val="1"/>
    </w:lvlOverride>
  </w:num>
  <w:num w:numId="2" w16cid:durableId="1214317609">
    <w:abstractNumId w:val="0"/>
  </w:num>
  <w:num w:numId="3" w16cid:durableId="5848079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103290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481101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4517119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 w16cid:durableId="1761681586">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 w16cid:durableId="2096395272">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 w16cid:durableId="2133789592">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 w16cid:durableId="14598407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56770116">
    <w:abstractNumId w:val="1"/>
  </w:num>
  <w:num w:numId="12" w16cid:durableId="1395439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564368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embedSystemFonts/>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revisionView w:inkAnnotations="0"/>
  <w:doNotTrackMoves/>
  <w:defaultTabStop w:val="720"/>
  <w:autoHyphenation/>
  <w:evenAndOddHeaders/>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AA0"/>
    <w:rsid w:val="001A022B"/>
    <w:rsid w:val="003A2AA0"/>
    <w:rsid w:val="004B5C2C"/>
    <w:rsid w:val="00637B8F"/>
    <w:rsid w:val="006439E2"/>
    <w:rsid w:val="006D4C51"/>
    <w:rsid w:val="00766DF3"/>
    <w:rsid w:val="007963DC"/>
    <w:rsid w:val="008010DA"/>
    <w:rsid w:val="00843BFE"/>
    <w:rsid w:val="008441B9"/>
    <w:rsid w:val="00B97540"/>
    <w:rsid w:val="00BF743F"/>
    <w:rsid w:val="00CC0DD2"/>
    <w:rsid w:val="00D6627B"/>
    <w:rsid w:val="00E31E9A"/>
    <w:rsid w:val="00E339D3"/>
    <w:rsid w:val="00EB67A6"/>
    <w:rsid w:val="00F5318A"/>
    <w:rsid w:val="00F53BB1"/>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784ACFC1"/>
  <w15:docId w15:val="{A365FA36-FD9B-0A49-AA1C-43F51439E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he-IL"/>
      </w:rPr>
    </w:rPrDefault>
    <w:pPrDefault>
      <w:pPr>
        <w:spacing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3BFE"/>
    <w:pPr>
      <w:ind w:firstLine="360"/>
    </w:pPr>
  </w:style>
  <w:style w:type="paragraph" w:styleId="Heading1">
    <w:name w:val="heading 1"/>
    <w:basedOn w:val="Normal"/>
    <w:next w:val="Normal"/>
    <w:uiPriority w:val="9"/>
    <w:qFormat/>
    <w:rsid w:val="00EB67A6"/>
    <w:pPr>
      <w:keepNext/>
      <w:spacing w:before="240" w:after="120"/>
      <w:ind w:firstLine="0"/>
      <w:jc w:val="center"/>
      <w:outlineLvl w:val="0"/>
    </w:pPr>
    <w:rPr>
      <w:b/>
      <w:bCs/>
    </w:rPr>
  </w:style>
  <w:style w:type="paragraph" w:styleId="Heading2">
    <w:name w:val="heading 2"/>
    <w:basedOn w:val="Normal"/>
    <w:next w:val="Normal"/>
    <w:uiPriority w:val="9"/>
    <w:unhideWhenUsed/>
    <w:qFormat/>
    <w:rsid w:val="00EB67A6"/>
    <w:pPr>
      <w:keepNext/>
      <w:spacing w:before="240" w:after="120"/>
      <w:ind w:firstLine="0"/>
      <w:outlineLvl w:val="1"/>
    </w:pPr>
    <w:rPr>
      <w:b/>
      <w:bCs/>
    </w:rPr>
  </w:style>
  <w:style w:type="paragraph" w:styleId="Heading3">
    <w:name w:val="heading 3"/>
    <w:basedOn w:val="Normal"/>
    <w:next w:val="Normal"/>
    <w:uiPriority w:val="9"/>
    <w:unhideWhenUsed/>
    <w:qFormat/>
    <w:rsid w:val="00EB67A6"/>
    <w:pPr>
      <w:keepNext/>
      <w:spacing w:before="240" w:after="120"/>
      <w:ind w:firstLine="0"/>
      <w:outlineLvl w:val="2"/>
    </w:pPr>
    <w:rPr>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D6627B"/>
    <w:pPr>
      <w:jc w:val="center"/>
    </w:p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pPr>
      <w:spacing w:line="240" w:lineRule="auto"/>
      <w:ind w:left="360" w:hanging="360"/>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PlaceholderText">
    <w:name w:val="Placeholder Text"/>
    <w:basedOn w:val="DefaultParagraphFont"/>
    <w:uiPriority w:val="99"/>
    <w:semiHidden/>
    <w:rsid w:val="00D6627B"/>
    <w:rPr>
      <w:color w:val="666666"/>
    </w:rPr>
  </w:style>
  <w:style w:type="paragraph" w:styleId="Header">
    <w:name w:val="header"/>
    <w:basedOn w:val="Normal"/>
    <w:link w:val="HeaderChar"/>
    <w:uiPriority w:val="99"/>
    <w:unhideWhenUsed/>
    <w:rsid w:val="00766DF3"/>
    <w:pPr>
      <w:tabs>
        <w:tab w:val="center" w:pos="4680"/>
        <w:tab w:val="right" w:pos="9360"/>
      </w:tabs>
      <w:spacing w:line="240" w:lineRule="auto"/>
      <w:ind w:firstLine="0"/>
    </w:pPr>
  </w:style>
  <w:style w:type="character" w:customStyle="1" w:styleId="HeaderChar">
    <w:name w:val="Header Char"/>
    <w:basedOn w:val="DefaultParagraphFont"/>
    <w:link w:val="Header"/>
    <w:uiPriority w:val="99"/>
    <w:rsid w:val="00766DF3"/>
  </w:style>
  <w:style w:type="paragraph" w:styleId="Footer">
    <w:name w:val="footer"/>
    <w:basedOn w:val="Normal"/>
    <w:link w:val="FooterChar"/>
    <w:uiPriority w:val="99"/>
    <w:unhideWhenUsed/>
    <w:rsid w:val="00766DF3"/>
    <w:pPr>
      <w:tabs>
        <w:tab w:val="center" w:pos="4680"/>
        <w:tab w:val="right" w:pos="9360"/>
      </w:tabs>
      <w:spacing w:line="240" w:lineRule="auto"/>
    </w:pPr>
  </w:style>
  <w:style w:type="character" w:customStyle="1" w:styleId="FooterChar">
    <w:name w:val="Footer Char"/>
    <w:basedOn w:val="DefaultParagraphFont"/>
    <w:link w:val="Footer"/>
    <w:uiPriority w:val="99"/>
    <w:rsid w:val="00766D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21343</Words>
  <Characters>121658</Characters>
  <Application>Microsoft Office Word</Application>
  <DocSecurity>0</DocSecurity>
  <Lines>1013</Lines>
  <Paragraphs>285</Paragraphs>
  <ScaleCrop>false</ScaleCrop>
  <Company/>
  <LinksUpToDate>false</LinksUpToDate>
  <CharactersWithSpaces>142716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Seth Oranburg</dc:creator>
  <cp:keywords/>
  <cp:lastModifiedBy>Seth Oranburg</cp:lastModifiedBy>
  <cp:revision>15</cp:revision>
  <dcterms:created xsi:type="dcterms:W3CDTF">2026-03-12T22:29:00Z</dcterms:created>
  <dcterms:modified xsi:type="dcterms:W3CDTF">2026-03-13T03:53:00Z</dcterms:modified>
</cp:coreProperties>
</file>