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rade-secrets-as-political-technology"/>
    <w:p w14:paraId="1EAA6EF7" w14:textId="5C6FB672" w:rsidR="00CD549B" w:rsidRPr="007C03F2" w:rsidRDefault="00323F95" w:rsidP="007C03F2">
      <w:pPr>
        <w:pStyle w:val="Title"/>
      </w:pPr>
      <w:r>
        <w:fldChar w:fldCharType="begin"/>
      </w:r>
      <w:r>
        <w:instrText xml:space="preserve"> TITLE  \* MERGEFORMAT </w:instrText>
      </w:r>
      <w:r>
        <w:fldChar w:fldCharType="separate"/>
      </w:r>
      <w:r>
        <w:t>Trade Secrets as Political Technology</w:t>
      </w:r>
      <w:r>
        <w:fldChar w:fldCharType="end"/>
      </w:r>
    </w:p>
    <w:p w14:paraId="0B6FB899" w14:textId="77777777" w:rsidR="00CD549B" w:rsidRPr="00B72334" w:rsidRDefault="00E62B27" w:rsidP="007C03F2">
      <w:pPr>
        <w:pStyle w:val="FirstParagraph"/>
        <w:spacing w:before="0" w:after="0"/>
        <w:ind w:firstLine="0"/>
        <w:jc w:val="center"/>
      </w:pPr>
      <w:r>
        <w:t>Seth C. Oranburg</w:t>
      </w:r>
      <w:r>
        <w:rPr>
          <w:rStyle w:val="FootnoteReference"/>
        </w:rPr>
        <w:footnoteReference w:id="1"/>
      </w:r>
    </w:p>
    <w:p w14:paraId="58098844" w14:textId="77777777" w:rsidR="00CD549B" w:rsidRPr="007C03F2" w:rsidRDefault="00E62B27" w:rsidP="007C03F2">
      <w:pPr>
        <w:pStyle w:val="Heading1"/>
      </w:pPr>
      <w:bookmarkStart w:id="1" w:name="abstract"/>
      <w:bookmarkEnd w:id="0"/>
      <w:r>
        <w:t>Abstract</w:t>
      </w:r>
    </w:p>
    <w:p w14:paraId="00BD8BDF" w14:textId="65216EA4" w:rsidR="00CD549B" w:rsidRPr="00B72334" w:rsidRDefault="00E62B27" w:rsidP="00027756">
      <w:r>
        <w:t>The standard account of trade secret law treats it as a balance between innovation incentives and public transparency. When secrecy collides with public health, environmental protection, or democratic accountability, courts and legislatures are said to recalibrate the competing interests. This Article challenges that account. Drawing on the canonical public choice literature of Olson, Stigler, Peltzman, and Yandle, it argues that trade secret law is best understood as a political technology: a legal instrument whose structural properties—concentrated benefits, dispersed costs, low political salience, cross-cutting applicability, temporal durability, and a recursive capacity to conceal the evidence of its own capture—make it a uniquely effective tool for regulatory capture. Trade secrecy does not function as a tool of capture by its nature; any legal instrument can be deployed strategically. But its structural properties lower the cost of capture for concentrated interests and raise the cost of detection for diffuse publics to a degree that no other common instrument of regulatory capture matches.</w:t>
      </w:r>
    </w:p>
    <w:p w14:paraId="02ABA476" w14:textId="110741BC" w:rsidR="00CD549B" w:rsidRPr="00B72334" w:rsidRDefault="00E62B27" w:rsidP="004F6459">
      <w:r>
        <w:t>The Article develops this theoretical claim through the case of hydraulic fracturing chemical disclosure, where a series of legal and institutional choices, from the Halliburton Loophole to state FracFocus registries to ALEC model legislation, have produced a regime of pervasive non-disclosure that the existing literature treats as regulatory failure, but that public choice theory reveals as engineered opacity. It then extends the analysis to chemical regulation under TSCA, pharmaceutical data secrecy, and algorithmic opacity, identifying a common structural pattern across domains. The Article concludes by arguing that meaningful reform requires institutional redesign, not mere doctrinal rebalancing, because the current architecture of trade secret law reflects and reinforces the political economy of concentrated interests.</w:t>
      </w:r>
    </w:p>
    <w:p w14:paraId="0DD0EA0F" w14:textId="77777777" w:rsidR="00CD549B" w:rsidRPr="00B72334" w:rsidRDefault="00E62B27" w:rsidP="007C03F2">
      <w:pPr>
        <w:pStyle w:val="Heading1"/>
      </w:pPr>
      <w:bookmarkStart w:id="2" w:name="introduction"/>
      <w:bookmarkEnd w:id="1"/>
      <w:r>
        <w:t>Introduction</w:t>
      </w:r>
    </w:p>
    <w:p w14:paraId="22B0005A" w14:textId="77777777" w:rsidR="00CD549B" w:rsidRPr="00B72334" w:rsidRDefault="00E62B27" w:rsidP="00027756">
      <w:pPr>
        <w:pStyle w:val="FirstParagraph"/>
        <w:spacing w:before="0" w:after="0"/>
      </w:pPr>
      <w:r>
        <w:t xml:space="preserve">In 2005, Congress amended the Safe Drinking Water Act to exclude hydraulic fracturing from the underground injection control program that had regulated the subsurface emplacement of fluids since 1974. The amendment, Section 322 of the Energy Policy Act of 2005, is known colloquially as the Halliburton Loophole. Its passage is usually explained as a straightforward instance of industry-friendly deregulation: the oil and gas sector, aided by sympathetic legislators </w:t>
      </w:r>
      <w:r>
        <w:lastRenderedPageBreak/>
        <w:t>and the political support of the Bush Administration’s energy policy apparatus, secured an exemption from federal environmental oversight. The explanatory frame is regulatory capture in its most familiar form.</w:t>
      </w:r>
    </w:p>
    <w:p w14:paraId="550A3F0B" w14:textId="77777777" w:rsidR="00CD549B" w:rsidRPr="00B72334" w:rsidRDefault="00E62B27" w:rsidP="004F6459">
      <w:r>
        <w:t>That explanation is incomplete. It accounts for the political dynamics that produced the exemption but not for the specific legal architecture the exemption was designed to protect. The fracking industry does not merely resist regulation in the way that any regulated entity prefers less oversight to more. It depends structurally on a particular form of intellectual property protection, the trade secret, whose legal viability is destroyed by mandatory chemical disclosure. The Halliburton Loophole did not simply reduce regulatory burden. It preserved the conditions under which trade secret protection for fracking fluid formulations could survive indefinitely. The exemption was, in its deepest structure, an intellectual property shield.</w:t>
      </w:r>
    </w:p>
    <w:p w14:paraId="05216FFD" w14:textId="77777777" w:rsidR="00CD549B" w:rsidRPr="00B72334" w:rsidRDefault="00E62B27" w:rsidP="004F6459">
      <w:r>
        <w:t>That observation, standing alone, would be a contribution to the environmental law literature, which has not framed Section 322 in trade secret terms. But the more consequential argument lies one level of abstraction higher. The fracking disclosure regime is a case study in a more general phenomenon: the capacity of trade secret law to serve as a political technology through which concentrated private interests engineer and maintain regimes of structural opacity.</w:t>
      </w:r>
      <w:r>
        <w:rPr>
          <w:rStyle w:val="FootnoteReference"/>
        </w:rPr>
        <w:footnoteReference w:id="2"/>
      </w:r>
      <w:r>
        <w:t xml:space="preserve"> The term “political technology” is used here in a specific sense.</w:t>
      </w:r>
      <w:r>
        <w:rPr>
          <w:rStyle w:val="FootnoteReference"/>
        </w:rPr>
        <w:footnoteReference w:id="3"/>
      </w:r>
      <w:r>
        <w:t xml:space="preserve"> Trade secret doctrine possesses structural properties that make it an unusually effective instrument for organized groups seeking to control the information environment in which regulatory, tort, and political decisions are made. Those properties include low political visibility, cross-cutting applicability across regulatory domains, durability through statutory and common-law entrenchment, and a recursive quality that distinguishes trade secrecy from every other instrument of regulatory capture: the information needed to detect that capture has occurred is the very information being concealed.</w:t>
      </w:r>
    </w:p>
    <w:p w14:paraId="6ED1F6C1" w14:textId="77777777" w:rsidR="00CD549B" w:rsidRPr="00B72334" w:rsidRDefault="00E62B27" w:rsidP="004F6459">
      <w:r>
        <w:t xml:space="preserve">The theoretical apparatus for this argument comes from public choice economics. Mancur Olson’s logic of collective action explains why concentrated interests with high per-capita stakes will systematically outcompete diffuse publics in the production of favorable legal rules. George </w:t>
      </w:r>
      <w:r>
        <w:lastRenderedPageBreak/>
        <w:t>Stigler’s theory of regulatory capture and Sam Peltzman’s refinement of it explain why regulators, legislators, and executive officials supply the legal rules that organized groups demand. Bruce Yandle’s Bootleggers and Baptists model explains why deregulatory outcomes are most durable when they are supported by coalitions that pair self-interested economic actors (bootleggers) with publicly spirited advocates whose rhetoric provides political cover (Baptists). Applied to trade secret law, these theories predict exactly the institutional architecture that the fracking disclosure regime exhibits: broad secrecy protections lobbied for by a small number of high-value firms, ratified by agencies that depend on those firms for technical data, defended by courts that apply deferential standards of review, and sustained over time because the public costs of secrecy are diffuse, invisible, and literally unknowable.</w:t>
      </w:r>
    </w:p>
    <w:p w14:paraId="07F42CA6" w14:textId="6B82FAC9" w:rsidR="00CD549B" w:rsidRPr="00B72334" w:rsidRDefault="00E62B27" w:rsidP="004F6459">
      <w:r>
        <w:t>The existing legal literature has not made this connection. Trade secret scholarship tends to operate within a doctrinal frame, analyzing the elements of misappropriation, the reasonable-efforts requirement, and the contours of statutory and common-law protections. A more critical literature has begun to examine the social costs of trade secrecy in specific contexts: environmental regulation, public health, algorithmic decision-making. Several important recent contributions have moved toward a political economy perspective, including Amy Kapczynski’s historical account of trade secrecy’s reconceptualization as “intellectual property” and Graves and Katyal’s analysis of trade secrecy’s expansion into a general-purpose concealment tool. Yet none of these works applies the canonical public choice framework systematically. None identifies the structural properties that make trade secrecy particularly susceptible to capture in the technical sense that public choice theory gives that term. And none explains why trade secrecy is more effective as a capture instrument than subsidies, tariffs, and other instruments of regulatory favoritism—possessing properties that those instruments lack.</w:t>
      </w:r>
    </w:p>
    <w:p w14:paraId="3D618A63" w14:textId="77777777" w:rsidR="00CD549B" w:rsidRPr="00B72334" w:rsidRDefault="00E62B27" w:rsidP="004F6459">
      <w:r>
        <w:t>The practical stakes are significant. If trade secret conflicts with public safety are merely doctrinal imbalances, the appropriate response is marginal adjustment: narrower exemptions, stronger disclosure mandates, better agency review. If, as this Article argues, the structural properties of trade secret law afford regulatory capture by creating conditions in which concentrated interests face unusually low costs of obtaining and maintaining favorable rules while diffuse publics face unusually high costs of detecting and challenging those rules, then marginal adjustment will predictably fail. Reform must instead address the institutional conditions that make trade secrecy susceptible to capture in the first place.</w:t>
      </w:r>
    </w:p>
    <w:p w14:paraId="6206C6A3" w14:textId="77777777" w:rsidR="00CD549B" w:rsidRPr="00B72334" w:rsidRDefault="00E62B27" w:rsidP="004F6459">
      <w:r>
        <w:t xml:space="preserve">The Article proceeds in five Parts. Part I examines the prevailing “balance paradigm” in trade secret scholarship, documenting its dominance across doctrinal, environmental, and health literatures and identifying its analytic limitations. Part II develops the core theoretical argument, applying Olson, Stigler, Peltzman, and Yandle to trade secret doctrine and identifying the structural properties that make trade secrecy a uniquely effective political technology; it begins with a methodological orientation that situates the Article’s public choice framework relative to the law and political economy (LPE) alternative and specifies the conditions under which the thesis would be falsified. Part III presents the fracking chemical disclosure regime as a detailed case study in engineered opacity, tracing the causal chain from the industry’s dependence on trade secrets, through the LEAF v. EPA litigation and the Halliburton Loophole, to the current patchwork of state disclosure laws and the FracFocus registry. Part IV extends the analysis to chemical regulation under TSCA, pharmaceutical data secrecy, and algorithmic opacity, </w:t>
      </w:r>
      <w:r>
        <w:lastRenderedPageBreak/>
        <w:t>demonstrating the generalizability of the public choice framework. Part V proposes institutional reforms calibrated to the political economy the Article identifies, arguing that effective reform must redistribute decision rights, impose temporal limits on secrecy in high-risk domains, and support the counter-organization of diffuse public interests.</w:t>
      </w:r>
    </w:p>
    <w:p w14:paraId="38FF50C7" w14:textId="77777777" w:rsidR="00CD549B" w:rsidRPr="00B72334" w:rsidRDefault="00E62B27" w:rsidP="007C03F2">
      <w:pPr>
        <w:pStyle w:val="Heading1"/>
      </w:pPr>
      <w:bookmarkStart w:id="3" w:name="Xb652a22b5390427647005964848204de26be6fc"/>
      <w:bookmarkEnd w:id="2"/>
      <w:r>
        <w:t>Part I. The Balance Paradigm and Its Limits</w:t>
      </w:r>
    </w:p>
    <w:p w14:paraId="35CABBE8" w14:textId="77777777" w:rsidR="00CD549B" w:rsidRPr="00B72334" w:rsidRDefault="00E62B27" w:rsidP="00027756">
      <w:pPr>
        <w:pStyle w:val="FirstParagraph"/>
        <w:spacing w:before="0" w:after="0"/>
      </w:pPr>
      <w:r>
        <w:t>Legal scholarship and judicial opinions predominantly frame trade secret law as a mechanism for balancing competing legitimate interests. On one side of the scale lies the firm’s interest in appropriating the returns on its innovation; on the other lies the public’s interest in competition, employee mobility, and transparency. This “balance paradigm” assumes that the primary task of the legal system is to calibrate these opposing forces to achieve an optimal level of innovation and disclosure. This Part explores that standard account, detailing how it rationalizes the current doctrinal framework before turning to the specific contexts where this balancing act ostensibly fails to account for structural political inequalities.</w:t>
      </w:r>
    </w:p>
    <w:p w14:paraId="3D979669" w14:textId="77777777" w:rsidR="00CD549B" w:rsidRPr="00B72334" w:rsidRDefault="00E62B27" w:rsidP="007C03F2">
      <w:pPr>
        <w:pStyle w:val="Heading2"/>
      </w:pPr>
      <w:bookmarkStart w:id="4" w:name="a.-the-standard-account-of-trade-secrecy"/>
      <w:r>
        <w:t>A. The Standard Account of Trade Secrecy</w:t>
      </w:r>
    </w:p>
    <w:p w14:paraId="7B721FE5" w14:textId="77777777" w:rsidR="00CD549B" w:rsidRPr="00B72334" w:rsidRDefault="00E62B27" w:rsidP="00027756">
      <w:pPr>
        <w:pStyle w:val="FirstParagraph"/>
        <w:spacing w:before="0" w:after="0"/>
      </w:pPr>
      <w:r>
        <w:t>Modern trade secret doctrine rests on a set of familiar justifications. The Restatement (Third) of Unfair Competition and the Uniform Trade Secrets Act, adopted in some form by forty-eight states and the District of Columbia, protect information that derives independent economic value from not being generally known, provided its holder takes reasonable efforts to maintain secrecy. The Defend Trade Secrets Act of 2016 created a federal civil cause of action for misappropriation, supplementing state law without preempting it. The standard account presents this regime as efficient and flexible. Unlike patents, trade secrets impose no disclosure obligation and require no examination by a government agency. Unlike copyrights, they protect functional information and processes. The absence of a fixed term means that protection endures for as long as secrecy is maintained, creating incentives for firms to invest in information whose value depends on confidentiality.</w:t>
      </w:r>
    </w:p>
    <w:p w14:paraId="643E87A7" w14:textId="77777777" w:rsidR="00CD549B" w:rsidRPr="00B72334" w:rsidRDefault="00E62B27" w:rsidP="004F6459">
      <w:r>
        <w:t>The efficiency justifications are not without force. Trade secrets reduce transaction costs in employment relationships and collaborative ventures by providing a legal framework for sharing proprietary information. They protect investments in research, development, and process optimization that might not satisfy patent law’s novelty and nonobviousness requirements. They operate as a complement to the patent system, covering categories of commercially valuable information that patent law was never designed to reach.</w:t>
      </w:r>
    </w:p>
    <w:p w14:paraId="4DE70E6C" w14:textId="77777777" w:rsidR="00CD549B" w:rsidRPr="00B72334" w:rsidRDefault="00E62B27" w:rsidP="004F6459">
      <w:r>
        <w:t>The standard account also recognizes limits. Trade secret protection yields to independent discovery, reverse engineering, and public interest disclosures. Employees who acquire general knowledge and skill during their tenure may use that knowledge at a new firm, even if the former employer considers it proprietary. Courts routinely balance the scope of trade secret protection against the public interest in labor mobility, competitive markets, and free expression.</w:t>
      </w:r>
    </w:p>
    <w:p w14:paraId="34212FA2" w14:textId="77777777" w:rsidR="00CD549B" w:rsidRPr="00B72334" w:rsidRDefault="00E62B27" w:rsidP="004F6459">
      <w:r>
        <w:lastRenderedPageBreak/>
        <w:t xml:space="preserve">The Supreme Court’s landmark decision in </w:t>
      </w:r>
      <w:r>
        <w:rPr>
          <w:i/>
          <w:iCs/>
        </w:rPr>
        <w:t>Kewanee Oil Co. v. Bicron Corp.</w:t>
      </w:r>
      <w:r>
        <w:t xml:space="preserve"> (1974) endorsed this efficiency-based account while acknowledging the tensions it creates. The Court held that state trade secret law was not preempted by federal patent law, reasoning that the two regimes serve complementary functions: patents incentivize disclosure of significant inventions through the bargain of time-limited exclusivity, while trade secrets protect a broader category of commercially valuable information without requiring the investment, delay, and disclosure that patent prosecution demands. Justice Burger’s majority opinion emphasized that trade secret protection “does not curtail the free flow of information,” because independent discovery and reverse engineering remain lawful.</w:t>
      </w:r>
    </w:p>
    <w:p w14:paraId="782D30FD" w14:textId="77777777" w:rsidR="00CD549B" w:rsidRPr="00B72334" w:rsidRDefault="00E62B27" w:rsidP="004F6459">
      <w:r>
        <w:t xml:space="preserve">The </w:t>
      </w:r>
      <w:r>
        <w:rPr>
          <w:i/>
          <w:iCs/>
        </w:rPr>
        <w:t>Kewanee</w:t>
      </w:r>
      <w:r>
        <w:t xml:space="preserve"> framework established trade secret law’s doctrinal self-image: a modest, gap-filling regime that complements patent law, promotes investment in commercially useful information, and coexists peacefully with the public domain. That self-image persists in contemporary doctrine and scholarship. The Defend Trade Secrets Act’s legislative history frames the statute as a response to the “increasing importance of trade secret theft” in a globalized economy, not as a grant of new substantive entitlements but as an improved enforcement mechanism for existing ones.</w:t>
      </w:r>
    </w:p>
    <w:p w14:paraId="78BD63A0" w14:textId="77777777" w:rsidR="00CD549B" w:rsidRPr="00B72334" w:rsidRDefault="00E62B27" w:rsidP="004F6459">
      <w:r>
        <w:t>The resulting picture is one of a legal regime that does important work, that imposes some social costs, and that operates through a continuous process of judicial and legislative calibration. Secrecy is protected, but not absolutely. Public interests are accommodated, but not categorically. The metaphor of “balance” pervades the doctrine. The question this Article poses is whether the metaphor accurately describes the political reality.</w:t>
      </w:r>
    </w:p>
    <w:p w14:paraId="14A3EBC9" w14:textId="77777777" w:rsidR="00CD549B" w:rsidRPr="007C03F2" w:rsidRDefault="00E62B27" w:rsidP="007C03F2">
      <w:pPr>
        <w:pStyle w:val="Heading2"/>
      </w:pPr>
      <w:bookmarkStart w:id="5" w:name="X3bafcbc82d9baf1e7efd0bbdbcc70cfbd236167"/>
      <w:bookmarkEnd w:id="4"/>
      <w:r>
        <w:t>B. Trade Secrets in Environmental and Health Regulation</w:t>
      </w:r>
    </w:p>
    <w:p w14:paraId="6F993ED4" w14:textId="77777777" w:rsidR="00CD549B" w:rsidRPr="00B72334" w:rsidRDefault="00E62B27" w:rsidP="00027756">
      <w:pPr>
        <w:pStyle w:val="FirstParagraph"/>
        <w:spacing w:before="0" w:after="0"/>
      </w:pPr>
      <w:r>
        <w:t>When trade secrecy intersects with environmental protection and public health, the balance metaphor takes on heightened importance. The regulatory state depends on information. Environmental statutes require reporting of emissions, discharges, and chemical inputs. Occupational safety laws mandate hazard communication and exposure monitoring. Public health regulations demand disclosure of ingredients, adverse events, and clinical data. In each domain, regulated entities may claim that the information regulators seek, or that the public demands, constitutes a trade secret whose disclosure would destroy competitive advantage.</w:t>
      </w:r>
    </w:p>
    <w:p w14:paraId="650C4FC9" w14:textId="77777777" w:rsidR="00CD549B" w:rsidRPr="00B72334" w:rsidRDefault="00E62B27" w:rsidP="004F6459">
      <w:r>
        <w:t>Federal environmental statutes have historically accommodated these claims through confidential business information (CBI) provisions. Under the Toxic Substances Control Act (TSCA), manufacturers submitting health and safety data, chemical identities, and production volumes may claim CBI protection, and the Environmental Protection Agency has historically accepted a substantial majority of such claims with limited scrutiny. The Federal Insecticide, Fungicide, and Rodenticide Act (FIFRA) similarly permits CBI claims for pesticide formulations. The Emergency Planning and Community Right-to-Know Act (EPCRA) contains a trade secret exemption for hazardous chemical identities reported under its Tier I and Tier II provisions, though it requires substantiation.</w:t>
      </w:r>
    </w:p>
    <w:p w14:paraId="245DCD21" w14:textId="77777777" w:rsidR="00CD549B" w:rsidRPr="00B72334" w:rsidRDefault="00E62B27" w:rsidP="004F6459">
      <w:r>
        <w:t xml:space="preserve">The scholarly literature on this intersection is substantial but operates within the balance paradigm. Mary Lyndon’s foundational work, spanning more than two decades, has argued that </w:t>
      </w:r>
      <w:r>
        <w:lastRenderedPageBreak/>
        <w:t>trade secrecy is “out of place” in environmental regulation because the social costs of concealing hazardous exposures outweigh the innovation benefits of protecting process information. Lyndon proposed a “no secret exposures” principle under which firms could protect manufacturing processes from competitor access but could not shield the identity of substances to which workers, communities, or ecosystems are exposed. Madeeha Dean’s proposal for an “Environmental FOIA” adopts a similar approach, arguing for a UK-style presumption of disclosure in environmental contexts, with the burden on firms to demonstrate that secrecy is justified. Christopher Morten’s “bounded gardens” model proposes a middle ground: regulators would receive full disclosure, hold it in confidence, and grant controlled access to researchers and oversight bodies without public release.</w:t>
      </w:r>
    </w:p>
    <w:p w14:paraId="3D932F2C" w14:textId="199C0A3F" w:rsidR="00CD549B" w:rsidRPr="00B72334" w:rsidRDefault="00E62B27" w:rsidP="004F6459">
      <w:r>
        <w:t>These proposals are thoughtful and, in many cases, well-calibrated to the doctrinal problems they address. Their limitation is analytic rather than normative. Each takes the political economy as given and asks how legal rules should be adjusted to produce a better balance. None asks why the balance tilts so consistently in the direction of secrecy, or what structural features of trade secret law make it particularly resistant to the kinds of adjustments these scholars propose.</w:t>
      </w:r>
    </w:p>
    <w:p w14:paraId="52859010" w14:textId="77777777" w:rsidR="00CD549B" w:rsidRPr="00B72334" w:rsidRDefault="00E62B27" w:rsidP="007C03F2">
      <w:pPr>
        <w:pStyle w:val="Heading2"/>
      </w:pPr>
      <w:bookmarkStart w:id="6" w:name="c.-the-fracking-disclosure-literature"/>
      <w:bookmarkEnd w:id="5"/>
      <w:r>
        <w:t>C. The Fracking Disclosure Literature</w:t>
      </w:r>
    </w:p>
    <w:p w14:paraId="68F490EC" w14:textId="77777777" w:rsidR="00CD549B" w:rsidRPr="00B72334" w:rsidRDefault="00E62B27" w:rsidP="00027756">
      <w:pPr>
        <w:pStyle w:val="FirstParagraph"/>
        <w:spacing w:before="0" w:after="0"/>
      </w:pPr>
      <w:r>
        <w:t>Hydraulic fracturing has generated its own specialized literature at the trade secret/environmental disclosure intersection, and the balance paradigm is especially visible there.</w:t>
      </w:r>
    </w:p>
    <w:p w14:paraId="0968A925" w14:textId="77777777" w:rsidR="00CD549B" w:rsidRPr="00B72334" w:rsidRDefault="00E62B27" w:rsidP="004F6459">
      <w:r>
        <w:t>Hannah Wiseman’s “Untested Waters” (2009) established the foundational account of fracking’s regulatory gaps, cataloguing the exemptions from federal environmental statutes and arguing for a more coherent regulatory framework. Her subsequent “Trade Secrets, Disclosure, and Dissent in a Fracturing Energy Revolution” (2011) brought the trade secret dimension to the foreground, documenting how operators and chemical suppliers invoke trade secret protections to withhold the identities and concentrations of fracking fluid chemicals from public disclosure. Wiseman treated trade secrecy as one of several obstacles to transparency, alongside the Halliburton Loophole, the absence of federal disclosure mandates, and the limitations of state regulatory capacity.</w:t>
      </w:r>
    </w:p>
    <w:p w14:paraId="0F2DAA24" w14:textId="77777777" w:rsidR="00CD549B" w:rsidRPr="00B72334" w:rsidRDefault="00E62B27" w:rsidP="004F6459">
      <w:r>
        <w:t>A second wave of scholarship focused on the IP dimensions of fracking secrecy. John Craven’s “Fracking Secrets” (2014) analyzed whether fracking fluid formulations satisfy the legal requirements for trade secret protection, concluding that many claims are dubious because the information lacks sufficient novelty or because operators fail to maintain adequate security measures. Sarah Spencer’s comparative analysis (2018) argued that patents, despite their costs and limitations, would serve the fracking industry’s intellectual property needs better than trade secrets because patents would allow firms to protect proprietary formulations without withholding safety-critical information from the public. Cody Johnson’s doctrinal analysis (2021) documented the structural reasons patents are “untenable” for most fracking fluid formulations: the novelty requirement is difficult to satisfy for incremental modifications to known chemical mixtures, the cost of prosecution is prohibitive for the large number of variant formulations in use, and the prior art landscape is dense.</w:t>
      </w:r>
    </w:p>
    <w:p w14:paraId="65E4D54F" w14:textId="77777777" w:rsidR="00CD549B" w:rsidRPr="00B72334" w:rsidRDefault="00E62B27" w:rsidP="004F6459">
      <w:r>
        <w:lastRenderedPageBreak/>
        <w:t>A third strand of the literature has approached the problem empirically. Matthew McFeeley’s comprehensive survey of state disclosure laws (2014) catalogued the trade secret exemptions embedded in every state fracking disclosure statute and documented wide variation in the stringency of substantiation requirements, challenge procedures, and emergency access provisions. More recently, Underhill et al. (2023) analyzed FracFocus data from 2014 to 2021 and documented that SDWA-regulated chemicals were used in fracking operations totaling approximately 282 million pounds, without federal oversight, as a direct consequence of the Halliburton Loophole. Yile Jiang’s accounting study (2024) introduced an ingenious empirical test: firms whose operations are located near water quality monitoring sites claim fewer chemicals as trade secrets than firms operating far from monitors, suggesting that at least some trade secret claims are opportunistic rather than genuine.</w:t>
      </w:r>
      <w:r>
        <w:rPr>
          <w:rStyle w:val="FootnoteReference"/>
        </w:rPr>
        <w:footnoteReference w:id="4"/>
      </w:r>
    </w:p>
    <w:p w14:paraId="16D81450" w14:textId="77777777" w:rsidR="00CD549B" w:rsidRPr="00B72334" w:rsidRDefault="00E62B27" w:rsidP="004F6459">
      <w:r>
        <w:t>Taken together, this literature has produced a detailed and damning account of the fracking disclosure regime’s failures. It has documented the breadth of trade secret exemptions, the weakness of substantiation requirements, the inadequacy of the FracFocus registry, and the empirical evidence of opportunistic secrecy claims. What it has not done is explain why the regime was constructed this way. The implicit answer is usually some combination of industry influence, legislative oversight, and agency resource constraints. The balance paradigm frames these as correctable deficiencies: if disclosure mandates were stronger, if trade secret claims were scrutinized more rigorously, if emergency access provisions were more robust, the balance could be reset.</w:t>
      </w:r>
    </w:p>
    <w:p w14:paraId="7A900804" w14:textId="77777777" w:rsidR="00CD549B" w:rsidRPr="00B72334" w:rsidRDefault="00E62B27" w:rsidP="007C03F2">
      <w:pPr>
        <w:pStyle w:val="Heading2"/>
      </w:pPr>
      <w:bookmarkStart w:id="7" w:name="d.-what-the-balance-paradigm-misses"/>
      <w:bookmarkEnd w:id="6"/>
      <w:r>
        <w:t>D. What the Balance Paradigm Misses</w:t>
      </w:r>
    </w:p>
    <w:p w14:paraId="0290822F" w14:textId="77777777" w:rsidR="00CD549B" w:rsidRPr="00B72334" w:rsidRDefault="00E62B27" w:rsidP="00027756">
      <w:pPr>
        <w:pStyle w:val="FirstParagraph"/>
        <w:spacing w:before="0" w:after="0"/>
      </w:pPr>
      <w:r>
        <w:t>The balance paradigm’s central weakness is its treatment of trade secret law as a neutral doctrinal framework that occasionally produces suboptimal outcomes. On this view, the fracking disclosure regime’s failures result from the particular choices made by particular legislators and regulators in particular political contexts, choices that might have gone differently and that could in principle be reversed through better legislation, more aggressive agency action, or more demanding judicial review.</w:t>
      </w:r>
    </w:p>
    <w:p w14:paraId="7CDEFACB" w14:textId="002147B8" w:rsidR="00CD549B" w:rsidRPr="00B72334" w:rsidRDefault="00E62B27" w:rsidP="004F6459">
      <w:r>
        <w:t xml:space="preserve">Public choice theory offers a different diagnosis. The fracking disclosure regime’s architecture is not an accident or an oversight. It is the predictable product of a political economy in which the benefits of secrecy are concentrated in a small number of high-value firms while the costs are dispersed across millions of affected persons who lack the information, organization, and incentive to demand transparency. Trade secret law does not merely participate in this political economy. Its structural properties afford the construction and maintenance of </w:t>
      </w:r>
      <w:r>
        <w:lastRenderedPageBreak/>
        <w:t>regimes of opacity with unusual effectiveness—lowering the cost of obtaining favorable rules for concentrated interests while simultaneously raising the cost of detecting those favorable rules for diffuse publics.</w:t>
      </w:r>
    </w:p>
    <w:p w14:paraId="11484705" w14:textId="77777777" w:rsidR="00CD549B" w:rsidRPr="00B72334" w:rsidRDefault="00E62B27" w:rsidP="004F6459">
      <w:r>
        <w:t>To see why, one must step outside the doctrinal frame and examine trade secrecy through the lens of public choice theory. That examination is the work of Part II.</w:t>
      </w:r>
    </w:p>
    <w:p w14:paraId="1CD94C3B" w14:textId="77777777" w:rsidR="00CD549B" w:rsidRPr="00B72334" w:rsidRDefault="00E62B27" w:rsidP="007C03F2">
      <w:pPr>
        <w:pStyle w:val="Heading1"/>
      </w:pPr>
      <w:bookmarkStart w:id="8" w:name="part-ii.-the-public-choice-analysis"/>
      <w:bookmarkEnd w:id="3"/>
      <w:bookmarkEnd w:id="7"/>
      <w:r>
        <w:t>Part II. The Public Choice Analysis</w:t>
      </w:r>
    </w:p>
    <w:p w14:paraId="574E3CDD" w14:textId="77777777" w:rsidR="00CD549B" w:rsidRPr="00B72334" w:rsidRDefault="00E62B27" w:rsidP="00027756">
      <w:pPr>
        <w:pStyle w:val="FirstParagraph"/>
        <w:spacing w:before="0" w:after="0"/>
      </w:pPr>
      <w:r>
        <w:t>The public choice tradition in law and economics begins from a disarmingly simple observation: political actors, like market actors, respond to incentives. Legislators seek reelection. Regulators seek budgetary security and the avoidance of political conflict. Interest groups seek favorable rules. The outcomes of regulatory processes reflect the relative intensity, organization, and resources of the groups competing for influence, not some abstract “public interest” that the process mechanically discovers and implements. The canonical contributions of Olson, Stigler, Peltzman, and Yandle each illuminate a different dimension of this political economy, and each applies with particular force to trade secret law. Before developing those applications, this Part situates the Article’s methodological approach and specifies the conditions under which its central claims would be falsified.</w:t>
      </w:r>
    </w:p>
    <w:p w14:paraId="6F81C46C" w14:textId="77777777" w:rsidR="00CD549B" w:rsidRPr="00B72334" w:rsidRDefault="00E62B27" w:rsidP="007C03F2">
      <w:pPr>
        <w:pStyle w:val="Heading2"/>
      </w:pPr>
      <w:bookmarkStart w:id="9" w:name="X17b4c03cd8f13a1bc98de0a6f757df0688c31b1"/>
      <w:r>
        <w:t>A. Methodological Orientation: Public Choice Theory and Its Alternatives</w:t>
      </w:r>
    </w:p>
    <w:p w14:paraId="605950C7" w14:textId="48CFA56C" w:rsidR="00CD549B" w:rsidRPr="00B72334" w:rsidRDefault="00E62B27" w:rsidP="00027756">
      <w:pPr>
        <w:pStyle w:val="FirstParagraph"/>
        <w:spacing w:before="0" w:after="0"/>
      </w:pPr>
      <w:r>
        <w:t>The analytical framework deployed in this Article belongs to the Virginia School tradition of public choice theory, whose foundational contributors—Buchanan, Tullock, Olson, Stigler, and Peltzman—developed models of political behavior grounded in rational actor assumptions and capable of generating testable predictions about institutional outcomes.</w:t>
      </w:r>
      <w:r>
        <w:rPr>
          <w:rStyle w:val="FootnoteReference"/>
        </w:rPr>
        <w:footnoteReference w:id="5"/>
      </w:r>
      <w:r>
        <w:t xml:space="preserve"> The framework is positive, not normative. It identifies the structural conditions under which trade secret law is susceptible to capture without presupposing that capture is normatively undesirable. The normative claim—that the resulting opacity architecture imposes unjustified costs on public health, environmental protection, and democratic governance—follows from the empirical analysis, not from the framework’s premises.</w:t>
      </w:r>
    </w:p>
    <w:p w14:paraId="5D7CD18F" w14:textId="77777777" w:rsidR="00CD549B" w:rsidRPr="00B72334" w:rsidRDefault="00E62B27" w:rsidP="004F6459">
      <w:r>
        <w:t xml:space="preserve">The primary scholarly alternative to this approach is the law and political economy (LPE) tradition, which has recently produced important work on trade secrecy and intellectual property </w:t>
      </w:r>
      <w:r>
        <w:lastRenderedPageBreak/>
        <w:t>more broadly. Amy Kapczynski’s historical account of trade secrecy’s reconceptualization as “intellectual property” documents the phenomena that the present Article explains.</w:t>
      </w:r>
      <w:r>
        <w:rPr>
          <w:rStyle w:val="FootnoteReference"/>
        </w:rPr>
        <w:footnoteReference w:id="6"/>
      </w:r>
      <w:r>
        <w:t xml:space="preserve"> Bracha and Syed’s ambitious effort to construct an LPE framework for intellectual property identifies “structural market dynamics” and “ideological formations” as drivers of IP expansion.</w:t>
      </w:r>
      <w:r>
        <w:rPr>
          <w:rStyle w:val="FootnoteReference"/>
        </w:rPr>
        <w:footnoteReference w:id="7"/>
      </w:r>
      <w:r>
        <w:t xml:space="preserve"> These contributions are valuable and are generously cited throughout this Article. The methodological distinction between the two approaches is, however, fundamental.</w:t>
      </w:r>
    </w:p>
    <w:p w14:paraId="1880510A" w14:textId="14CD3A64" w:rsidR="00CD549B" w:rsidRPr="00B72334" w:rsidRDefault="00E62B27" w:rsidP="004F6459">
      <w:r>
        <w:t>The Virginia School framework derives institutional outcomes from the incentive structures facing identifiable actors: firms calculate the expected return on political investment in secrecy protections; legislators and regulators calculate the political costs and benefits of supplying those protections; diffuse publics face collective action problems whose magnitude depends on group size, per-capita stakes, and information availability. These calculations can be modeled, and their predictions tested. The LPE tradition, by contrast, attributes institutional outcomes to “structural” forces</w:t>
      </w:r>
      <w:r w:rsidR="007365C1">
        <w:t xml:space="preserve"> (e.g., </w:t>
      </w:r>
      <w:r>
        <w:t>market power, ideological formations, distributional inequality</w:t>
      </w:r>
      <w:r w:rsidR="007365C1">
        <w:t xml:space="preserve">) </w:t>
      </w:r>
      <w:r>
        <w:t>whose causal mechanisms are left largely unspecified.</w:t>
      </w:r>
      <w:r>
        <w:rPr>
          <w:rStyle w:val="FootnoteReference"/>
        </w:rPr>
        <w:footnoteReference w:id="8"/>
      </w:r>
      <w:r>
        <w:t xml:space="preserve"> The resulting analysis is often insightful but rarely predictive. The distinction matters because it makes the present analysis accessible to scholars and policymakers who may not share LPE’s normative commitments, but who are persuadable by empirical evidence of institutional dysfunction.</w:t>
      </w:r>
    </w:p>
    <w:p w14:paraId="37D3D401" w14:textId="30877DBB" w:rsidR="00CD549B" w:rsidRPr="00B72334" w:rsidRDefault="00E62B27" w:rsidP="004F6459">
      <w:r>
        <w:t>A third scholarly tradition warrants positioning here. Buccafusco, Masur, and Varadarajan’s recent work on trade secrecy’s “information paradox” applies the doctrinal-screens and costly-screens frameworks of IP theory to trade secret doctrine. Their analysis, which Part II.D engages in detail, asks whether the legal system can evaluate trade secret claims</w:t>
      </w:r>
      <w:r w:rsidR="007365C1">
        <w:t xml:space="preserve"> </w:t>
      </w:r>
      <w:r>
        <w:t>and concludes that it largely cannot. This Article draws on a different analytical tradition—public choice economics—to address a different question: not whether we can evaluate those claims, but why the legal architecture that prevents evaluation was constructed and why it persists.</w:t>
      </w:r>
    </w:p>
    <w:p w14:paraId="0DB1AA4D" w14:textId="1106080E" w:rsidR="00CD549B" w:rsidRPr="00B72334" w:rsidRDefault="00E62B27" w:rsidP="004F6459">
      <w:r>
        <w:t>This methodological separation has a concrete disciplinary consequence: the Article’s central claims are falsifiable. The thesis would be falsified if: (a) trade secret claims in the fracking context were not positively correlated with the structural properties the framework identifies</w:t>
      </w:r>
      <w:r w:rsidR="002022CE">
        <w:t xml:space="preserve">; </w:t>
      </w:r>
      <w:r>
        <w:t xml:space="preserve">that is, if operators claimed trade secrets at equal rates regardless of monitoring proximity, political salience, or enforcement probability (Jiang’s 2024 empirical study in fact </w:t>
      </w:r>
      <w:r>
        <w:rPr>
          <w:i/>
          <w:iCs/>
        </w:rPr>
        <w:t>confirms</w:t>
      </w:r>
      <w:r>
        <w:t xml:space="preserve"> the framework’s prediction: operators claim fewer trade secrets near monitors, indicating strategic behavior responsive to detection risk);</w:t>
      </w:r>
      <w:r>
        <w:rPr>
          <w:rStyle w:val="FootnoteReference"/>
        </w:rPr>
        <w:footnoteReference w:id="9"/>
      </w:r>
      <w:r>
        <w:t xml:space="preserve"> (b) jurisdictions that reformed trade secret protections without structural institutional redesign nevertheless achieved sustained transparency gains (Colorado’s HB 22-1348 experience directly tests this: the law eliminated the trade secret exemption, yet implementation was undermined by agency interpretation, inadequate </w:t>
      </w:r>
      <w:r>
        <w:lastRenderedPageBreak/>
        <w:t>enforcement, and mass noncompliance</w:t>
      </w:r>
      <w:r w:rsidR="002022CE">
        <w:t xml:space="preserve">, which is </w:t>
      </w:r>
      <w:r>
        <w:t xml:space="preserve">exactly the Peltzman equilibrium prediction); or (c) trade secret law exhibited no pattern of concentrated-benefit/dispersed-cost dynamics distinguishable from other legal instruments (the antitrust vacuum analysis developed in Section F below establishes that trade secret law </w:t>
      </w:r>
      <w:r>
        <w:rPr>
          <w:i/>
          <w:iCs/>
        </w:rPr>
        <w:t>does</w:t>
      </w:r>
      <w:r>
        <w:t xml:space="preserve"> possess a structurally distinctive accountability deficit compared to patent law). These criteria distinguish the present framework from accounts—including some within the LPE tradition—that can accommodate any outcome post hoc.</w:t>
      </w:r>
      <w:r>
        <w:rPr>
          <w:rStyle w:val="FootnoteReference"/>
        </w:rPr>
        <w:footnoteReference w:id="10"/>
      </w:r>
    </w:p>
    <w:p w14:paraId="73DF1241" w14:textId="77777777" w:rsidR="00CD549B" w:rsidRPr="00B72334" w:rsidRDefault="00E62B27" w:rsidP="007C03F2">
      <w:pPr>
        <w:pStyle w:val="Heading2"/>
      </w:pPr>
      <w:bookmarkStart w:id="10" w:name="Xb5ecee88bad7ad30e4808838215a760a7ce9c06"/>
      <w:bookmarkEnd w:id="9"/>
      <w:r>
        <w:t>B. Concentrated Benefits, Dispersed Costs, and the Demand for Opacity</w:t>
      </w:r>
    </w:p>
    <w:p w14:paraId="4FCC2FFD" w14:textId="77777777" w:rsidR="00CD549B" w:rsidRPr="00B72334" w:rsidRDefault="00E62B27" w:rsidP="00027756">
      <w:pPr>
        <w:pStyle w:val="FirstParagraph"/>
        <w:spacing w:before="0" w:after="0"/>
      </w:pPr>
      <w:r>
        <w:t xml:space="preserve">Mancur Olson’s </w:t>
      </w:r>
      <w:r>
        <w:rPr>
          <w:i/>
          <w:iCs/>
        </w:rPr>
        <w:t>The Logic of Collective Action</w:t>
      </w:r>
      <w:r>
        <w:t xml:space="preserve"> (1965) demonstrated that groups whose members share a common interest will not necessarily organize to pursue that interest. The capacity for collective action depends on group size, per-capita stakes, and the availability of selective incentives. Small groups with large per-capita stakes organize readily. Large groups with small per-capita stakes face free-rider problems that frequently prove insurmountable. The political consequence is that regulations, subsidies, and exemptions will tend to favor compact, well-organized interests at the expense of diffuse publics.</w:t>
      </w:r>
    </w:p>
    <w:p w14:paraId="6759D7CC" w14:textId="77777777" w:rsidR="00CD549B" w:rsidRPr="00B72334" w:rsidRDefault="00E62B27" w:rsidP="004F6459">
      <w:r>
        <w:t>Trade secrecy maps onto Olson’s framework with unusual precision. The benefits of maintaining secrecy over commercially sensitive information are intensely concentrated. A fracking fluid manufacturer that can shield the composition of its proprietary blends from competitors, regulators, and the public preserves a stream of rents that may be worth hundreds of millions of dollars annually. A pharmaceutical company that conceals adverse event data or manufacturing process details avoids liability exposure and maintains pricing power. A technology firm that shields its algorithm’s decision logic from regulatory scrutiny avoids compliance costs and preserves the competitive advantage of opacity. In each case, the per-capita benefit to the information-holding firm is large, easily identifiable, and directly tied to the legal regime’s structure.</w:t>
      </w:r>
    </w:p>
    <w:p w14:paraId="7CB8939C" w14:textId="77777777" w:rsidR="00CD549B" w:rsidRPr="00B72334" w:rsidRDefault="00E62B27" w:rsidP="004F6459">
      <w:r>
        <w:t xml:space="preserve">The costs of that secrecy are dispersed across a vast and heterogeneous population. Communities near fracking operations bear elevated health risks from chemical exposure, but no individual community member knows which chemicals are present, at what concentrations, or through what exposure pathways, because that information is shielded by trade secret claims. Workers in chemical manufacturing facilities are exposed to proprietary formulations whose long-term toxicological profiles are unknown. Consumers use products whose ingredients are </w:t>
      </w:r>
      <w:r>
        <w:lastRenderedPageBreak/>
        <w:t>partially concealed. Taxpayers fund regulatory agencies that lack the information needed to perform their statutory mandates.</w:t>
      </w:r>
    </w:p>
    <w:p w14:paraId="5003B418" w14:textId="77777777" w:rsidR="00CD549B" w:rsidRPr="00B72334" w:rsidRDefault="00E62B27" w:rsidP="004F6459">
      <w:r>
        <w:t>Olson’s logic predicts that the firms holding proprietary information will invest heavily in obtaining and maintaining legal protections for secrecy, while the diffuse population bearing the costs of secrecy will underinvest in demanding transparency. The prediction holds empirically. The fracking industry’s political expenditures on the Energy Policy Act of 2005, including campaign contributions, lobbying, and the staffing of the Cheney Energy Task Force, were substantial and well-documented. The public opposition to the Halliburton Loophole, by contrast, materialized only years after the exemption’s passage, when investigative journalism and documentary filmmaking brought the issue to broader attention. By that point, the legal architecture was in place and politically entrenched.</w:t>
      </w:r>
    </w:p>
    <w:p w14:paraId="3920D044" w14:textId="5A39C3CB" w:rsidR="00CD549B" w:rsidRPr="00B72334" w:rsidRDefault="00527894" w:rsidP="004F6459">
      <w:r>
        <w:t>Resource</w:t>
      </w:r>
      <w:r w:rsidR="00E62B27">
        <w:t xml:space="preserve"> asymmetry is not </w:t>
      </w:r>
      <w:r>
        <w:t>the only reason concentrated interest secure political benefits</w:t>
      </w:r>
      <w:r w:rsidR="00E62B27">
        <w:t xml:space="preserve">. </w:t>
      </w:r>
      <w:r w:rsidR="00F9313D">
        <w:t>I</w:t>
      </w:r>
      <w:r w:rsidR="00E62B27">
        <w:t>nformation</w:t>
      </w:r>
      <w:r w:rsidR="00F9313D">
        <w:t xml:space="preserve"> asymmetry also drives the logic of public choice</w:t>
      </w:r>
      <w:r w:rsidR="000507AE">
        <w:t xml:space="preserve"> theory</w:t>
      </w:r>
      <w:r w:rsidR="00E62B27">
        <w:t>. The firms that benefit from secrecy know exactly what they are concealing and precisely what the legal protections are worth. The public that bears the costs of secrecy does not know what it does not know. A subsidy appears in a budget and can be identified, measured, and debated. A tariff raises prices in ways that consumers can observe, even if they do not attribute the increase to trade policy. Trade secrecy, by contrast, conceals the very existence of the information whose absence imposes costs. The asymmetry is epistemic as well as political, and the epistemic asymmetry reinforces the political one.</w:t>
      </w:r>
    </w:p>
    <w:p w14:paraId="3AE2887C" w14:textId="77777777" w:rsidR="00CD549B" w:rsidRPr="00B72334" w:rsidRDefault="00E62B27" w:rsidP="007C03F2">
      <w:pPr>
        <w:pStyle w:val="Heading2"/>
      </w:pPr>
      <w:bookmarkStart w:id="11" w:name="Xe836527b01997bc2c9f98a9d44899ab8ba2d68b"/>
      <w:bookmarkEnd w:id="10"/>
      <w:r>
        <w:t>C. Regulatory Capture and the Supply of Secrecy</w:t>
      </w:r>
    </w:p>
    <w:p w14:paraId="1F9AD756" w14:textId="77777777" w:rsidR="00CD549B" w:rsidRPr="00B72334" w:rsidRDefault="00E62B27" w:rsidP="00027756">
      <w:pPr>
        <w:pStyle w:val="FirstParagraph"/>
        <w:spacing w:before="0" w:after="0"/>
      </w:pPr>
      <w:r>
        <w:t>If Olson explains the demand for favorable trade secret rules, Stigler and Peltzman explain the supply. George Stigler’s “Theory of Economic Regulation” (1971) argued that regulation is “acquired by the industry and is designed and operated primarily for its benefit.” Stigler identified several mechanisms: direct subsidies, barriers to entry, price-fixing, and the suppression of substitutes. Sam Peltzman’s refinement (1976) modeled the regulator as an actor who maximizes political support by balancing the demands of organized industry groups against the latent opposition of diffuse consumer interests. On Peltzman’s model, regulators supply favorable rules to the groups whose political support or opposition is most sensitive to the regulatory outcome. When a policy domain is technically complex, when regulators depend on industry for data and expertise, and when the affected public is poorly organized, the Peltzman equilibrium will strongly favor industry.</w:t>
      </w:r>
    </w:p>
    <w:p w14:paraId="1243D35D" w14:textId="77777777" w:rsidR="00CD549B" w:rsidRPr="00B72334" w:rsidRDefault="00E62B27" w:rsidP="004F6459">
      <w:r>
        <w:t>Chemical regulation and energy production satisfy these conditions comprehensively. The EPA’s capacity to evaluate chemical hazards depends substantially on data submitted by manufacturers, because the agency lacks the resources to conduct independent toxicological testing on the tens of thousands of chemicals in commerce. State oil and gas commissions, which regulate fracking operations, are typically small agencies staffed by personnel who rotate between government service and industry employment. The technical complexity of fracking fluid chemistry, well engineering, and subsurface hydrology makes independent assessment difficult for legislators, courts, and the general public.</w:t>
      </w:r>
    </w:p>
    <w:p w14:paraId="4F105773" w14:textId="77777777" w:rsidR="00CD549B" w:rsidRPr="00B72334" w:rsidRDefault="00E62B27" w:rsidP="004F6459">
      <w:r>
        <w:lastRenderedPageBreak/>
        <w:t>In this environment, trade secret protections are a particularly attractive form of regulatory output for three reasons.</w:t>
      </w:r>
    </w:p>
    <w:p w14:paraId="40F7A740" w14:textId="77777777" w:rsidR="00CD549B" w:rsidRPr="00B72334" w:rsidRDefault="00E62B27" w:rsidP="004F6459">
      <w:r>
        <w:t>First, they operate at low political salience. Changes to trade secret exemptions, confidential business information procedures, or FOIA carve-backs are technical and procedural. They lack the political visibility of, say, a drilling moratorium or an emissions standard. A legislator who votes to broaden a trade secret exemption in an omnibus energy bill faces negligible political cost, because the exemption’s beneficiaries know what they are getting while the broader public has no idea what it is losing. The low salience of trade secret provisions also means that ideology is less relevant as a driver of legislative outcomes in this domain than in high-visibility policy areas.</w:t>
      </w:r>
      <w:r>
        <w:rPr>
          <w:rStyle w:val="FootnoteReference"/>
        </w:rPr>
        <w:footnoteReference w:id="11"/>
      </w:r>
    </w:p>
    <w:p w14:paraId="77D81F3C" w14:textId="77777777" w:rsidR="00CD549B" w:rsidRPr="00B72334" w:rsidRDefault="00E62B27" w:rsidP="004F6459">
      <w:r>
        <w:t>Second, trade secret protections are cross-cutting. Once established in statute or common law, they can be invoked across multiple regulatory domains. A trade secret exemption embedded in a state’s fracking disclosure law also affects the state’s public records act, its emergency response protocols, its occupational safety regime, and its tort litigation landscape. The single legislative act produces benefits in multiple arenas, multiplying its value to the organized interests that sought it.</w:t>
      </w:r>
    </w:p>
    <w:p w14:paraId="39332A99" w14:textId="07D5D926" w:rsidR="00CD549B" w:rsidRPr="00B72334" w:rsidRDefault="00E62B27" w:rsidP="004F6459">
      <w:r>
        <w:t>Third, trade secret protections are durable. Unlike appropriations, which must be renewed annually, or agency guidance, which can be revised by a new administration, trade secret protections embedded in statutes and reinforced by common-law doctrine are sticky. They survive changes in political control. They are enforceable by courts. They create reliance interests that make repeal politically costly. The Halliburton Loophole has been the target of repeal legislation, the FRAC Act, in every Congress since the 111th (2009)—most recently reintroduced as H.R. 6082 in the 119th Congress on November 18, 2025, the ninth consecutive Congress in which some version of the bill has been introduced. The bill has never received a floor vote in either chamber.</w:t>
      </w:r>
      <w:r>
        <w:rPr>
          <w:rStyle w:val="FootnoteReference"/>
        </w:rPr>
        <w:footnoteReference w:id="12"/>
      </w:r>
    </w:p>
    <w:p w14:paraId="7AF5F556" w14:textId="63D1AE97" w:rsidR="00CD549B" w:rsidRPr="00B72334" w:rsidRDefault="00E62B27" w:rsidP="007C03F2">
      <w:pPr>
        <w:pStyle w:val="Heading2"/>
      </w:pPr>
      <w:bookmarkStart w:id="12" w:name="Xb8c887b8ef9e70b3db391e12a561bf7df91ae47"/>
      <w:bookmarkEnd w:id="11"/>
      <w:r>
        <w:t xml:space="preserve">D. </w:t>
      </w:r>
      <w:r w:rsidR="006C2E15">
        <w:t>Recursion</w:t>
      </w:r>
      <w:r>
        <w:t>: How Trade Secret Capture Conceals Its Own Existence</w:t>
      </w:r>
    </w:p>
    <w:p w14:paraId="48D1E891" w14:textId="64D5DCB1" w:rsidR="00CD549B" w:rsidRPr="00B72334" w:rsidRDefault="00E62B27" w:rsidP="00027756">
      <w:pPr>
        <w:pStyle w:val="FirstParagraph"/>
        <w:spacing w:before="0" w:after="0"/>
      </w:pPr>
      <w:r>
        <w:t xml:space="preserve">The features identified above—concentrated benefits, dispersed costs, low salience, cross-cutting applicability, and durability—are not unique to trade secrecy. Tariffs, tax preferences, and licensing restrictions share some of these properties. Trade secrecy possesses an additional </w:t>
      </w:r>
      <w:r>
        <w:lastRenderedPageBreak/>
        <w:t>structural feature that distinguishes it from these other instruments of regulatory capture and makes it, in the terminology adopted here, a political technology of exceptional power. This feature—</w:t>
      </w:r>
      <w:r w:rsidRPr="008C68A1">
        <w:rPr>
          <w:b/>
          <w:bCs/>
        </w:rPr>
        <w:t>recursion</w:t>
      </w:r>
      <w:r>
        <w:t>—is the Article’s central theoretical contribution.</w:t>
      </w:r>
    </w:p>
    <w:p w14:paraId="37D3D3F9" w14:textId="77777777" w:rsidR="00CD549B" w:rsidRPr="00B72334" w:rsidRDefault="00E62B27" w:rsidP="004F6459">
      <w:r>
        <w:t>Recent IP scholarship has identified a closely related problem. Buccafusco, Masur, and Varadarajan’s analysis of trade secrecy’s “information paradox” demonstrates that policymakers, courts, and regulators cannot determine whether a given trade secret is socially beneficial or socially harmful without first examining the secret’s content—yet examination destroys the secrecy that justifies the protection. The paradox is structural: because trade secrets require no registration, no examination, and no disclosure, there is no institutional moment at which this social-value assessment can occur. Their framework establishes that trade secret doctrine lacks the filtering mechanisms that patent and copyright law use to screen out socially harmful rights at the threshold. The recursive property identified here adds a different dimension. Where the information paradox describes a condition—the impossibility of evaluating a secret without destroying it—the recursive property describes a process: the way in which trade secrecy’s concealment of information actively weakens the political forces that would demand evaluation in the first place. The information paradox explains why outsiders cannot easily assess whether a trade secret claim is justified. The recursive property, drawing on the public choice framework developed above, explains why concentrated interests actively resist such assessment and why the resulting opacity deepens over time through identifiable political mechanisms. The information paradox is, in this sense, a necessary condition for the political technology this Article identifies. If outsiders could costlessly evaluate trade secret claims, the recursive cycle would be far weaker: evidence of harm would be available, political mobilization would be possible, and the Peltzman equilibrium would shift. The paradox creates the informational void in which the political dynamics of capture operate.</w:t>
      </w:r>
    </w:p>
    <w:p w14:paraId="37D3D400" w14:textId="77777777" w:rsidR="00CD549B" w:rsidRPr="00B72334" w:rsidRDefault="00E62B27" w:rsidP="004F6459">
      <w:r>
        <w:t>The recursive property does not guarantee capture. It makes capture harder to detect and reverse. Trade secrecy conceals the information that would be necessary to detect, measure, and politically mobilize against the costs of secrecy itself.</w:t>
      </w:r>
    </w:p>
    <w:p w14:paraId="5477D45E" w14:textId="77777777" w:rsidR="00CD549B" w:rsidRPr="00B72334" w:rsidRDefault="00E62B27" w:rsidP="004F6459">
      <w:r>
        <w:t>An agricultural subsidy can be found in the federal budget. Its cost to taxpayers can be calculated. Interest groups opposed to the subsidy can cite a dollar figure, identify the beneficiaries, and construct a political narrative. A protective tariff raises the price of imported goods in ways that, while not always salient to consumers, are in principle measurable and attributable. The information needed to critique and oppose these policies is available, even if political incentives discourage its use.</w:t>
      </w:r>
    </w:p>
    <w:p w14:paraId="141AFCFB" w14:textId="77777777" w:rsidR="00CD549B" w:rsidRPr="00B72334" w:rsidRDefault="00E62B27" w:rsidP="004F6459">
      <w:r>
        <w:t>Trade secrecy is different. When a fracking fluid manufacturer claims trade secret protection over the identity and concentration of chemicals injected into a well, the public does not merely lose access to that information. It loses the ability to determine what it is missing. A community that does not know which chemicals are present in its groundwater cannot assess the health risks those chemicals pose. An epidemiologist who does not know the composition of fracking fluids used in a region cannot design a study to measure exposure. A tort plaintiff who does not know which chemicals the defendant injected cannot establish specific causation. A legislator considering a disclosure mandate cannot point to a specific harm caused by a specific concealed chemical, because the concealment is the very thing that prevents the identification.</w:t>
      </w:r>
    </w:p>
    <w:p w14:paraId="6A67F310" w14:textId="77777777" w:rsidR="00CD549B" w:rsidRPr="00B72334" w:rsidRDefault="00E62B27" w:rsidP="004F6459">
      <w:r>
        <w:lastRenderedPageBreak/>
        <w:t>The result is a form of self-reinforcing opacity. The initial act of concealment, the trade secret claim, removes the information that would be needed to demonstrate that the concealment is harmful. The absence of demonstrated harm, in turn, reduces the political demand for disclosure. Legislators and regulators, operating within the Peltzman equilibrium, perceive weak public demand for transparency and strong industry demand for secrecy, and they act accordingly. The cycle repeats.</w:t>
      </w:r>
    </w:p>
    <w:p w14:paraId="30E48A66" w14:textId="77777777" w:rsidR="00CD549B" w:rsidRPr="00B72334" w:rsidRDefault="00E62B27" w:rsidP="004F6459">
      <w:r>
        <w:t>No other common instrument of regulatory capture possesses this recursive property to the same degree.</w:t>
      </w:r>
      <w:r>
        <w:rPr>
          <w:rStyle w:val="FootnoteReference"/>
        </w:rPr>
        <w:footnoteReference w:id="13"/>
      </w:r>
      <w:r>
        <w:t xml:space="preserve"> A subsidy’s cost is visible even if its beneficiaries are politically powerful. A tariff’s price effects are measurable even if consumers do not organize against them. Trade secrecy hides the evidence of its own costs, making the political mobilization that would be necessary to dismantle it structurally more difficult than mobilization against other forms of capture.</w:t>
      </w:r>
    </w:p>
    <w:p w14:paraId="4A9E3FE0" w14:textId="77777777" w:rsidR="00CD549B" w:rsidRPr="00B72334" w:rsidRDefault="00E62B27" w:rsidP="004F6459">
      <w:r>
        <w:t>The recursive property also explains why the structural properties of trade secret doctrine afford capture to a degree that other instruments do not, even when those instruments share some of the same features. A subsidy may be concentrated, durable, and cross-cutting. But it does not conceal the evidence that would be needed to mobilize against it. Trade secrecy does. The recursive property is what makes the affordance distinctive.</w:t>
      </w:r>
    </w:p>
    <w:p w14:paraId="34053F87" w14:textId="77777777" w:rsidR="00CD549B" w:rsidRPr="00B72334" w:rsidRDefault="00E62B27" w:rsidP="007C03F2">
      <w:pPr>
        <w:pStyle w:val="Heading2"/>
      </w:pPr>
      <w:bookmarkStart w:id="13" w:name="Xec86b03fb95e8ef4a742017bdcfeed741ae2881"/>
      <w:bookmarkEnd w:id="12"/>
      <w:r>
        <w:t>E. Bootleggers and Baptists: The Coalition Dynamics of Opacity</w:t>
      </w:r>
    </w:p>
    <w:p w14:paraId="4862FF00" w14:textId="77777777" w:rsidR="00CD549B" w:rsidRPr="00B72334" w:rsidRDefault="00E62B27" w:rsidP="00027756">
      <w:pPr>
        <w:pStyle w:val="FirstParagraph"/>
        <w:spacing w:before="0" w:after="0"/>
      </w:pPr>
      <w:r>
        <w:t xml:space="preserve">Bruce Yandle’s Bootleggers and Baptists model (1983) adds a final dimension to the analysis. Yandle observed that durable regulatory outcomes are typically supported by coalitions that pair two kinds of actors: “bootleggers,” who benefit economically from the regulation and would support it on self-interested grounds, and “Baptists,” who support the regulation on moral, ideological, or public-spirited grounds and whose rhetoric provides political legitimacy that the bootleggers’ naked self-interest could not supply. Sunday closing laws, Yandle’s original example, were supported both by liquor store owners who wanted to suppress competition from restaurants and groceries (bootleggers) and by religious groups who wanted to honor the </w:t>
      </w:r>
      <w:r>
        <w:lastRenderedPageBreak/>
        <w:t>Sabbath (Baptists). The coalition’s durability derived from its dual legitimacy: the Baptists’ moral authority deflected accusations of rent-seeking, while the bootleggers’ resources financed political action.</w:t>
      </w:r>
    </w:p>
    <w:p w14:paraId="18DD7E7D" w14:textId="77777777" w:rsidR="00CD549B" w:rsidRPr="00B72334" w:rsidRDefault="00E62B27" w:rsidP="004F6459">
      <w:r>
        <w:t>Yandle’s model is typically applied to the imposition of regulation: environmental standards, licensing requirements, trade barriers. Its application to deregulatory exemptions is less common but equally illuminating, and the Halliburton Loophole provides a clear illustration.</w:t>
      </w:r>
    </w:p>
    <w:p w14:paraId="044A52F0" w14:textId="77777777" w:rsidR="00CD549B" w:rsidRPr="00B72334" w:rsidRDefault="00E62B27" w:rsidP="004F6459">
      <w:r>
        <w:t>The bootleggers in the fracking context are the chemical suppliers and operators whose trade secret portfolios are protected by the SDWA exemption. Halliburton, Schlumberger, and Baker Hughes are the largest oilfield services companies, and each maintains proprietary fracking fluid formulations whose commercial value depends on secrecy. Their economic interest in the exemption is direct, large, and well-understood.</w:t>
      </w:r>
    </w:p>
    <w:p w14:paraId="325C6647" w14:textId="77777777" w:rsidR="00CD549B" w:rsidRPr="00B72334" w:rsidRDefault="00E62B27" w:rsidP="004F6459">
      <w:r>
        <w:t>The Baptists are the energy independence advocates whose rhetoric framed the Energy Policy Act of 2005 as a matter of national security, economic growth, and freedom from foreign oil dependency. The Act’s supporters did not argue publicly that fracking should be exempt from the SDWA so that Halliburton could protect its trade secrets. They argued that domestic energy production was vital to American security and prosperity, that excessive environmental regulation would impede the shale revolution, and that state regulatory frameworks were adequate to protect public health. The public-spirited frame of the argument, energy independence and national security, provided the political cover that the industry’s self-interested case, protect our proprietary formulations, could not.</w:t>
      </w:r>
    </w:p>
    <w:p w14:paraId="1DCC8843" w14:textId="77777777" w:rsidR="00CD549B" w:rsidRPr="00B72334" w:rsidRDefault="00E62B27" w:rsidP="004F6459">
      <w:r>
        <w:t xml:space="preserve">The coalition’s structure is visible in the legislative history. The Cheney Energy Task Force, whose deliberations were famously shielded from public disclosure by the D.C. Circuit in </w:t>
      </w:r>
      <w:r>
        <w:rPr>
          <w:i/>
          <w:iCs/>
        </w:rPr>
        <w:t>In re Cheney</w:t>
      </w:r>
      <w:r>
        <w:t>, 406 F.3d 723 (D.C. Cir. 2005) (en banc), produced recommendations that aligned the national security rationale (Baptists) with the industry’s operational preferences (bootleggers). The Task Force’s composition, heavily weighted toward industry representatives, ensured that the technical design of the resulting legislation would serve industry interests. But its public framing, emphasizing energy security in the wake of September 11 and the Iraq War, ensured that the legislation would enjoy bipartisan support sufficient for passage.</w:t>
      </w:r>
    </w:p>
    <w:p w14:paraId="4A943D58" w14:textId="048D41A2" w:rsidR="00CD549B" w:rsidRPr="00B72334" w:rsidRDefault="00E62B27" w:rsidP="004F6459">
      <w:r>
        <w:t>The Bootleggers and Baptists model explains not only the Halliburton Loophole’s passage but also its persistence. The FRAC Act’s repeated failure—sixteen consecutive Congresses, no floor vote—reflects the coalition’s ongoing vitality: any effort to repeal the exemption must overcome both the industry’s lobbying resources (the bootleggers’ direct political expenditures) and the political narrative of energy independence (the Baptists’ ongoing rhetorical contribution). The two reinforcing sources of support make the coalition more durable than either could be alone.</w:t>
      </w:r>
    </w:p>
    <w:p w14:paraId="34022BFE" w14:textId="77777777" w:rsidR="00CD549B" w:rsidRPr="00B72334" w:rsidRDefault="00E62B27" w:rsidP="007C03F2">
      <w:pPr>
        <w:pStyle w:val="Heading2"/>
      </w:pPr>
      <w:bookmarkStart w:id="14" w:name="X8fe1e79122071d708273bf264a5e72173b7de67"/>
      <w:bookmarkEnd w:id="13"/>
      <w:r>
        <w:t>F. The Accountability Gap: Why Trade Secrets Escape the Antitrust Constraints That Discipline Patents</w:t>
      </w:r>
    </w:p>
    <w:p w14:paraId="525E6CA4" w14:textId="65C69AD2" w:rsidR="00CD549B" w:rsidRPr="00B72334" w:rsidRDefault="00E62B27" w:rsidP="00027756">
      <w:pPr>
        <w:pStyle w:val="FirstParagraph"/>
        <w:spacing w:before="0" w:after="0"/>
      </w:pPr>
      <w:r>
        <w:t xml:space="preserve">The structural properties identified above—concentrated benefits, dispersed costs, low salience, cross-cutting applicability, durability, and recursion—explain why trade secret doctrine affords capture more readily than most regulatory instruments. But the comparison to patents </w:t>
      </w:r>
      <w:r>
        <w:lastRenderedPageBreak/>
        <w:t>reveals an additional structural advantage that trade secrets enjoy: the complete absence of antitrust accountability mechanisms.</w:t>
      </w:r>
    </w:p>
    <w:p w14:paraId="0B7AA05B" w14:textId="52C25D39" w:rsidR="00CD549B" w:rsidRPr="00B72334" w:rsidRDefault="00E62B27" w:rsidP="004F6459">
      <w:r>
        <w:t xml:space="preserve">The antitrust system has developed robust, if imperfect, mechanisms for policing the strategic abuse of patent rights. </w:t>
      </w:r>
      <w:r>
        <w:rPr>
          <w:i/>
          <w:iCs/>
        </w:rPr>
        <w:t>Walker Process</w:t>
      </w:r>
      <w:r>
        <w:t xml:space="preserve"> fraud provides a Sherman Act remedy against patents procured through knowing and willful fraud on the Patent and Trademark Office.</w:t>
      </w:r>
      <w:r>
        <w:rPr>
          <w:rStyle w:val="FootnoteReference"/>
        </w:rPr>
        <w:footnoteReference w:id="14"/>
      </w:r>
      <w:r>
        <w:t xml:space="preserve"> Inequitable conduct doctrine provides a defense of unenforceability when a patent applicant withholds material information or makes affirmative misrepresentations during prosecution.</w:t>
      </w:r>
      <w:r>
        <w:rPr>
          <w:rStyle w:val="FootnoteReference"/>
        </w:rPr>
        <w:footnoteReference w:id="15"/>
      </w:r>
      <w:r>
        <w:t xml:space="preserve"> FRAND (fair, reasonable, and non-discriminatory) obligations in standard-setting organizations constrain the exercise of patent exclusivity when a patent becomes essential to an industry standard. These mechanisms are imperfect—each has been criticized for under- or over-deterrence—but together they create a system in which the strategic abuse of patent rights faces meaningful legal risk.</w:t>
      </w:r>
    </w:p>
    <w:p w14:paraId="7A666F30" w14:textId="1D07BA7D" w:rsidR="00CD549B" w:rsidRPr="00B72334" w:rsidRDefault="00E62B27" w:rsidP="004F6459">
      <w:r>
        <w:t>None of these mechanisms has a trade secret analogue. There is no registration before which fraud could be practiced; no examination during which material information could be withheld; no standard-setting commitment that could constrain the assertion of rights. Trade secret protection is self-executing: the holder designates information as a trade secret, and the designation takes effect without governmental review, public notice, or third-party participation. The self-executing character of trade secret invocation means that overclaiming—even if systematic, strategic, and anticompetitive—exists in an antitrust vacuum.</w:t>
      </w:r>
    </w:p>
    <w:p w14:paraId="46C4841D" w14:textId="26E5E317" w:rsidR="00CD549B" w:rsidRPr="00B72334" w:rsidRDefault="00E62B27" w:rsidP="004F6459">
      <w:r>
        <w:t>This structural difference between trade secrets and patents has gone largely unremarked in the literature, which tends to treat all intellectual property symmetrically for antitrust purposes.</w:t>
      </w:r>
      <w:r>
        <w:rPr>
          <w:rStyle w:val="FootnoteReference"/>
        </w:rPr>
        <w:footnoteReference w:id="16"/>
      </w:r>
      <w:r>
        <w:t xml:space="preserve"> The public choice framework explains both the vacuum and its persistence. The concentrated beneficiaries of trade secret overclaiming face no antitrust deterrent, because the legal architecture provides no mechanism through which overclaiming could be challenged as anticompetitive. The diffuse victims of overclaiming lack the information needed to identify—let alone challenge—the overclaiming, because the recursive property ensures that the evidence of abuse is concealed within the very claims being abused. The antitrust vacuum is not an oversight in the law’s development. It is a structural consequence of trade secret doctrine’s self-executing, non-examined, non-registered character—the same features that make the doctrine’s structural properties afford capture with unusual effectiveness.</w:t>
      </w:r>
    </w:p>
    <w:p w14:paraId="7C0D3A27" w14:textId="77777777" w:rsidR="00CD549B" w:rsidRPr="00B72334" w:rsidRDefault="00E62B27" w:rsidP="007C03F2">
      <w:pPr>
        <w:pStyle w:val="Heading2"/>
      </w:pPr>
      <w:bookmarkStart w:id="15" w:name="Xfb3b3ef901585f930a02c824a013800c27b8022"/>
      <w:bookmarkEnd w:id="14"/>
      <w:r>
        <w:lastRenderedPageBreak/>
        <w:t>G. The Structural Properties in Combination</w:t>
      </w:r>
    </w:p>
    <w:p w14:paraId="227CE068" w14:textId="77777777" w:rsidR="00CD549B" w:rsidRPr="00B72334" w:rsidRDefault="00E62B27" w:rsidP="00027756">
      <w:pPr>
        <w:pStyle w:val="FirstParagraph"/>
        <w:spacing w:before="0" w:after="0"/>
      </w:pPr>
      <w:r>
        <w:t>Taken together, Olson’s logic of collective action, Stigler and Peltzman’s supply-side models, the recursive property of trade secrecy, Yandle’s coalition dynamics, and the antitrust vacuum produce a comprehensive account of why trade secret law’s structural properties afford regulatory capture with distinctive effectiveness. The framework predicts concentrated industry investment in broad, durable secrecy protections; regulatory and legislative accommodation of those demands, especially in technically complex, low-salience domains; self-reinforcing cycles of concealment in which the absence of visible harm reduces the demand for disclosure; durable coalitions in which public-spirited rhetoric provides cover for economic self-interest; and the absence of the antitrust constraints that provide at least partial accountability for strategic abuse of other intellectual property rights. Part III demonstrates that the fracking chemical disclosure regime exhibits each of these predicted features.</w:t>
      </w:r>
    </w:p>
    <w:p w14:paraId="2BB9C163" w14:textId="5D453E6F" w:rsidR="00CD549B" w:rsidRPr="00B72334" w:rsidRDefault="00E62B27" w:rsidP="004F6459">
      <w:r>
        <w:t>Two important qualifications bear emphasis. First, the claim is not that trade secret doctrine is inherently a tool of capture. It is that the doctrine’s structural properties—the six features identified above—create conditions under which capture is disproportionately easy and detection disproportionately hard. Legitimate uses of trade secrecy—the startup protecting its algorithm, the restaurateur guarding a recipe—are fully compatible with this analysis. The affordance claim is about the cost structure of political mobilization, not about the moral character of every invocation.</w:t>
      </w:r>
    </w:p>
    <w:p w14:paraId="103CB102" w14:textId="0092CE5F" w:rsidR="00CD549B" w:rsidRPr="00B72334" w:rsidRDefault="00E62B27" w:rsidP="004F6459">
      <w:r>
        <w:t>Second, the claim is not that capture is inevitable or irreversible. The affordance framework predicts that the structural properties will produce capture under specified conditions (concentrated benefits, dispersed costs, low salience, agency dependence, weak antitrust checks), not that they will produce capture under all conditions. Reform is possible—as the Lautenberg Act demonstrates—but the structural properties that afford capture also make reform more difficult than in domains where capture’s instruments are more visible, more temporally limited, and more subject to external accountability. The conditions under which reform succeeds, and the conditions under which the Peltzman equilibrium reasserts itself through implementation, are themselves predictions of the framework, tested empirically in Part III and Part IV.</w:t>
      </w:r>
      <w:r>
        <w:rPr>
          <w:rStyle w:val="FootnoteReference"/>
        </w:rPr>
        <w:footnoteReference w:id="17"/>
      </w:r>
    </w:p>
    <w:p w14:paraId="035F5C7E" w14:textId="77777777" w:rsidR="00CD549B" w:rsidRPr="00B72334" w:rsidRDefault="00E62B27" w:rsidP="007C03F2">
      <w:pPr>
        <w:pStyle w:val="Heading1"/>
      </w:pPr>
      <w:bookmarkStart w:id="16" w:name="Xcdb27f707e1709bd4f97e56bf81f177b3ebf433"/>
      <w:bookmarkEnd w:id="8"/>
      <w:bookmarkEnd w:id="15"/>
      <w:r>
        <w:lastRenderedPageBreak/>
        <w:t>Part III. The Architecture of Opaque Fracking</w:t>
      </w:r>
    </w:p>
    <w:p w14:paraId="7C6BFB2D" w14:textId="77777777" w:rsidR="00CD549B" w:rsidRPr="00B72334" w:rsidRDefault="00E62B27" w:rsidP="00027756">
      <w:pPr>
        <w:pStyle w:val="FirstParagraph"/>
        <w:spacing w:before="0" w:after="0"/>
      </w:pPr>
      <w:r>
        <w:t>The fracking chemical disclosure regime did not arise from a single legislative act or a single moment of regulatory failure. It was constructed through a series of legal and institutional choices, spanning decades and multiple levels of government, that together constitute what this Article calls an architecture of opacity. Each element of the architecture is individually explicable as a routine exercise of legislative or regulatory authority. Viewed collectively and through the public choice lens developed in Part II, they reveal a coherent pattern of engineered concealment.</w:t>
      </w:r>
    </w:p>
    <w:p w14:paraId="558FF065" w14:textId="77777777" w:rsidR="00CD549B" w:rsidRPr="00B72334" w:rsidRDefault="00E62B27" w:rsidP="007C03F2">
      <w:pPr>
        <w:pStyle w:val="Heading2"/>
      </w:pPr>
      <w:bookmarkStart w:id="17" w:name="X402f1bff6c12a8b3b0ddd549bc3f33d0177aa18"/>
      <w:r>
        <w:t>A. The Patent/Trade Secret Fork: Why the Industry Chose Perpetual Secrecy</w:t>
      </w:r>
    </w:p>
    <w:p w14:paraId="0E06470F" w14:textId="77777777" w:rsidR="00CD549B" w:rsidRPr="00B72334" w:rsidRDefault="00E62B27" w:rsidP="00027756">
      <w:pPr>
        <w:pStyle w:val="FirstParagraph"/>
        <w:spacing w:before="0" w:after="0"/>
      </w:pPr>
      <w:r>
        <w:t>The fracking industry’s dependence on trade secrets is not a historical accident. It is the product of a structural choice within the intellectual property system, a choice whose consequences cascade through the entire regulatory framework.</w:t>
      </w:r>
    </w:p>
    <w:p w14:paraId="21E0C14D" w14:textId="77777777" w:rsidR="00CD549B" w:rsidRPr="00B72334" w:rsidRDefault="00E62B27" w:rsidP="004F6459">
      <w:r>
        <w:t>An innovator who develops a commercially valuable process or formulation confronts a fundamental fork in intellectual property law. The patent path offers strong, exclusionary protection: for twenty years from the filing date, the patent holder may prevent others from making, using, or selling the claimed invention. The price of this protection is disclosure. The patent application must describe the invention in sufficient detail to enable a person skilled in the art to reproduce it, and the issued patent is a public document. At the expiration of the patent term, the invention enters the public domain.</w:t>
      </w:r>
    </w:p>
    <w:p w14:paraId="466458F3" w14:textId="77CFF43B" w:rsidR="00CD549B" w:rsidRPr="00B72334" w:rsidRDefault="00E62B27" w:rsidP="004F6459">
      <w:r>
        <w:t>The trade secret path offers weaker protection against misappropriation (competitors may independently discover the secret or reverse engineer it) but imposes no disclosure obligation and has no fixed term. Protection endures for as long as the holder maintains secrecy and takes reasonable measures to protect it. The indefinite duration is the critical structural feature. A trade secret that remains confidential enjoys perpetual protection, a possibility that patent law categorically forecloses.</w:t>
      </w:r>
    </w:p>
    <w:p w14:paraId="12B5420A" w14:textId="77777777" w:rsidR="00CD549B" w:rsidRPr="00B72334" w:rsidRDefault="00E62B27" w:rsidP="004F6459">
      <w:r>
        <w:t>For fracking fluid formulations, the trade secret path dominates the patent path for identifiable structural reasons that scholarship has documented. First, many fracking fluid blends are incremental modifications of known chemical mixtures, making the novelty and nonobviousness requirements of patent law difficult to satisfy. Second, the sheer number of variant formulations in use across different geological formations and well conditions makes the cost of prosecuting individual patents prohibitive. Third, the prior art landscape for chemical processes related to oil and gas extraction is dense, creating substantial prosecution risk. Fourth, and most consequentially, the patent system’s disclosure requirement is incompatible with the business model of the major fracking fluid suppliers, which depends on selling access to proprietary chemical blends whose composition is concealed not only from competitors but from the well operators who purchase and use them.</w:t>
      </w:r>
    </w:p>
    <w:p w14:paraId="4EB3325A" w14:textId="77777777" w:rsidR="00CD549B" w:rsidRPr="00B72334" w:rsidRDefault="00E62B27" w:rsidP="004F6459">
      <w:r>
        <w:lastRenderedPageBreak/>
        <w:t>The industry’s collective choice of the trade secret path had a consequence that extends far beyond intellectual property strategy. It created an industry-wide dependence on the legal conditions necessary for trade secret survival. And the most important of those conditions is non-disclosure. Under both the Uniform Trade Secrets Act and the Defend Trade Secrets Act, information that has been made “readily ascertainable” through proper means, including mandatory disclosure to a government agency or public registry, loses its trade secret status. Mandatory chemical disclosure, of the kind that the SDWA’s underground injection control program would require, is therefore not merely a regulatory burden for the fracking industry. It is an existential threat to the intellectual property regime on which the industry’s business model depends.</w:t>
      </w:r>
    </w:p>
    <w:p w14:paraId="4B9F93CA" w14:textId="77777777" w:rsidR="00CD549B" w:rsidRPr="00B72334" w:rsidRDefault="00E62B27" w:rsidP="004F6459">
      <w:r>
        <w:t>The recognition of this structural dependence transforms the analysis of every subsequent legal and institutional choice in the fracking disclosure saga. The industry did not resist disclosure because disclosure is generically inconvenient. It resisted disclosure because disclosure would have destroyed the legal status of its most valuable intangible assets. The Halliburton Loophole, understood in this light, was not a deregulatory concession. It was an intellectual property defense.</w:t>
      </w:r>
    </w:p>
    <w:p w14:paraId="43F59834" w14:textId="77777777" w:rsidR="00CD549B" w:rsidRPr="00B72334" w:rsidRDefault="00E62B27" w:rsidP="007C03F2">
      <w:pPr>
        <w:pStyle w:val="Heading2"/>
      </w:pPr>
      <w:bookmarkStart w:id="18" w:name="b.-leaf-v.-epa-and-the-disclosure-threat"/>
      <w:bookmarkEnd w:id="17"/>
      <w:r>
        <w:t>B. LEAF v. EPA and the Disclosure Threat</w:t>
      </w:r>
    </w:p>
    <w:p w14:paraId="3FDCEB57" w14:textId="77777777" w:rsidR="00CD549B" w:rsidRPr="00B72334" w:rsidRDefault="00E62B27" w:rsidP="00027756">
      <w:pPr>
        <w:pStyle w:val="FirstParagraph"/>
        <w:spacing w:before="0" w:after="0"/>
      </w:pPr>
      <w:r>
        <w:t>The threat materialized in the form of litigation. In 1994, the Legal Environmental Assistance Foundation (LEAF) petitioned the EPA to regulate hydraulic fracturing of coalbed methane wells under the SDWA’s underground injection control (UIC) program. The SDWA defines “underground injection” as “the subsurface emplacement of fluids by well injection.” Hydraulic fracturing plainly involves the subsurface emplacement of fluids by well injection. LEAF argued that the statute’s text was unambiguous.</w:t>
      </w:r>
    </w:p>
    <w:p w14:paraId="193D4A64" w14:textId="77777777" w:rsidR="00CD549B" w:rsidRPr="00B72334" w:rsidRDefault="00E62B27" w:rsidP="004F6459">
      <w:r>
        <w:t>EPA disagreed. The agency had never regulated fracking under the UIC program and took the position that wells whose “principal function” was the production of oil or gas, rather than the disposal of waste, fell outside UIC jurisdiction. The agency’s position rested on an intent-based distinction: injecting fluids underground for the purpose of resource extraction was, in the agency’s view, categorically different from injecting fluids underground for the purpose of waste disposal, even though the physical activity, the subsurface emplacement of fluids by well injection, was identical in both cases.</w:t>
      </w:r>
    </w:p>
    <w:p w14:paraId="5F5B9360" w14:textId="77777777" w:rsidR="00CD549B" w:rsidRPr="00B72334" w:rsidRDefault="00E62B27" w:rsidP="004F6459">
      <w:r>
        <w:t>The distinction is striking because it maps directly onto the regulatory architecture’s trade secret implications. Waste disposal wells require UIC permits and the attendant disclosure of fluid composition. Production wells, under EPA’s interpretation, do not. The same chemical mixture injected into the same geological formation through the same type of well would be subject to mandatory disclosure if the injection were classified as disposal but exempt from disclosure if classified as production. The regulatory consequence turns entirely on the stated purpose of the injection, not on the physical or chemical reality of what is injected or where it goes.</w:t>
      </w:r>
    </w:p>
    <w:p w14:paraId="5731BACA" w14:textId="77777777" w:rsidR="00CD549B" w:rsidRPr="00B72334" w:rsidRDefault="00E62B27" w:rsidP="004F6459">
      <w:r>
        <w:t xml:space="preserve">The Eleventh Circuit, in </w:t>
      </w:r>
      <w:r>
        <w:rPr>
          <w:i/>
          <w:iCs/>
        </w:rPr>
        <w:t>Legal Environmental Assistance Foundation, Inc. v. EPA</w:t>
      </w:r>
      <w:r>
        <w:t xml:space="preserve"> (1997), rejected the agency’s interpretation, holding that the SDWA’s definition of underground injection is </w:t>
      </w:r>
      <w:r>
        <w:lastRenderedPageBreak/>
        <w:t>“clear on its face” and encompasses all subsurface fluid emplacement regardless of the well’s purpose or the operator’s intent. The court’s reasoning was textual and straightforward: the statute defines underground injection as “the subsurface emplacement of fluids by well injection,” a definition that contains no purpose limitation and no exception for production-related activities. The court emphasized that EPA’s “principal function” test had no basis in the statutory text and appeared to have been adopted for administrative convenience rather than legal necessity.</w:t>
      </w:r>
    </w:p>
    <w:p w14:paraId="29D7CD52" w14:textId="77777777" w:rsidR="00CD549B" w:rsidRPr="00B72334" w:rsidRDefault="00E62B27" w:rsidP="004F6459">
      <w:r>
        <w:t xml:space="preserve">The Eleventh Circuit’s second opinion, </w:t>
      </w:r>
      <w:r>
        <w:rPr>
          <w:i/>
          <w:iCs/>
        </w:rPr>
        <w:t>LEAF v. EPA</w:t>
      </w:r>
      <w:r>
        <w:t xml:space="preserve"> (2001), addressed EPA’s compliance with the remand. The agency had proposed regulations that would apply UIC requirements to coalbed methane wells in Alabama specifically. The court affirmed EPA’s authority but the narrowness of the agency’s response, limited to one state and one type of fracking, signaled the political constraints under which EPA was operating. Even with a clear judicial mandate, the agency moved incrementally, applying UIC requirements only where the court’s jurisdiction compelled it and declining to extend the principle nationally.</w:t>
      </w:r>
    </w:p>
    <w:p w14:paraId="56EC98E1" w14:textId="77777777" w:rsidR="00CD549B" w:rsidRPr="00B72334" w:rsidRDefault="00E62B27" w:rsidP="004F6459">
      <w:r>
        <w:t>The agency’s 2004 study on coalbed methane fracking and drinking water, produced during the same period, illustrates the Peltzman dynamic at work. The study concluded that fracking posed “minimal threat” to underground sources of drinking water and recommended against federal regulation. Environmental organizations criticized the study’s methodology and the exclusion of incidents that contradicted its conclusions. The study’s political function, providing evidentiary support for the legislative exemption that would follow a year later, was apparent to observers at the time and has been extensively documented since.</w:t>
      </w:r>
    </w:p>
    <w:p w14:paraId="4DB1E4A0" w14:textId="77777777" w:rsidR="00CD549B" w:rsidRPr="00B72334" w:rsidRDefault="00E62B27" w:rsidP="004F6459">
      <w:r>
        <w:t>The significance of the LEAF decisions for trade secrecy has not been appreciated in the existing literature. Every account of the case emphasizes the regulatory burden that UIC compliance would impose: permitting requirements, well construction standards, monitoring obligations, and operational restrictions. These burdens are real and were clearly motivating for the industry. But the disclosure dimension of UIC compliance is equally important and far more consequential for intellectual property.</w:t>
      </w:r>
    </w:p>
    <w:p w14:paraId="3C9CB5C0" w14:textId="77777777" w:rsidR="00CD549B" w:rsidRPr="00B72334" w:rsidRDefault="00E62B27" w:rsidP="004F6459">
      <w:r>
        <w:t>UIC permits require applicants to provide detailed information about the fluids to be injected, including their chemical composition. This information is submitted to the permitting agency and, in many jurisdictions, becomes part of the public record. For an industry that had chosen trade secret protection as its intellectual property strategy, UIC jurisdiction presented a specific and devastating consequence: the mandatory destruction of trade secret status for fracking fluid formulations.</w:t>
      </w:r>
    </w:p>
    <w:p w14:paraId="62F5689B" w14:textId="77777777" w:rsidR="00CD549B" w:rsidRPr="00B72334" w:rsidRDefault="00E62B27" w:rsidP="004F6459">
      <w:r>
        <w:t>The mechanism is straightforward. If fracking were classified as underground injection, operators would be required to disclose the chemical composition of their fluids as a condition of obtaining a UIC permit. That disclosure, made to a government agency and potentially available to the public, would render the disclosed information “readily ascertainable” within the meaning of trade secret law. The information would lose its legal protection. Competitors could freely use the disclosed formulations. The rents derived from proprietary chemistry would evaporate.</w:t>
      </w:r>
    </w:p>
    <w:p w14:paraId="7BBAE4B0" w14:textId="77777777" w:rsidR="00CD549B" w:rsidRPr="00B72334" w:rsidRDefault="00E62B27" w:rsidP="004F6459">
      <w:r>
        <w:t xml:space="preserve">The LEAF decisions therefore threatened not merely to increase regulatory compliance costs but to destroy the intellectual property foundation of the fracking fluid supply industry. The distinction matters because it explains the specificity and ambition of the industry’s legislative </w:t>
      </w:r>
      <w:r>
        <w:lastRenderedPageBreak/>
        <w:t>response. Firms facing increased compliance costs typically seek exemptions, waivers, or extended phase-in periods. Firms facing the destruction of their intellectual property seek structural redefinition of the legal landscape. The Halliburton Loophole was the latter kind of response.</w:t>
      </w:r>
    </w:p>
    <w:p w14:paraId="4BE420BC" w14:textId="77777777" w:rsidR="00CD549B" w:rsidRPr="00B72334" w:rsidRDefault="00E62B27" w:rsidP="007C03F2">
      <w:pPr>
        <w:pStyle w:val="Heading2"/>
      </w:pPr>
      <w:bookmarkStart w:id="19" w:name="X68307412cf54a739aca6aa5459f58fdf35c18ad"/>
      <w:bookmarkEnd w:id="18"/>
      <w:r>
        <w:t>C. The Halliburton Loophole as Architectural Response</w:t>
      </w:r>
    </w:p>
    <w:p w14:paraId="09C89C40" w14:textId="77777777" w:rsidR="00CD549B" w:rsidRPr="00B72334" w:rsidRDefault="00E62B27" w:rsidP="00027756">
      <w:pPr>
        <w:pStyle w:val="FirstParagraph"/>
        <w:spacing w:before="0" w:after="0"/>
      </w:pPr>
      <w:r>
        <w:t>Section 322 of the Energy Policy Act of 2005 amended the SDWA to exclude from the definition of “underground injection” “the underground injection of fluids or propping agents (other than diesel fuels) pursuant to hydraulic fracturing operations related to oil, gas, or geothermal production activities.” The amendment did not create a trade secret exemption within the UIC disclosure framework. It did something more fundamental: it removed fracking from the framework entirely.</w:t>
      </w:r>
      <w:r>
        <w:rPr>
          <w:rStyle w:val="FootnoteReference"/>
        </w:rPr>
        <w:footnoteReference w:id="18"/>
      </w:r>
    </w:p>
    <w:p w14:paraId="701EEF75" w14:textId="77777777" w:rsidR="00CD549B" w:rsidRPr="00B72334" w:rsidRDefault="00E62B27" w:rsidP="004F6459">
      <w:r>
        <w:t>The distinction between a doctrinal and an architectural response to disclosure threats is analytically important. A doctrinal response would have left fracking within UIC jurisdiction but carved out a trade secret exemption from the program’s disclosure requirements, permitting operators to submit redacted chemical information or to withhold proprietary formulations from public records while still providing full data to the permitting agency under confidentiality agreements. This approach would have preserved the regulatory framework while accommodating proprietary concerns. It is the approach that TSCA, FIFRA, and EPCRA take in their respective domains, and it is the approach that the existing literature implicitly assumes is the natural template for addressing trade secret/disclosure conflicts.</w:t>
      </w:r>
    </w:p>
    <w:p w14:paraId="6DD53BC9" w14:textId="77777777" w:rsidR="00CD549B" w:rsidRPr="00B72334" w:rsidRDefault="00E62B27" w:rsidP="004F6459">
      <w:r>
        <w:t>The industry chose the architectural approach instead. By redefining fracking as something other than underground injection, Section 322 eliminated the regulatory predicate for chemical disclosure altogether. No UIC permit means no permit application. No permit application means no required chemical inventory. No required chemical inventory means no disclosure. No disclosure means no destruction of trade secret status. The entire chain of legal consequences that LEAF had threatened was severed at its root.</w:t>
      </w:r>
    </w:p>
    <w:p w14:paraId="28637798" w14:textId="77777777" w:rsidR="00CD549B" w:rsidRPr="00B72334" w:rsidRDefault="00E62B27" w:rsidP="004F6459">
      <w:r>
        <w:t xml:space="preserve">The architectural approach was more ambitious, more difficult to achieve legislatively, and more durable once achieved. Its ambition required the kind of political resources and coalition-building that the Bootleggers and Baptists model predicts: the Cheney Energy Task Force provided the institutional venue, the industry provided the resources and technical drafting, and the energy independence narrative provided the political cover. Its durability results from the structural feature identified in Part II.D: because the exemption eliminates the disclosure obligation rather than merely creating an exception to it, the information needed to demonstrate </w:t>
      </w:r>
      <w:r>
        <w:lastRenderedPageBreak/>
        <w:t>the exemption’s costs (the chemical identities and concentrations that would have been disclosed under UIC permitting) remains unknown. The recursive property of secrecy is built into the architecture.</w:t>
      </w:r>
    </w:p>
    <w:p w14:paraId="0AEFD984" w14:textId="77777777" w:rsidR="00CD549B" w:rsidRPr="00B72334" w:rsidRDefault="00E62B27" w:rsidP="004F6459">
      <w:r>
        <w:t>Viewed through the public choice lens, Section 322 is a textbook case of concentrated interests using the legislative process to construct a legal architecture that protects a valuable asset (trade secrets in fracking fluid formulations) by eliminating the regulatory mechanism (UIC permitting) that would have destroyed that asset. The formal legal structure is an amendment to environmental law. The functional legal structure is an intellectual property protection statute.</w:t>
      </w:r>
    </w:p>
    <w:p w14:paraId="2E784185" w14:textId="77777777" w:rsidR="00CD549B" w:rsidRPr="00B72334" w:rsidRDefault="00E62B27" w:rsidP="007C03F2">
      <w:pPr>
        <w:pStyle w:val="Heading2"/>
      </w:pPr>
      <w:bookmarkStart w:id="20" w:name="X1aed611c1d845fe791e12463eeaa15990386a48"/>
      <w:bookmarkEnd w:id="19"/>
      <w:r>
        <w:t>D. State Disclosure Laws and the FracFocus System</w:t>
      </w:r>
    </w:p>
    <w:p w14:paraId="5676575E" w14:textId="77777777" w:rsidR="00CD549B" w:rsidRPr="00B72334" w:rsidRDefault="00E62B27" w:rsidP="00027756">
      <w:pPr>
        <w:pStyle w:val="FirstParagraph"/>
        <w:spacing w:before="0" w:after="0"/>
      </w:pPr>
      <w:r>
        <w:t xml:space="preserve">The Halliburton Loophole relocated the question of fracking chemical disclosure from the federal level to the states. In the decade following the Energy Policy Act’s passage, public concern over fracking’s environmental and health effects intensified, driven by incidents of groundwater contamination, investigative reporting, and the release of the documentary </w:t>
      </w:r>
      <w:r>
        <w:rPr>
          <w:i/>
          <w:iCs/>
        </w:rPr>
        <w:t>Gasland</w:t>
      </w:r>
      <w:r>
        <w:t xml:space="preserve"> in 2010. State legislatures responded by enacting fracking chemical disclosure statutes. By 2015, more than twenty states had adopted some form of disclosure requirement.</w:t>
      </w:r>
    </w:p>
    <w:p w14:paraId="15029901" w14:textId="77777777" w:rsidR="00CD549B" w:rsidRPr="00B72334" w:rsidRDefault="00E62B27" w:rsidP="004F6459">
      <w:r>
        <w:t>These state laws are, on their face, transparency measures. Their design, however, exhibits the precise features that public choice theory predicts when concentrated interests participate heavily in legislative drafting and the affected public is diffuse.</w:t>
      </w:r>
    </w:p>
    <w:p w14:paraId="1FB46566" w14:textId="77777777" w:rsidR="00CD549B" w:rsidRPr="00B72334" w:rsidRDefault="00E62B27" w:rsidP="004F6459">
      <w:r>
        <w:t>Every state disclosure statute identified in the literature, with the partial exception of Colorado after its 2022 reforms, includes a trade secret exemption permitting operators or chemical suppliers to withhold the identity and concentration of chemicals they designate as proprietary. In most states, including Texas and Oklahoma, the two largest fracking states by volume, the exemption requires no written substantiation, no agency review, and no affirmative showing that the claimed information satisfies the legal requirements for trade secret protection. The operator or supplier simply checks a box on the disclosure form, and the chemical identity disappears from the public record. Jiang’s empirical finding that operators near water quality monitors claim fewer trade secrets than operators far from monitors suggests that at least some of these claims are strategic responses to detection risk rather than bona fide assertions of proprietary rights.</w:t>
      </w:r>
      <w:r>
        <w:rPr>
          <w:rStyle w:val="FootnoteReference"/>
        </w:rPr>
        <w:footnoteReference w:id="19"/>
      </w:r>
    </w:p>
    <w:p w14:paraId="66A2D012" w14:textId="77777777" w:rsidR="00CD549B" w:rsidRPr="00B72334" w:rsidRDefault="00E62B27" w:rsidP="004F6459">
      <w:r>
        <w:t xml:space="preserve">The FracFocus registry, launched in 2011 by the Ground Water Protection Council and the Interstate Oil and Gas Compact Commission, became the default disclosure platform. Multiple states designated FracFocus as their official reporting mechanism, effectively delegating a regulatory function to an industry-affiliated entity. Harvard Law School’s analysis of FracFocus in 2013 identified serious deficiencies: the registry did not allow bulk data downloads, lacked </w:t>
      </w:r>
      <w:r>
        <w:lastRenderedPageBreak/>
        <w:t>standardized data fields, imposed no verification requirements on submissions, and contained no mechanism for reviewing or challenging trade secret claims.</w:t>
      </w:r>
    </w:p>
    <w:p w14:paraId="0F153076" w14:textId="78374A74" w:rsidR="00CD549B" w:rsidRPr="00B72334" w:rsidRDefault="00E62B27" w:rsidP="004F6459">
      <w:r>
        <w:t>Subsequent empirical analyses have confirmed and deepened these findings. The proportion of FracFocus disclosures containing at least one trade-secret-masked chemical exceeds eighty percent. The total mass of chemicals withheld as trade secrets has grown dramatically—from approximately 728 million pounds in 2014 alone to a cumulative total of approximately 14.4 billion pounds across all disclosures from 2014 through April 2025, with 2.96 billion pounds reported in 2022, reflecting a 43.7% year-over-year increase documented in the most recent Open-FF analysis of FracFocus bulk download data.</w:t>
      </w:r>
      <w:r>
        <w:rPr>
          <w:rStyle w:val="FootnoteReference"/>
        </w:rPr>
        <w:footnoteReference w:id="20"/>
      </w:r>
      <w:r>
        <w:t xml:space="preserve"> FracFocus’s 2016 “Systems Approach” reform, designed to decouple trade-named products from their chemical identities so that companies would disclose more granular chemical data, actually reduced transparency by preventing the public from identifying which companies supplied hazardous chemicals.</w:t>
      </w:r>
    </w:p>
    <w:p w14:paraId="3AF0E440" w14:textId="1157D8C9" w:rsidR="00CD549B" w:rsidRPr="00B72334" w:rsidRDefault="00E62B27" w:rsidP="004F6459">
      <w:r>
        <w:t>Colorado’s experience merits special attention because it tests a key prediction of the public choice framework. In 2022, HB 22-1348 eliminated the trade secret exemption for downhole fracking chemicals—a genuine structural reform rather than the marginal doctrinal adjustments that characterize most state legislation. The Peltzman model predicts that structural reforms will face resistance not only during the legislative process but through implementation, as the concentrated interests that lost in the legislature seek to reassert equilibrium through administrative channels. Colorado’s post-reform experience confirms this prediction: agency interpretation narrowed the statute’s reach, enforcement resources proved inadequate, and mass noncompliance has characterized the early implementation period. The reform succeeded legislatively only because the chemical regulation domain became politically visible in Colorado through sustained public advocacy—confirming the prediction that low-salience domains are more resistant to reform and that overcoming the structural properties that afford capture requires raising political salience above the threshold at which diffuse publics can organize.</w:t>
      </w:r>
    </w:p>
    <w:p w14:paraId="46714CBB" w14:textId="77777777" w:rsidR="00CD549B" w:rsidRPr="00B72334" w:rsidRDefault="00E62B27" w:rsidP="004F6459">
      <w:r>
        <w:t>The ALEC dimension of the state disclosure landscape reinforces the public choice account. The American Legislative Exchange Council developed and promoted model legislation for fracking chemical disclosure that incorporated broad trade secret exemptions and designated FracFocus as the disclosure platform. Multiple states adopted this model with minimal modification. The ALEC model’s design reflected the interests of its corporate membership: nominal transparency sufficient to deflect public criticism, combined with trade secret exemptions broad enough to ensure that proprietary information remained concealed.</w:t>
      </w:r>
    </w:p>
    <w:p w14:paraId="039987D7" w14:textId="77777777" w:rsidR="00CD549B" w:rsidRPr="00B72334" w:rsidRDefault="00E62B27" w:rsidP="004F6459">
      <w:r>
        <w:t>The state disclosure regime, in sum, is a system in which the form of transparency exists without its substance. Disclosure is required, but exemptions ensure that the most commercially sensitive (and often the most toxicologically significant) information is withheld. A registry exists, but it is designed and operated by entities aligned with industry interests, imposes no verification requirements, and provides no mechanism for independent review. The balance paradigm treats this as a suboptimal outcome that better legislation could correct. The public choice analysis recognizes it as the equilibrium that concentrated interests will produce, and reproduce, whenever the structural conditions described in Part II obtain.</w:t>
      </w:r>
    </w:p>
    <w:p w14:paraId="33FCF7C8" w14:textId="77777777" w:rsidR="00CD549B" w:rsidRPr="00B72334" w:rsidRDefault="00E62B27" w:rsidP="007C03F2">
      <w:pPr>
        <w:pStyle w:val="Heading2"/>
      </w:pPr>
      <w:bookmarkStart w:id="21" w:name="X813fecda79b63071aab265d11f641b8dbabf30a"/>
      <w:bookmarkEnd w:id="20"/>
      <w:r>
        <w:lastRenderedPageBreak/>
        <w:t>E. The Evergreening Loop: How the Architecture Self-Perpetuates</w:t>
      </w:r>
    </w:p>
    <w:p w14:paraId="0ABA81BC" w14:textId="77777777" w:rsidR="00CD549B" w:rsidRPr="00B72334" w:rsidRDefault="00E62B27" w:rsidP="00027756">
      <w:pPr>
        <w:pStyle w:val="FirstParagraph"/>
        <w:spacing w:before="0" w:after="0"/>
      </w:pPr>
      <w:r>
        <w:t>The fracking opacity architecture contains a self-reinforcing mechanism that this Article calls the evergreening loop. The term borrows from pharmaceutical patent strategy, where “evergreening” refers to the practice of obtaining successive patents on minor modifications to extend exclusivity beyond the original patent’s term. In the trade secret context, the mechanism operates differently but achieves the same result: the indefinite perpetuation of informational exclusivity.</w:t>
      </w:r>
    </w:p>
    <w:p w14:paraId="300FC71D" w14:textId="77777777" w:rsidR="00CD549B" w:rsidRPr="00B72334" w:rsidRDefault="00E62B27" w:rsidP="004F6459">
      <w:r>
        <w:t>The loop operates as follows. Trade secret protection requires that the protected information not be generally known or readily ascertainable. Mandatory disclosure through a regulatory program would render the information readily ascertainable and destroy the trade secret. The Halliburton Loophole eliminates the federal regulatory program that would have required disclosure. State disclosure laws nominally require reporting but include trade secret exemptions that allow the information to be withheld. The information therefore remains not generally known and not readily ascertainable. Trade secret status is preserved. The legal entitlement to secrecy, in turn, provides the doctrinal basis for resisting future disclosure mandates, because any proposed mandate can be challenged as an unconstitutional taking of property or, less dramatically, as a policy that would “destroy” valuable intellectual property rights.</w:t>
      </w:r>
    </w:p>
    <w:p w14:paraId="685677C1" w14:textId="77777777" w:rsidR="00CD549B" w:rsidRPr="00B72334" w:rsidRDefault="00E62B27" w:rsidP="004F6459">
      <w:r>
        <w:t>The loop is evergreening in the sense that each cycle reinforces the conditions for the next. The absence of disclosure preserves trade secret status. The preservation of trade secret status strengthens the legal and political arguments against future disclosure. The defeat or dilution of future disclosure proposals preserves the absence of disclosure. The cycle has no natural terminus. Unlike patents, which expire after twenty years regardless of the holder’s preferences, trade secrets protected by this architecture can endure indefinitely.</w:t>
      </w:r>
    </w:p>
    <w:p w14:paraId="583D073F" w14:textId="77777777" w:rsidR="00CD549B" w:rsidRPr="00B72334" w:rsidRDefault="00E62B27" w:rsidP="004F6459">
      <w:r>
        <w:t>The evergreening loop also generates a ratchet effect in the political economy of disclosure. Once trade secret status has been maintained for years or decades, the firms holding those secrets accumulate reliance interests that make retroactive disclosure politically and legally more difficult. A disclosure mandate imposed in 2025 on a formulation that has been in use since 2005 faces stronger opposition than a disclosure mandate imposed at the outset, because the intervening years of secrecy have allowed the firm to build a business model around confidentiality, to assert that the formulation’s trade secret value has been augmented by ongoing investment, and to argue that retroactive disclosure would impose disproportionate harm. Time, in short, favors the status quo, and the status quo favors secrecy.</w:t>
      </w:r>
    </w:p>
    <w:p w14:paraId="384BD773" w14:textId="77777777" w:rsidR="00CD549B" w:rsidRPr="00B72334" w:rsidRDefault="00E62B27" w:rsidP="007C03F2">
      <w:pPr>
        <w:pStyle w:val="Heading2"/>
      </w:pPr>
      <w:bookmarkStart w:id="22" w:name="X6c9f45e4dc5c5ccedfa6dcb428f2f5511134437"/>
      <w:bookmarkEnd w:id="21"/>
      <w:r>
        <w:lastRenderedPageBreak/>
        <w:t>F. Downstream Effects: Clinical, Tort, and Democratic Consequences</w:t>
      </w:r>
    </w:p>
    <w:p w14:paraId="50952F44" w14:textId="77777777" w:rsidR="00CD549B" w:rsidRPr="00B72334" w:rsidRDefault="00E62B27" w:rsidP="00027756">
      <w:pPr>
        <w:pStyle w:val="FirstParagraph"/>
        <w:spacing w:before="0" w:after="0"/>
      </w:pPr>
      <w:r>
        <w:t>The opacity architecture’s effects extend well beyond the regulatory domain. Trade secrecy in fracking fluid formulations cascades through the legal system, affecting clinical practice, tort litigation, and democratic governance.</w:t>
      </w:r>
    </w:p>
    <w:p w14:paraId="06433167" w14:textId="77777777" w:rsidR="00CD549B" w:rsidRPr="00B72334" w:rsidRDefault="00E62B27" w:rsidP="004F6459">
      <w:r>
        <w:t>In several states, emergency access provisions allow physicians to obtain information about proprietary fracking chemicals when treating a patient exposed to those chemicals. These provisions are, on their face, reasonable accommodations: they permit disclosure in the specific context of medical necessity while preserving secrecy otherwise. In practice, the provisions are encumbered by conditions that limit their utility. Some states require the physician to sign a confidentiality agreement before receiving the information. Some require that the request be made by a treating physician, excluding epidemiologists, public health officials, and toxicologists. Some require a demonstration of medical emergency, excluding chronic or latent conditions for which the connection between exposure and illness may not be apparent for years.</w:t>
      </w:r>
    </w:p>
    <w:p w14:paraId="5ACAECE5" w14:textId="77777777" w:rsidR="00CD549B" w:rsidRPr="00B72334" w:rsidRDefault="00E62B27" w:rsidP="004F6459">
      <w:r>
        <w:t>In tort litigation, trade secrecy creates a specific causation problem. A plaintiff alleging injury from fracking-related chemical exposure must identify the chemical(s) responsible for the injury and demonstrate a causal connection between exposure and harm. When the identities of the chemicals are concealed as trade secrets, the plaintiff faces a threshold evidentiary barrier that may be insurmountable. Discovery processes can sometimes overcome this barrier, but protective orders may limit the plaintiff’s ability to use the discovered information in public proceedings, and the cost and delay of litigating trade secret claims within tort proceedings deters marginal plaintiffs from filing at all.</w:t>
      </w:r>
    </w:p>
    <w:p w14:paraId="35EEFB0A" w14:textId="77777777" w:rsidR="00CD549B" w:rsidRPr="00B72334" w:rsidRDefault="00E62B27" w:rsidP="004F6459">
      <w:r>
        <w:t>The democratic consequences are perhaps the most significant and the least visible. The fracking disclosure debate, like most regulatory debates, requires an informed public and an informed legislature. When the relevant information is concealed behind trade secret claims, the public cannot assess the risks that fracking operations pose to its health, water supply, and environment. Legislators cannot evaluate the adequacy of existing regulations because they do not know what chemicals are in use, at what volumes, or with what toxicological profiles. The deliberative process that democratic governance requires is hollowed out. The form of public participation exists: comment periods, public hearings, legislative debate. But the informational preconditions for meaningful participation are absent.</w:t>
      </w:r>
    </w:p>
    <w:p w14:paraId="2C216D0D" w14:textId="77777777" w:rsidR="00CD549B" w:rsidRPr="00B72334" w:rsidRDefault="00E62B27" w:rsidP="007C03F2">
      <w:pPr>
        <w:pStyle w:val="Heading1"/>
      </w:pPr>
      <w:bookmarkStart w:id="23" w:name="Xd0bdee46df48cda9228b02f75ef82b16c16896e"/>
      <w:bookmarkEnd w:id="16"/>
      <w:bookmarkEnd w:id="22"/>
      <w:r>
        <w:t>Part IV. Trade Secrecy as a Cross-Domain Capture Tool</w:t>
      </w:r>
    </w:p>
    <w:p w14:paraId="19614AF7" w14:textId="77777777" w:rsidR="00CD549B" w:rsidRPr="00B72334" w:rsidRDefault="00E62B27" w:rsidP="00027756">
      <w:pPr>
        <w:pStyle w:val="FirstParagraph"/>
        <w:spacing w:before="0" w:after="0"/>
      </w:pPr>
      <w:r>
        <w:t>The fracking case study is illustrative rather than unique. The same structural properties that afford capture in the fracking context operate wherever commercially sensitive information intersects with regulatory oversight, public health, or democratic accountability. Three additional domains confirm the generalizability of the public choice framework.</w:t>
      </w:r>
    </w:p>
    <w:p w14:paraId="4485A4E5" w14:textId="77777777" w:rsidR="00CD549B" w:rsidRPr="00B72334" w:rsidRDefault="00E62B27" w:rsidP="007C03F2">
      <w:pPr>
        <w:pStyle w:val="Heading2"/>
      </w:pPr>
      <w:bookmarkStart w:id="24" w:name="a.-tsca-and-chemical-regulation"/>
      <w:r>
        <w:lastRenderedPageBreak/>
        <w:t>A. TSCA and Chemical Regulation</w:t>
      </w:r>
    </w:p>
    <w:p w14:paraId="5613C3C0" w14:textId="77777777" w:rsidR="00CD549B" w:rsidRPr="00B72334" w:rsidRDefault="00E62B27" w:rsidP="00027756">
      <w:pPr>
        <w:pStyle w:val="FirstParagraph"/>
        <w:spacing w:before="0" w:after="0"/>
      </w:pPr>
      <w:r>
        <w:t>The Toxic Substances Control Act presents the structural dynamics of trade secrecy as political technology in a domain older and broader than fracking. Under TSCA’s original 1976 framework, manufacturers submitting premanufacture notices, health and safety data, and chemical identity information to EPA could claim confidential business information (CBI) protection. For decades, EPA accepted CBI claims with minimal scrutiny. A 2010 Government Accountability Office report found that the agency had insufficient resources and procedures to evaluate the legitimacy of the thousands of CBI claims it received annually.</w:t>
      </w:r>
    </w:p>
    <w:p w14:paraId="4F497F6E" w14:textId="77777777" w:rsidR="00CD549B" w:rsidRPr="00B72334" w:rsidRDefault="00E62B27" w:rsidP="004F6459">
      <w:r>
        <w:t>The Olsonian dynamics are stark. The manufacturers submitting CBI claims are a compact, well-organized group with direct financial stakes in maintaining confidentiality. The chemical identities concealed by CBI claims are unknown to the public, which cannot assess their toxicological significance, mobilize politically around their disclosure, or even determine that relevant information is being withheld. The recursive property operates with full force: the concealment of chemical identities prevents the generation of independent toxicological data, which prevents the demonstration of harm, which weakens the political demand for disclosure.</w:t>
      </w:r>
    </w:p>
    <w:p w14:paraId="51AA8144" w14:textId="77777777" w:rsidR="00CD549B" w:rsidRPr="00B72334" w:rsidRDefault="00E62B27" w:rsidP="004F6459">
      <w:r>
        <w:t>The Frank R. Lautenberg Chemical Safety for the 21st Century Act (2016), which amended TSCA, introduced reforms: EPA must now review CBI claims, and protections expire after ten years unless renewed. These reforms are directionally appropriate, but their effectiveness depends on institutional capacity that EPA has historically lacked and on political will that the Peltzman equilibrium does not naturally generate. Early assessments suggest that the reformed regime has reduced the volume of accepted CBI claims but has not fundamentally altered the informational asymmetry between manufacturers and the public.</w:t>
      </w:r>
    </w:p>
    <w:p w14:paraId="152DF389" w14:textId="5DA48A25" w:rsidR="00CD549B" w:rsidRPr="00B72334" w:rsidRDefault="00E62B27" w:rsidP="004F6459">
      <w:r>
        <w:t xml:space="preserve">The Lautenberg Act’s ten-year sunset provision provides a critical test of the affordance framework. Under a deterministic account of trade secret capture, TSCA reform should not have been possible—if trade secrecy </w:t>
      </w:r>
      <w:r>
        <w:rPr>
          <w:i/>
          <w:iCs/>
        </w:rPr>
        <w:t>functions as</w:t>
      </w:r>
      <w:r>
        <w:t xml:space="preserve"> capture, Congress should have been unable to enact structural reform. Under the affordance framework, the answer is more precise: the structural properties that made CBI claims useful for capture persisted even after reform, and the Peltzman equilibrium reasserts itself through implementation rather than legislation. As the June 2026 sunset approaches for the first cohort of CBI claims subject to reauthorization, early evidence suggests that companies are re-substantiating their claims rather than disclosing—choosing to invest in the administrative process of renewing confidentiality rather than permitting their chemical identities to enter the public domain.</w:t>
      </w:r>
      <w:r>
        <w:rPr>
          <w:rStyle w:val="FootnoteReference"/>
        </w:rPr>
        <w:footnoteReference w:id="21"/>
      </w:r>
      <w:r>
        <w:t xml:space="preserve"> The structural properties that afford capture are not eliminated by a temporal limit; they are channeled through it. The ten-year sunset forces a periodic reckoning, but the outcome of each reckoning is shaped by the same concentrated-benefit/dispersed-cost dynamics that produced the original CBI regime.</w:t>
      </w:r>
    </w:p>
    <w:p w14:paraId="1EE47C7A" w14:textId="0FC9A67C" w:rsidR="00CD549B" w:rsidRPr="00B72334" w:rsidRDefault="00E62B27" w:rsidP="004F6459">
      <w:r>
        <w:lastRenderedPageBreak/>
        <w:t>The TSCA experience confirms a prediction of the public choice framework: marginal doctrinal reforms that do not address the structural conditions of capture will produce marginal improvements. The sunset provision is a step toward breaking the evergreening loop. The mandatory review requirement shifts some decision rights. But the underlying political economy—concentrated benefits, dispersed costs, agency dependence on industry data, and the recursive concealment of harm—remains intact. The Lautenberg Act demonstrates that the structural properties affording capture can be partially overcome when political salience is raised sufficiently high—the chemical safety reform was enacted following years of sustained advocacy that elevated the CBI issue’s visibility above the threshold at which diffuse publics could organize. It also demonstrates that the affordance reasserts itself once salience subsides.</w:t>
      </w:r>
    </w:p>
    <w:p w14:paraId="3E882684" w14:textId="77777777" w:rsidR="00CD549B" w:rsidRPr="00B72334" w:rsidRDefault="00E62B27" w:rsidP="007C03F2">
      <w:pPr>
        <w:pStyle w:val="Heading2"/>
      </w:pPr>
      <w:bookmarkStart w:id="25" w:name="b.-pharmaceuticals-and-clinical-data"/>
      <w:bookmarkEnd w:id="24"/>
      <w:r>
        <w:t>B. Pharmaceuticals and Clinical Data</w:t>
      </w:r>
    </w:p>
    <w:p w14:paraId="083A79C3" w14:textId="77777777" w:rsidR="00CD549B" w:rsidRPr="00B72334" w:rsidRDefault="00E62B27" w:rsidP="00027756">
      <w:pPr>
        <w:pStyle w:val="FirstParagraph"/>
        <w:spacing w:before="0" w:after="0"/>
      </w:pPr>
      <w:r>
        <w:t>The pharmaceutical sector presents a variant of the same architecture. Drug manufacturers protect clinical trial data, manufacturing processes, and in some cases adverse event information through a combination of trade secret claims, data exclusivity provisions, and contractual confidentiality agreements. The patent system plays a larger role in pharmaceuticals than in fracking, but trade secrecy supplements patents in critical ways: protecting manufacturing know-how that patent claims do not cover, shielding negative clinical trial results from public scrutiny, and maintaining confidentiality over the pricing and distribution arrangements that determine drug access.</w:t>
      </w:r>
    </w:p>
    <w:p w14:paraId="465DDF38" w14:textId="77777777" w:rsidR="00CD549B" w:rsidRPr="00B72334" w:rsidRDefault="00E62B27" w:rsidP="004F6459">
      <w:r>
        <w:t>The structural parallel to fracking is instructive. In both industries, a compact group of firms holds commercially valuable information whose disclosure would serve significant public interests. In both, the firms have invested in legal regimes that protect confidentiality across multiple institutional settings: regulatory submissions, patent filings, litigation discovery, and public records requests. In both, the costs of concealment are borne by a dispersed population (patients, physicians, researchers, public health authorities) that lacks the information, organization, and incentive to mount sustained political challenges to the secrecy regime.</w:t>
      </w:r>
    </w:p>
    <w:p w14:paraId="1A4935B9" w14:textId="77777777" w:rsidR="00CD549B" w:rsidRPr="00B72334" w:rsidRDefault="00E62B27" w:rsidP="004F6459">
      <w:r>
        <w:t>The pharmaceutical context reveals a dimension of the political technology that the fracking case illustrates but does not fully develop: the interaction between trade secrecy and other forms of intellectual property protection. A pharmaceutical manufacturer may patent a drug compound (disclosing its structure) while simultaneously maintaining trade secret protection over manufacturing processes, formulation details, clinical trial protocols, and adverse event data. The patent’s expiration releases the compound into the public domain, but the trade secrets persist indefinitely. The result is a stratified secrecy regime in which the most commercially valuable information (the compound itself) eventually becomes public, while the information most relevant to safety assessment (manufacturing impurities, adverse event frequencies, pharmacovigilance data) may remain concealed for as long as the manufacturer can maintain secrecy.</w:t>
      </w:r>
    </w:p>
    <w:p w14:paraId="059EAD89" w14:textId="77777777" w:rsidR="00CD549B" w:rsidRPr="00B72334" w:rsidRDefault="00E62B27" w:rsidP="004F6459">
      <w:r>
        <w:t xml:space="preserve">Cynthia Ho’s recent work has documented the health costs of pharmaceutical trade secrecy with particular clarity. Because trade secrets have no fixed term, the health harms associated with concealed information persist indefinitely, unlike patent-protected information that enters the </w:t>
      </w:r>
      <w:r>
        <w:lastRenderedPageBreak/>
        <w:t>public domain after twenty years. A pharmaceutical manufacturer that conceals adverse event data as a trade secret faces no temporal limit on the concealment, and no automatic mechanism for public disclosure. The self-reinforcing opacity identified in Part II.D operates in the pharmaceutical context as well: the concealment of adverse event data prevents the generation of independent safety evidence, which prevents the demonstration of harm, which reduces the political pressure for mandatory disclosure.</w:t>
      </w:r>
    </w:p>
    <w:p w14:paraId="33742481" w14:textId="77777777" w:rsidR="00CD549B" w:rsidRPr="00B72334" w:rsidRDefault="00E62B27" w:rsidP="004F6459">
      <w:r>
        <w:t>Buccafusco, Masur, and Varadarajan’s recent analysis of trade secrecy’s “information paradox” identifies pharmaceutical data secrecy as one of several domains in which trade secrecy’s self-designating, unexamined character prevents the legal system from distinguishing socially beneficial secrets from socially harmful ones. Their work demonstrates that this barrier is structural—inherent in trade secret doctrine’s architecture rather than the product of any particular regulatory failure. The public choice framework developed here identifies a further dimension that their analysis does not address: the political mechanisms through which concentrated interests invest in maintaining the legal conditions that sustain pharmaceutical trade secrecy, the coalition dynamics that provide political cover for those investments, and the self-reinforcing cycle through which concealment of adverse event data prevents the generation of evidence that would strengthen the political demand for disclosure.</w:t>
      </w:r>
    </w:p>
    <w:p w14:paraId="09A94A80" w14:textId="68D1E04A" w:rsidR="00CD549B" w:rsidRPr="00B72334" w:rsidRDefault="00E62B27" w:rsidP="004F6459">
      <w:r>
        <w:t>The Bootleggers and Baptists dynamic is also visible in the pharmaceutical context. Pharmaceutical companies (bootleggers) lobby for broad CBI protections and data exclusivity provisions, investing directly in the political and regulatory processes that maintain confidentiality over safety-relevant information. Patient advocacy groups (Baptists) sometimes support extended exclusivity periods because they associate intellectual property protection with continued investment in treatments for their conditions—a sincerely held belief whose rhetorical force provides political cover for the industry’s economic interest in maintaining informational asymmetries. The coalition’s structure mirrors the fracking context: the Baptists’ moral authority (supporting innovation in life-saving treatments) deflects accusations of rent-seeking, while the bootleggers’ resources finance the political action needed to sustain the regime. The model predicts that the coalition will persist for as long as both sources of support remain active—and that disrupting it requires either removing the economic motivation (making secrecy less profitable) or decoupling the public-spirited rhetoric from the economic interest (demonstrating that secrecy harms patients rather than protecting them).</w:t>
      </w:r>
    </w:p>
    <w:p w14:paraId="3E9BB79D" w14:textId="77777777" w:rsidR="00CD549B" w:rsidRPr="00B72334" w:rsidRDefault="00E62B27" w:rsidP="007C03F2">
      <w:pPr>
        <w:pStyle w:val="Heading2"/>
      </w:pPr>
      <w:bookmarkStart w:id="26" w:name="Xbc9a9c1d9de3a8f4896e309939a0c4f034cf7a9"/>
      <w:bookmarkEnd w:id="25"/>
      <w:r>
        <w:t>C. Algorithmic Opacity and Automated Decision-Making</w:t>
      </w:r>
    </w:p>
    <w:p w14:paraId="76DFD4D4" w14:textId="77777777" w:rsidR="00CD549B" w:rsidRPr="00B72334" w:rsidRDefault="00E62B27" w:rsidP="00027756">
      <w:pPr>
        <w:pStyle w:val="FirstParagraph"/>
        <w:spacing w:before="0" w:after="0"/>
      </w:pPr>
      <w:r>
        <w:t>The newest domain in which trade secrecy’s structural properties afford capture is algorithmic decision-making. Firms deploying machine learning models in credit scoring, employment screening, criminal risk assessment, and content moderation routinely claim trade secret protection over model architectures, training data, feature weights, and decision logic. When regulators, auditors, or litigants seek access to these systems, the trade secret claim provides a doctrinal basis for refusal.</w:t>
      </w:r>
    </w:p>
    <w:p w14:paraId="03F4BE35" w14:textId="77777777" w:rsidR="00CD549B" w:rsidRPr="00B72334" w:rsidRDefault="00E62B27" w:rsidP="004F6459">
      <w:r>
        <w:t xml:space="preserve">The algorithmic context introduces a complication that the chemical contexts do not present: the information being concealed is not a static formulation but a dynamic computational </w:t>
      </w:r>
      <w:r>
        <w:lastRenderedPageBreak/>
        <w:t>process. A fracking fluid’s composition can, in principle, be disclosed in a chemical inventory that lists ingredients and concentrations. An algorithm’s decision logic may be embedded in millions of parameters whose individual values are, in isolation, meaningless. The complexity of the concealed information strengthens the trade secret holder’s position in two ways. It makes reverse engineering more difficult, satisfying the “not readily ascertainable” prong of trade secret law without requiring extensive affirmative security measures. And it raises the cost of meaningful disclosure, because simply publishing a model’s parameters does not make the model’s behavior interpretable to regulators or the affected public.</w:t>
      </w:r>
    </w:p>
    <w:p w14:paraId="5F31AE06" w14:textId="77777777" w:rsidR="00CD549B" w:rsidRPr="00B72334" w:rsidRDefault="00E62B27" w:rsidP="004F6459">
      <w:r>
        <w:t>Rebecca Wexler’s analysis of trade secrecy in the criminal justice system documents a particularly troubling application: defendants facing criminal prosecution based on proprietary forensic algorithms (DNA mixture analysis, probabilistic genotyping, predictive policing) have been denied access to the source code and validation data underlying the systems used to implicate them, on the ground that the information constitutes a trade secret of the algorithm’s developer. The Confrontation Clause implications are substantial. The Sixth Amendment guarantees the right to confront the evidence against oneself, but when that evidence is generated by a proprietary algorithm whose logic is shielded by trade secret claims, the right is effectively abrogated.</w:t>
      </w:r>
    </w:p>
    <w:p w14:paraId="0FEE13EB" w14:textId="77777777" w:rsidR="00CD549B" w:rsidRPr="00B72334" w:rsidRDefault="00E62B27" w:rsidP="004F6459">
      <w:r>
        <w:t>The structural parallels to fracking and pharmaceuticals are precise. The benefits of opacity are concentrated in the firms deploying proprietary algorithms. The costs are dispersed across the individuals and communities affected by algorithmic decisions, who typically cannot determine whether a decision was made by an algorithm, what inputs the algorithm used, or whether the algorithm’s logic is consistent with legal requirements. The recursive property is present: the concealment of algorithmic logic prevents the identification of discriminatory or erroneous patterns, which prevents the demonstration of harm, which weakens the political case for mandatory transparency or auditability. And the Bootleggers and Baptists dynamic operates here as well: technology firms (bootleggers) resist algorithmic transparency mandates to protect their competitive advantages, while due process advocates (Baptists) sometimes accept trade secret protection as the price of AI-assisted decision-making, associating proprietary innovation with continued improvement in the systems on which government increasingly relies.</w:t>
      </w:r>
    </w:p>
    <w:p w14:paraId="3B7EDBE3" w14:textId="77777777" w:rsidR="00CD549B" w:rsidRPr="00B72334" w:rsidRDefault="00E62B27" w:rsidP="004F6459">
      <w:r>
        <w:t>Graves and Katyal’s observation that trade secret law has expanded from protecting “competitive information” to enabling generalized “seclusion” is borne out in the algorithmic context. Firms invoke trade secrecy not to protect specific innovations from competitor appropriation but to insulate entire decision-making systems from external scrutiny. The doctrinal frame (misappropriation, reasonable efforts, independent economic value) remains formally intact, but the functional role of the doctrine has shifted from innovation incentive to opacity shield.</w:t>
      </w:r>
    </w:p>
    <w:p w14:paraId="0CC6722D" w14:textId="77777777" w:rsidR="00CD549B" w:rsidRPr="00B72334" w:rsidRDefault="00E62B27" w:rsidP="004F6459">
      <w:r>
        <w:t xml:space="preserve">The emerging regulatory responses to algorithmic opacity, including the European Union’s AI Act and various state-level algorithmic accountability proposals, face the same structural challenge that fracking disclosure laws face: they must overcome the concentrated opposition of firms whose business models depend on opacity, in a context where the diffuse public beneficiaries of transparency are poorly organized and unable to demonstrate specific harms from concealment because the concealment itself prevents the identification of those harms. The public choice analysis predicts that these regulatory efforts will, absent structural reform, follow </w:t>
      </w:r>
      <w:r>
        <w:lastRenderedPageBreak/>
        <w:t>the same trajectory as state fracking disclosure laws: nominal transparency requirements accompanied by trade secret exemptions broad enough to preserve the status quo.</w:t>
      </w:r>
    </w:p>
    <w:p w14:paraId="3416F29A" w14:textId="77777777" w:rsidR="00CD549B" w:rsidRPr="00B72334" w:rsidRDefault="00E62B27" w:rsidP="007C03F2">
      <w:pPr>
        <w:pStyle w:val="Heading2"/>
      </w:pPr>
      <w:bookmarkStart w:id="27" w:name="d.-the-common-structure"/>
      <w:bookmarkEnd w:id="26"/>
      <w:r>
        <w:t>D. The Common Structure</w:t>
      </w:r>
    </w:p>
    <w:p w14:paraId="6F65D802" w14:textId="42D3BFC9" w:rsidR="00CD549B" w:rsidRPr="00B72334" w:rsidRDefault="00E62B27" w:rsidP="00027756">
      <w:pPr>
        <w:pStyle w:val="FirstParagraph"/>
        <w:spacing w:before="0" w:after="0"/>
      </w:pPr>
      <w:r>
        <w:t>Across these domains, a common structure is visible. Concentrated interests select trade secrecy as their preferred form of intellectual property protection, often for defensible commercial reasons. The legal conditions necessary for trade secret survival (non-disclosure, confidentiality, reasonable protective measures) then come into tension with the regulatory state’s informational requirements. The interests invest in legislative and regulatory accommodations—trade secret exemptions, CBI provisions, or outright removal from regulatory jurisdiction—that preserve secrecy. The resulting opacity architecture is self-reinforcing: concealment prevents the generation of evidence of harm, which reduces political demand for disclosure, which preserves concealment. Doctrinal reforms that adjust the balance at the margins without addressing the structural political economy produce correspondingly marginal results.</w:t>
      </w:r>
    </w:p>
    <w:p w14:paraId="311CAB4E" w14:textId="27FD772C" w:rsidR="00CD549B" w:rsidRPr="00B72334" w:rsidRDefault="00E62B27" w:rsidP="004F6459">
      <w:r>
        <w:t>The generalizability of this pattern confirms that the fracking case is not sui generis. It is one manifestation of a systemic vulnerability in American regulatory design: the susceptibility of trade secret doctrine’s structural properties to exploitation by concentrated interests. The structural properties do not determine capture—legitimate trade secret protection coexists with capture-facilitating overclaiming across all of these domains. But the properties afford capture with a distinctiveness and effectiveness that no other common instrument of regulatory favoritism matches, because no other instrument combines the six features identified in Part II: concentrated benefits, dispersed costs, low salience, cross-cutting applicability, durability, recursion, and the absence of the antitrust constraints that discipline other IP rights.</w:t>
      </w:r>
    </w:p>
    <w:p w14:paraId="33E49C70" w14:textId="77777777" w:rsidR="00CD549B" w:rsidRPr="00B72334" w:rsidRDefault="00E62B27" w:rsidP="007C03F2">
      <w:pPr>
        <w:pStyle w:val="Heading1"/>
      </w:pPr>
      <w:bookmarkStart w:id="28" w:name="part-v.-toward-institutional-redesign"/>
      <w:bookmarkEnd w:id="23"/>
      <w:bookmarkEnd w:id="27"/>
      <w:r>
        <w:t>Part V. Toward Institutional Redesign</w:t>
      </w:r>
    </w:p>
    <w:p w14:paraId="64524B01" w14:textId="7DB06FA5" w:rsidR="00CD549B" w:rsidRPr="00B72334" w:rsidRDefault="00E62B27" w:rsidP="00027756">
      <w:pPr>
        <w:pStyle w:val="FirstParagraph"/>
        <w:spacing w:before="0" w:after="0"/>
      </w:pPr>
      <w:r>
        <w:t>If the diagnosis is correct—that trade secret law’s structural properties afford regulatory capture by lowering the cost of obtaining and maintaining favorable rules for concentrated interests while raising the cost of detection for diffuse publics—then effective reform must address those structural properties rather than merely recalibrating the doctrinal balance. This Part sketches four directions for institutional redesign, each calibrated to a specific feature of the political economy identified in Parts II through IV.</w:t>
      </w:r>
    </w:p>
    <w:p w14:paraId="441448CB" w14:textId="77777777" w:rsidR="00CD549B" w:rsidRPr="00B72334" w:rsidRDefault="00E62B27" w:rsidP="007C03F2">
      <w:pPr>
        <w:pStyle w:val="Heading2"/>
      </w:pPr>
      <w:bookmarkStart w:id="29" w:name="a.-redistributing-decision-rights"/>
      <w:r>
        <w:t>A. Redistributing Decision Rights</w:t>
      </w:r>
    </w:p>
    <w:p w14:paraId="59396F02" w14:textId="77777777" w:rsidR="00CD549B" w:rsidRPr="00B72334" w:rsidRDefault="00E62B27" w:rsidP="00027756">
      <w:pPr>
        <w:pStyle w:val="FirstParagraph"/>
        <w:spacing w:before="0" w:after="0"/>
      </w:pPr>
      <w:r>
        <w:t>The current architecture concentrates the decision to invoke trade secret protection in the hands of the information holder. In most state fracking disclosure laws, and under the pre-</w:t>
      </w:r>
      <w:r>
        <w:lastRenderedPageBreak/>
        <w:t>reform TSCA regime, the firm unilaterally designates information as a trade secret. No agency review is required. No substantiation is demanded. The burden of challenging the designation falls on third parties, typically environmental organizations or affected communities, who bear the costs of litigation and the disadvantage of informational asymmetry.</w:t>
      </w:r>
    </w:p>
    <w:p w14:paraId="0B6482B6" w14:textId="77777777" w:rsidR="00CD549B" w:rsidRPr="00B72334" w:rsidRDefault="00E62B27" w:rsidP="004F6459">
      <w:r>
        <w:t>This allocation of decision rights is precisely what the Olsonian framework predicts: the party with concentrated stakes in secrecy makes the decision, while the diffuse parties bearing the costs of secrecy must incur substantial costs to contest it. The structural advantage compounds over time, as unchallenged designations accumulate and create a baseline of accepted secrecy that makes future challenges more difficult.</w:t>
      </w:r>
    </w:p>
    <w:p w14:paraId="29F73192" w14:textId="77777777" w:rsidR="00CD549B" w:rsidRPr="00B72334" w:rsidRDefault="00E62B27" w:rsidP="004F6459">
      <w:r>
        <w:t>Redistributing decision rights means shifting the burden of justification to the party claiming secrecy and vesting review authority in an independent body. Several models exist along a spectrum of stringency. At the least aggressive end, a substantiation requirement would oblige the claiming firm to provide a written justification explaining how the claimed information satisfies the legal elements of trade secret protection: that it derives independent economic value from secrecy, that it is not generally known or readily ascertainable, and that reasonable efforts to maintain secrecy are in place. Texas and Oklahoma currently require no such showing for fracking chemical claims. At the opposite end of the spectrum, a pre-designation review requirement would condition the trade secret exemption on affirmative agency approval, with the claiming firm bearing the burden of persuasion. The Lautenberg Act’s requirement that EPA review CBI claims under TSCA is a partial step in this direction. Colorado’s 2022 elimination of trade secret exemptions for downhole fracking chemicals is a more aggressive step, dispensing with the review mechanism entirely by eliminating the exemption.</w:t>
      </w:r>
    </w:p>
    <w:p w14:paraId="0B358363" w14:textId="77777777" w:rsidR="00CD549B" w:rsidRPr="00B72334" w:rsidRDefault="00E62B27" w:rsidP="004F6459">
      <w:r>
        <w:t>A federal fracking disclosure mandate that required full chemical reporting to EPA, with trade secret claims subject to agency review and periodic reauthorization, would directly address the Olsonian asymmetry by reducing the ease with which concentrated interests can obtain and maintain secrecy protections. The mandate would also generate the informational preconditions for the kind of public deliberation that the current architecture forecloses: once chemical identities and concentrations are known to the regulatory agency, independent toxicological assessment becomes possible, epidemiological research can be designed, and the political debate over fracking’s risks can proceed on an evidentiary foundation rather than in an informational vacuum.</w:t>
      </w:r>
    </w:p>
    <w:p w14:paraId="1EFE1C2C" w14:textId="21EB7833" w:rsidR="00CD549B" w:rsidRPr="00B72334" w:rsidRDefault="00E62B27" w:rsidP="004F6459">
      <w:r>
        <w:t>The institutional design of the review body matters enormously. An agency that depends on the regulated industry for data, funding, or political support will, as Peltzman’s model predicts, tend to accommodate industry preferences in its review decisions. Effective review requires some degree of structural independence: fixed terms for reviewers, funding mechanisms insulated from industry influence, and transparency requirements that subject the review process itself to public scrutiny. The self-executing character of current trade secret invocation—the feature that enables the doctrine’s structural properties to afford capture by circumventing the administrative process protections that Croley identifies—must be replaced by a process that is itself subject to procedural safeguards.</w:t>
      </w:r>
      <w:r>
        <w:rPr>
          <w:rStyle w:val="FootnoteReference"/>
        </w:rPr>
        <w:footnoteReference w:id="22"/>
      </w:r>
    </w:p>
    <w:p w14:paraId="158B8819" w14:textId="77777777" w:rsidR="00CD549B" w:rsidRPr="00B72334" w:rsidRDefault="00E62B27" w:rsidP="007C03F2">
      <w:pPr>
        <w:pStyle w:val="Heading2"/>
      </w:pPr>
      <w:bookmarkStart w:id="30" w:name="X10e8564f3e64c05351b7d4c1563397ef897aefb"/>
      <w:bookmarkEnd w:id="29"/>
      <w:r>
        <w:lastRenderedPageBreak/>
        <w:t>B. Temporal Limits on Secrecy in High-Risk Domains</w:t>
      </w:r>
    </w:p>
    <w:p w14:paraId="24F0DED5" w14:textId="77777777" w:rsidR="00CD549B" w:rsidRPr="00B72334" w:rsidRDefault="00E62B27" w:rsidP="00027756">
      <w:pPr>
        <w:pStyle w:val="FirstParagraph"/>
        <w:spacing w:before="0" w:after="0"/>
      </w:pPr>
      <w:r>
        <w:t>The evergreening loop identified in Part III.E depends on the indefinite duration of trade secret protection. Breaking the loop requires imposing temporal limits on trade secret claims in domains where concealed information poses public health or environmental risks.</w:t>
      </w:r>
    </w:p>
    <w:p w14:paraId="47A14A40" w14:textId="77777777" w:rsidR="00CD549B" w:rsidRPr="00B72334" w:rsidRDefault="00E62B27" w:rsidP="004F6459">
      <w:r>
        <w:t>The Lautenberg Act’s ten-year sunset for TSCA CBI claims is a precedent. An analogous provision for fracking chemical trade secrets could require that any trade secret claim over a chemical injected into a well expire after a fixed period, after which the chemical identity would become part of the public record regardless of its continued commercial value. The fixed period would need to be calibrated to the useful commercial life of proprietary formulations, balancing the innovator’s interest in a reasonable period of exclusivity against the public’s interest in eventual disclosure.</w:t>
      </w:r>
    </w:p>
    <w:p w14:paraId="11AA4DEC" w14:textId="77777777" w:rsidR="00CD549B" w:rsidRPr="00B72334" w:rsidRDefault="00E62B27" w:rsidP="004F6459">
      <w:r>
        <w:t>Temporal limits directly address the structural advantage that trade secrets enjoy over patents in the public choice analysis. Patents expire. Trade secrets, absent disclosure, do not. The perpetuity of trade secret protection is the feature that makes the doctrine’s structural properties afford the self-reinforcing dynamics described in Part II.D with particular effectiveness. Imposing a temporal limit introduces a natural terminus, a point at which the information enters the public domain regardless of the political power of the information holder. The existence of such a terminus also changes the political dynamics prospectively: firms that know their trade secrets will eventually be disclosed have reduced incentives to invest in maintaining the opacity architecture, because the long-run rents from secrecy are capped.</w:t>
      </w:r>
    </w:p>
    <w:p w14:paraId="4D7C13F3" w14:textId="77777777" w:rsidR="00CD549B" w:rsidRPr="00B72334" w:rsidRDefault="00E62B27" w:rsidP="007C03F2">
      <w:pPr>
        <w:pStyle w:val="Heading2"/>
      </w:pPr>
      <w:bookmarkStart w:id="31" w:name="X4db6a1cbc964f3e12143face740f1621a6bf504"/>
      <w:bookmarkEnd w:id="30"/>
      <w:r>
        <w:t>C. Counter-Organization and Institutional Checks</w:t>
      </w:r>
    </w:p>
    <w:p w14:paraId="2C163A7A" w14:textId="77777777" w:rsidR="00CD549B" w:rsidRPr="00B72334" w:rsidRDefault="00E62B27" w:rsidP="00027756">
      <w:pPr>
        <w:pStyle w:val="FirstParagraph"/>
        <w:spacing w:before="0" w:after="0"/>
      </w:pPr>
      <w:r>
        <w:t>Olson’s logic of collective action explains why diffuse publics underinvest in demanding transparency. The appropriate institutional response is to reduce the cost of collective action for the diffuse public or to create institutional actors whose mandate is to represent diffuse interests.</w:t>
      </w:r>
    </w:p>
    <w:p w14:paraId="6BCE350E" w14:textId="77777777" w:rsidR="00CD549B" w:rsidRPr="00B72334" w:rsidRDefault="00E62B27" w:rsidP="004F6459">
      <w:r>
        <w:t>Several existing institutions serve this function imperfectly: environmental NGOs, state attorneys general, and congressional oversight committees. Their effectiveness is limited by resources, political incentives, and the recursive informational problem (they cannot effectively advocate for disclosure of information whose contents they do not know). More targeted institutional interventions could include publicly funded toxicological research programs that generate independent data on chemical hazards, reducing the regulatory system’s dependence on industry-submitted information; specialized ombuds offices with authority to review trade secret claims, request classified submissions from agencies, and publish findings (with appropriate protections for legitimately proprietary information); and standing provisions that lower the cost of judicial challenges to overbroad trade secret claims by environmental organizations, affected communities, and independent researchers.</w:t>
      </w:r>
    </w:p>
    <w:p w14:paraId="60D65903" w14:textId="77777777" w:rsidR="00CD549B" w:rsidRPr="00B72334" w:rsidRDefault="00E62B27" w:rsidP="004F6459">
      <w:r>
        <w:lastRenderedPageBreak/>
        <w:t>The common thread is the creation of institutional counterweights to the concentrated interests that the current architecture systematically advantages. Public choice theory does not predict that diffuse publics will never organize. It predicts that organization is costly and that institutional design can either raise or lower those costs. Current trade secret architecture raises them. Redesigned institutions could lower them.</w:t>
      </w:r>
    </w:p>
    <w:p w14:paraId="1A21BCC1" w14:textId="77777777" w:rsidR="00CD549B" w:rsidRPr="00B72334" w:rsidRDefault="00E62B27" w:rsidP="007C03F2">
      <w:pPr>
        <w:pStyle w:val="Heading2"/>
      </w:pPr>
      <w:bookmarkStart w:id="32" w:name="d.-the-limits-of-doctrinal-reform"/>
      <w:bookmarkEnd w:id="31"/>
      <w:r>
        <w:t>D. The Limits of Doctrinal Reform</w:t>
      </w:r>
    </w:p>
    <w:p w14:paraId="1B530AD6" w14:textId="133C576C" w:rsidR="00CD549B" w:rsidRPr="00B72334" w:rsidRDefault="00E62B27" w:rsidP="00027756">
      <w:pPr>
        <w:pStyle w:val="FirstParagraph"/>
        <w:spacing w:before="0" w:after="0"/>
      </w:pPr>
      <w:r>
        <w:t>A public choice perspective on trade secrecy carries an important cautionary note about the limits of doctrinal reform standing alone. The balance paradigm’s reform proposals—narrower exemptions, stronger substantiation requirements, improved emergency access provisions—are desirable on their own terms. Each would produce marginal improvements in transparency. None would alter the structural political economy that produces the opacity architecture in the first place.</w:t>
      </w:r>
    </w:p>
    <w:p w14:paraId="5BD37B99" w14:textId="206E1478" w:rsidR="00CD549B" w:rsidRPr="00B72334" w:rsidRDefault="00E62B27" w:rsidP="004F6459">
      <w:r>
        <w:t>The history of state fracking disclosure laws illustrates this point. After more than a decade of legislative activity, twenty-plus states have adopted disclosure requirements. Everyone (with the partial exception of Colorado) includes trade secret exemptions. The exemptions were not accidents or oversights. They were the predictable product of a legislative process in which the firms affected by disclosure were intensely organized, well-funded, and deeply involved in the drafting process, while the communities affected by non-disclosure were diffuse, poorly informed, and intermittently engaged.</w:t>
      </w:r>
    </w:p>
    <w:p w14:paraId="5B397DD6" w14:textId="77777777" w:rsidR="00CD549B" w:rsidRPr="00B72334" w:rsidRDefault="00E62B27" w:rsidP="004F6459">
      <w:r>
        <w:t>Doctrinal reform that leaves these structural conditions unchanged will be incorporated into the existing political economy. Broader disclosure mandates will be accompanied by broader trade secret exemptions. Stronger substantiation requirements will be administered by agencies that lack the resources or incentives to enforce them rigorously. Improved emergency access provisions will be conditioned on confidentiality agreements that limit the usefulness of the disclosed information. The pattern is not inevitable, and individual reform victories are valuable. But the persistent, systematic character of the opacity architecture requires institutional responses that address its political economy, not merely its doctrinal manifestations.</w:t>
      </w:r>
    </w:p>
    <w:p w14:paraId="37D3D402" w14:textId="77777777" w:rsidR="00CD549B" w:rsidRPr="00B72334" w:rsidRDefault="00E62B27" w:rsidP="004F6459">
      <w:r>
        <w:t>The institutional redesign proposed here responds to a challenge that emerges from the intersection of this Article’s political economy analysis with the information-theoretic analysis offered by Buccafusco, Masur, and Varadarajan. Their information paradox demonstrates that trade secret doctrine lacks the screening mechanisms needed to distinguish beneficial from harmful secrets at the threshold. Their conclusion—that “piecemeal, contextualized limits” represent the most viable path forward—reflects the difficulty of resolving this problem within existing institutional structures. The public choice framework explains why even those piecemeal limits face systematic resistance: the same concentrated interests that benefit from the information paradox invest in maintaining the legal architecture that sustains it. If this informational barrier cannot be fully resolved through doctrinal reform alone, and if the political economy systematically obstructs even incremental reforms, then the path forward must alter the political conditions under which reform is attempted. The institutional interventions proposed above—redistributing decision rights, imposing temporal limits, and supporting counter-</w:t>
      </w:r>
      <w:r>
        <w:lastRenderedPageBreak/>
        <w:t>organization—do not solve the information paradox. They alter the political economy that exploits it, shifting the costs and incentives that the public choice framework identifies as the structural drivers of opacity.</w:t>
      </w:r>
    </w:p>
    <w:p w14:paraId="479D721A" w14:textId="77777777" w:rsidR="00CD549B" w:rsidRPr="00B72334" w:rsidRDefault="00E62B27" w:rsidP="007C03F2">
      <w:pPr>
        <w:pStyle w:val="Heading1"/>
      </w:pPr>
      <w:bookmarkStart w:id="33" w:name="conclusion"/>
      <w:bookmarkEnd w:id="28"/>
      <w:bookmarkEnd w:id="32"/>
      <w:r>
        <w:t>Conclusion</w:t>
      </w:r>
    </w:p>
    <w:p w14:paraId="7E2F36D8" w14:textId="32AEA02D" w:rsidR="00CD549B" w:rsidRPr="00B72334" w:rsidRDefault="00E62B27" w:rsidP="00027756">
      <w:pPr>
        <w:pStyle w:val="FirstParagraph"/>
        <w:spacing w:before="0" w:after="0"/>
      </w:pPr>
      <w:r>
        <w:t>The prevailing account of trade secret law treats it as a balance between innovation and transparency, a balance that sometimes tips too far toward secrecy in particular domains and that can be corrected through targeted legislative or judicial intervention. This Article has argued that the prevailing account is inadequate. Trade secret law’s structural properties—concentrated benefits, dispersed costs, low political salience, cross-cutting applicability, durability, and recursive self-concealment—make it a uniquely effective political technology: not a tool of capture by its nature, but an instrument whose structural properties lower the cost of capture for concentrated interests and raise the cost of detection for diffuse publics to a degree that no other common instrument of regulatory capture matches.</w:t>
      </w:r>
    </w:p>
    <w:p w14:paraId="7457EFC8" w14:textId="19F312FF" w:rsidR="00CD549B" w:rsidRPr="00B72334" w:rsidRDefault="00E62B27" w:rsidP="004F6459">
      <w:r>
        <w:t xml:space="preserve">The Article makes four contributions to the literature. First, and most centrally, it identifies the </w:t>
      </w:r>
      <w:r>
        <w:rPr>
          <w:i/>
          <w:iCs/>
        </w:rPr>
        <w:t>recursive property</w:t>
      </w:r>
      <w:r>
        <w:t xml:space="preserve"> of trade secret capture: the mechanism by which trade secret claims in regulatory contexts conceal the very information that would be needed to detect, measure, and politically mobilize against the costs of those claims. The recursive property distinguishes trade secrecy from other instruments of regulatory capture—subsidies, tariffs, licensing restrictions—whose costs are in principle visible even when political incentives discourage mobilization against them. The recursive property builds on the epistemic insight developed in Buccafusco, Masur, and Varadarajan’s analysis of trade secrecy’s information paradox—the structural impossibility of evaluating a secret’s social value without destroying it—by identifying the political dynamics through which that informational barrier is strategically maintained and exploited by organized interests. Second, it introduces the </w:t>
      </w:r>
      <w:r>
        <w:rPr>
          <w:i/>
          <w:iCs/>
        </w:rPr>
        <w:t>political technology</w:t>
      </w:r>
      <w:r>
        <w:t xml:space="preserve"> framing: the characterization of trade secret law as an instrument whose structural properties, analytically identifiable regardless of any actor’s subjective purpose, make it disproportionately effective as a tool for regulatory capture. Third, it identifies the </w:t>
      </w:r>
      <w:r>
        <w:rPr>
          <w:i/>
          <w:iCs/>
        </w:rPr>
        <w:t>antitrust vacuum</w:t>
      </w:r>
      <w:r>
        <w:t xml:space="preserve"> for trade secrets: the absence of any analogue to the Walker Process, inequitable conduct, or FRAND mechanisms that provide at least partial accountability for strategic abuse of patent rights. Fourth, it recharacterizes the </w:t>
      </w:r>
      <w:r>
        <w:rPr>
          <w:i/>
          <w:iCs/>
        </w:rPr>
        <w:t>Halliburton Loophole as an intellectual property protection mechanism</w:t>
      </w:r>
      <w:r>
        <w:t>—not merely an environmental regulatory exemption—by identifying the specific IP logic that motivated the architectural choice: the elimination of the regulatory predicate that would have mandated disclosure and thereby destroyed trade secret status.</w:t>
      </w:r>
    </w:p>
    <w:p w14:paraId="6C96BA79" w14:textId="77777777" w:rsidR="00CD549B" w:rsidRPr="00B72334" w:rsidRDefault="00E62B27" w:rsidP="004F6459">
      <w:r>
        <w:t xml:space="preserve">The fracking chemical disclosure regime provides the detailed illustration. The industry’s structural dependence on trade secrets for fluid formulations, the threat that mandatory disclosure under the SDWA’s UIC program posed to those trade secrets, the architectural response of the Halliburton Loophole, the design of state disclosure laws with embedded trade secret exemptions, and the self-reinforcing evergreening loop that perpetuates the resulting opacity: each element of this architecture is individually explicable as routine legislative or </w:t>
      </w:r>
      <w:r>
        <w:lastRenderedPageBreak/>
        <w:t>regulatory activity. Viewed collectively through the public choice lens, they reveal a coherent system of engineered opacity that serves concentrated interests at the expense of dispersed publics.</w:t>
      </w:r>
    </w:p>
    <w:p w14:paraId="6D7CA6AB" w14:textId="77777777" w:rsidR="00CD549B" w:rsidRPr="00B72334" w:rsidRDefault="00E62B27" w:rsidP="004F6459">
      <w:r>
        <w:t>The pattern generalizes. TSCA’s confidential business information regime, pharmaceutical data secrecy, and algorithmic opacity each exhibit the same structural dynamics. In each domain, trade secret law’s structural properties afford the conversion of informational advantages into durable legal entitlements, shielding commercially valuable (and often socially harmful) information from regulatory scrutiny, public accountability, and democratic deliberation.</w:t>
      </w:r>
    </w:p>
    <w:p w14:paraId="6212F1EB" w14:textId="77777777" w:rsidR="00CD549B" w:rsidRPr="00B72334" w:rsidRDefault="00E62B27" w:rsidP="004F6459">
      <w:r>
        <w:t>The theoretical contribution of this Article is the identification of a mechanism that the existing literature has described in fragments but never assembled into a unified account. Environmental law scholars have documented the costs of fracking chemical secrecy without connecting those costs to the structure of trade secret doctrine. Intellectual property scholars have analyzed the doctrinal requirements and policy justifications of trade secret law without examining its susceptibility to capture. Public choice scholars have studied regulatory capture in energy and environmental policy without identifying trade secrecy as a distinctive instrument of that capture. The synthesis offered here draws these literatures together through a proposition that is simple to state and, the Article hopes, difficult to unsee: trade secret law is not merely a background rule against which regulatory battles are fought. It is itself one of the stakes of the contest, and one of the most potent weapons available to those who win it.</w:t>
      </w:r>
    </w:p>
    <w:p w14:paraId="0BD7B1B2" w14:textId="77777777" w:rsidR="00CD549B" w:rsidRPr="00B72334" w:rsidRDefault="00E62B27" w:rsidP="004F6459">
      <w:r>
        <w:t>Effective reform requires moving beyond the balance paradigm to address the institutional conditions that make trade secrecy’s structural properties afford capture. Redistributing decision rights, imposing temporal limits on secrecy in high-risk domains, and supporting the counter-organization of diffuse public interests are structural interventions calibrated to the structural problem. They will not eliminate the tension between proprietary claims and public safety. The tension is real, and some measure of trade secrecy serves legitimate functions. What these interventions can accomplish is the dismantling of the opacity architecture: the set of legal and institutional arrangements through which trade secrecy has been transformed from a private-law incentive mechanism into a scaffolding for structural concealment.</w:t>
      </w:r>
    </w:p>
    <w:p w14:paraId="6CC8ADA9" w14:textId="77777777" w:rsidR="00CD549B" w:rsidRPr="00B72334" w:rsidRDefault="00E62B27" w:rsidP="004F6459">
      <w:r>
        <w:t>The intellectual property system is often defended on the ground that it promotes innovation by rewarding inventors and creators. Trade secret law is defended, specifically, on the ground that it protects investments in commercially valuable information. These defenses are not wrong. They are incomplete. An intellectual property regime whose structural properties afford the entrenchment of informational monopolies at the expense of public health, environmental protection, and democratic governance is a regime in need of structural reform.</w:t>
      </w:r>
    </w:p>
    <w:p w14:paraId="69BB2ED8" w14:textId="77777777" w:rsidR="00CD549B" w:rsidRPr="00B72334" w:rsidRDefault="00E62B27" w:rsidP="004F6459">
      <w:r>
        <w:t>The question is whether the political system that produced the current architecture is capable of dismantling it. Public choice theory’s answer is sobering: the same structural properties that afford capture also impede reform. Concentrated interests will resist changes to a regime that serves them. Diffuse publics will underinvest in demanding changes whose benefits they cannot see, precisely because the current regime conceals the information that would make those benefits visible. The recursive property of trade secrecy operates against reform just as it operates against transparency.</w:t>
      </w:r>
    </w:p>
    <w:p w14:paraId="4D00F773" w14:textId="77777777" w:rsidR="00CD549B" w:rsidRPr="00B72334" w:rsidRDefault="00E62B27" w:rsidP="004F6459">
      <w:r>
        <w:t xml:space="preserve">The answer to this structural pessimism is not fatalism. It is institutional creativity. The reforms proposed in Part V are designed to alter the political economy itself, not merely to </w:t>
      </w:r>
      <w:r>
        <w:lastRenderedPageBreak/>
        <w:t>adjust outcomes within the existing political economy. Temporal limits on secrecy break the evergreening loop by introducing a natural terminus to concealment. Redistributed decision rights shift the political calculus by making secrecy claims costly to maintain. Institutional counter-organization reduces the asymmetry between concentrated interests and diffuse publics by creating entities whose mandate is to represent the unrepresented. None of these reforms is sufficient alone. Each addresses a specific structural property of the political economy that sustains the opacity architecture. Together, they offer a path toward a trade secret regime that protects genuine innovation without serving as the scaffolding for structural concealment.</w:t>
      </w:r>
      <w:bookmarkEnd w:id="33"/>
    </w:p>
    <w:sectPr w:rsidR="00CD549B" w:rsidRPr="00B72334" w:rsidSect="00ED1BBC">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7A283" w14:textId="77777777" w:rsidR="00E10318" w:rsidRDefault="00E10318" w:rsidP="00B72334">
      <w:r>
        <w:separator/>
      </w:r>
    </w:p>
  </w:endnote>
  <w:endnote w:type="continuationSeparator" w:id="0">
    <w:p w14:paraId="682889CA" w14:textId="77777777" w:rsidR="00E10318" w:rsidRDefault="00E10318" w:rsidP="00B72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DC6FB" w14:textId="77777777" w:rsidR="00323F95" w:rsidRDefault="00323F95" w:rsidP="00A53483">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BBE3" w14:textId="77777777" w:rsidR="00FA0684" w:rsidRDefault="00FA0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CDC6" w14:textId="77777777" w:rsidR="00FA0684" w:rsidRDefault="00FA0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B54C" w14:textId="77777777" w:rsidR="00E10318" w:rsidRDefault="00E10318" w:rsidP="00B72334">
      <w:r>
        <w:separator/>
      </w:r>
    </w:p>
  </w:footnote>
  <w:footnote w:type="continuationSeparator" w:id="0">
    <w:p w14:paraId="440219A4" w14:textId="77777777" w:rsidR="00E10318" w:rsidRDefault="00E10318" w:rsidP="00B72334">
      <w:r>
        <w:continuationSeparator/>
      </w:r>
    </w:p>
  </w:footnote>
  <w:footnote w:id="1">
    <w:p w14:paraId="11ED728E"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Professor of Law, UNH Franklin Pierce School of Law. [acknowledgments]</w:t>
      </w:r>
    </w:p>
  </w:footnote>
  <w:footnote w:id="2">
    <w:p w14:paraId="5D506091" w14:textId="525CE3B3"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The claim is </w:t>
      </w:r>
      <w:r w:rsidRPr="00334805">
        <w:rPr>
          <w:i/>
          <w:iCs/>
          <w:sz w:val="20"/>
          <w:szCs w:val="20"/>
        </w:rPr>
        <w:t>not</w:t>
      </w:r>
      <w:r w:rsidRPr="00027756">
        <w:rPr>
          <w:sz w:val="20"/>
          <w:szCs w:val="20"/>
        </w:rPr>
        <w:t xml:space="preserve"> that trade secret doctrine functions as a tool of capture by its nature</w:t>
      </w:r>
      <w:r w:rsidR="00334805">
        <w:rPr>
          <w:sz w:val="20"/>
          <w:szCs w:val="20"/>
        </w:rPr>
        <w:t xml:space="preserve">; </w:t>
      </w:r>
      <w:r w:rsidRPr="00027756">
        <w:rPr>
          <w:sz w:val="20"/>
          <w:szCs w:val="20"/>
        </w:rPr>
        <w:t>that formulation would commit the Article to the obviously false proposition that every invocation of trade secrecy, from the startup protecting its algorithm to the restaurateur guarding a recipe, is an act of capture. The claim is that trade secret doctrine’s structural properties</w:t>
      </w:r>
      <w:r w:rsidR="002902C5">
        <w:rPr>
          <w:sz w:val="20"/>
          <w:szCs w:val="20"/>
        </w:rPr>
        <w:t>—</w:t>
      </w:r>
      <w:r w:rsidRPr="00027756">
        <w:rPr>
          <w:sz w:val="20"/>
          <w:szCs w:val="20"/>
        </w:rPr>
        <w:t>recursion, low salience, self-executing invocation, and the absence of antitrust counterweight</w:t>
      </w:r>
      <w:r w:rsidR="002902C5">
        <w:rPr>
          <w:sz w:val="20"/>
          <w:szCs w:val="20"/>
        </w:rPr>
        <w:t>—</w:t>
      </w:r>
      <w:r w:rsidRPr="00027756">
        <w:rPr>
          <w:sz w:val="20"/>
          <w:szCs w:val="20"/>
        </w:rPr>
        <w:t xml:space="preserve">lower the cost of capture for concentrated interests and raise the cost of detection for diffuse publics. </w:t>
      </w:r>
      <w:r w:rsidR="00FB0A37">
        <w:rPr>
          <w:sz w:val="20"/>
          <w:szCs w:val="20"/>
        </w:rPr>
        <w:t>In other words, this Article’s claim</w:t>
      </w:r>
      <w:r w:rsidR="00FB6234">
        <w:rPr>
          <w:sz w:val="20"/>
          <w:szCs w:val="20"/>
        </w:rPr>
        <w:t xml:space="preserve"> is founded in</w:t>
      </w:r>
      <w:r w:rsidRPr="00027756">
        <w:rPr>
          <w:sz w:val="20"/>
          <w:szCs w:val="20"/>
        </w:rPr>
        <w:t xml:space="preserve"> Stigler-Peltzman</w:t>
      </w:r>
      <w:r w:rsidR="00FB6234">
        <w:rPr>
          <w:sz w:val="20"/>
          <w:szCs w:val="20"/>
        </w:rPr>
        <w:t xml:space="preserve"> regulatory theory</w:t>
      </w:r>
      <w:r w:rsidRPr="00027756">
        <w:rPr>
          <w:sz w:val="20"/>
          <w:szCs w:val="20"/>
        </w:rPr>
        <w:t xml:space="preserve">: regulation is not captured because it is inherently corrupt; it is captured because the cost structure of political mobilization systematically favors concentrated beneficiaries. </w:t>
      </w:r>
      <w:r w:rsidRPr="00027756">
        <w:rPr>
          <w:i/>
          <w:iCs/>
          <w:sz w:val="20"/>
          <w:szCs w:val="20"/>
        </w:rPr>
        <w:t>See</w:t>
      </w:r>
      <w:r w:rsidRPr="00027756">
        <w:rPr>
          <w:sz w:val="20"/>
          <w:szCs w:val="20"/>
        </w:rPr>
        <w:t xml:space="preserve"> George J. Stigler, </w:t>
      </w:r>
      <w:r w:rsidRPr="00027756">
        <w:rPr>
          <w:i/>
          <w:iCs/>
          <w:sz w:val="20"/>
          <w:szCs w:val="20"/>
        </w:rPr>
        <w:t>The Theory of Economic Regulation</w:t>
      </w:r>
      <w:r w:rsidRPr="00027756">
        <w:rPr>
          <w:sz w:val="20"/>
          <w:szCs w:val="20"/>
        </w:rPr>
        <w:t xml:space="preserve">, 2 Bell J. Econ. &amp; Mgmt. Sci. 3, 3 (1971); Sam Peltzman, </w:t>
      </w:r>
      <w:r w:rsidRPr="00027756">
        <w:rPr>
          <w:i/>
          <w:iCs/>
          <w:sz w:val="20"/>
          <w:szCs w:val="20"/>
        </w:rPr>
        <w:t>Toward a More General Theory of Regulation</w:t>
      </w:r>
      <w:r w:rsidRPr="00027756">
        <w:rPr>
          <w:sz w:val="20"/>
          <w:szCs w:val="20"/>
        </w:rPr>
        <w:t>, 19 J.L. &amp; Econ. 211 (1976).</w:t>
      </w:r>
    </w:p>
  </w:footnote>
  <w:footnote w:id="3">
    <w:p w14:paraId="6F95703E" w14:textId="6C406ED3"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The term “political technology” is used here in a sense related to but distinct from its established meaning in the study of post-Soviet politics, where it denotes the professional engineering of political outcomes through manipulation techniques. </w:t>
      </w:r>
      <w:r w:rsidRPr="00027756">
        <w:rPr>
          <w:i/>
          <w:iCs/>
          <w:sz w:val="20"/>
          <w:szCs w:val="20"/>
        </w:rPr>
        <w:t>See</w:t>
      </w:r>
      <w:r w:rsidRPr="00027756">
        <w:rPr>
          <w:sz w:val="20"/>
          <w:szCs w:val="20"/>
        </w:rPr>
        <w:t xml:space="preserve"> Andrew Wilson, </w:t>
      </w:r>
      <w:r w:rsidRPr="00027756">
        <w:rPr>
          <w:i/>
          <w:iCs/>
          <w:sz w:val="20"/>
          <w:szCs w:val="20"/>
        </w:rPr>
        <w:t xml:space="preserve">Political Technology: The </w:t>
      </w:r>
      <w:proofErr w:type="spellStart"/>
      <w:r w:rsidRPr="00027756">
        <w:rPr>
          <w:i/>
          <w:iCs/>
          <w:sz w:val="20"/>
          <w:szCs w:val="20"/>
        </w:rPr>
        <w:t>Globalisation</w:t>
      </w:r>
      <w:proofErr w:type="spellEnd"/>
      <w:r w:rsidRPr="00027756">
        <w:rPr>
          <w:i/>
          <w:iCs/>
          <w:sz w:val="20"/>
          <w:szCs w:val="20"/>
        </w:rPr>
        <w:t xml:space="preserve"> of Political Manipulation</w:t>
      </w:r>
      <w:r w:rsidRPr="00027756">
        <w:rPr>
          <w:sz w:val="20"/>
          <w:szCs w:val="20"/>
        </w:rPr>
        <w:t xml:space="preserve"> (2024); Wilson, </w:t>
      </w:r>
      <w:r w:rsidRPr="00027756">
        <w:rPr>
          <w:i/>
          <w:iCs/>
          <w:sz w:val="20"/>
          <w:szCs w:val="20"/>
        </w:rPr>
        <w:t>Virtual Politics: Faking Democracy in the Post-Soviet World</w:t>
      </w:r>
      <w:r w:rsidRPr="00027756">
        <w:rPr>
          <w:sz w:val="20"/>
          <w:szCs w:val="20"/>
        </w:rPr>
        <w:t xml:space="preserve"> (2005). In Wilson’s usage, the term connotes deliberate design and intentional deployment. Here, it describes a legal instrument whose </w:t>
      </w:r>
      <w:r w:rsidRPr="00027756">
        <w:rPr>
          <w:i/>
          <w:iCs/>
          <w:sz w:val="20"/>
          <w:szCs w:val="20"/>
        </w:rPr>
        <w:t>structural properties</w:t>
      </w:r>
      <w:r w:rsidR="002902C5">
        <w:rPr>
          <w:sz w:val="20"/>
          <w:szCs w:val="20"/>
        </w:rPr>
        <w:t>—</w:t>
      </w:r>
      <w:r w:rsidRPr="00027756">
        <w:rPr>
          <w:sz w:val="20"/>
          <w:szCs w:val="20"/>
        </w:rPr>
        <w:t>properties that are analytically identifiable regardless of any actor’s subjective purpose</w:t>
      </w:r>
      <w:r w:rsidR="002902C5">
        <w:rPr>
          <w:sz w:val="20"/>
          <w:szCs w:val="20"/>
        </w:rPr>
        <w:t>—</w:t>
      </w:r>
      <w:r w:rsidRPr="00027756">
        <w:rPr>
          <w:sz w:val="20"/>
          <w:szCs w:val="20"/>
        </w:rPr>
        <w:t xml:space="preserve">make it disproportionately effective as a tool for regulatory capture. The analogy is to </w:t>
      </w:r>
      <w:proofErr w:type="gramStart"/>
      <w:r w:rsidRPr="00027756">
        <w:rPr>
          <w:sz w:val="20"/>
          <w:szCs w:val="20"/>
        </w:rPr>
        <w:t>engineering</w:t>
      </w:r>
      <w:proofErr w:type="gramEnd"/>
      <w:r w:rsidRPr="00027756">
        <w:rPr>
          <w:sz w:val="20"/>
          <w:szCs w:val="20"/>
        </w:rPr>
        <w:t xml:space="preserve"> rather than conspiracy: a bridge’s load-bearing capacity is a structural property of its design, not a function of the builder’s intent. Trade secret law’s capacity for regulatory capture is, in the same sense, a structural property of the doctrine’s design.</w:t>
      </w:r>
    </w:p>
  </w:footnote>
  <w:footnote w:id="4">
    <w:p w14:paraId="52FFE4FF" w14:textId="385C0D12"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Jiang’s finding is significant for the public choice framework because it directly confirms the Stigler-Peltzman prediction: firms calibrate secrecy claims to political salience and enforcement probability. If trade secret claims were uniformly genuine</w:t>
      </w:r>
      <w:r w:rsidR="002902C5">
        <w:rPr>
          <w:sz w:val="20"/>
          <w:szCs w:val="20"/>
        </w:rPr>
        <w:t>—</w:t>
      </w:r>
      <w:r w:rsidRPr="00027756">
        <w:rPr>
          <w:sz w:val="20"/>
          <w:szCs w:val="20"/>
        </w:rPr>
        <w:t>that is, if every claimed chemical were genuinely the subject of protectable proprietary information</w:t>
      </w:r>
      <w:r w:rsidR="002902C5">
        <w:rPr>
          <w:sz w:val="20"/>
          <w:szCs w:val="20"/>
        </w:rPr>
        <w:t>—</w:t>
      </w:r>
      <w:r w:rsidRPr="00027756">
        <w:rPr>
          <w:sz w:val="20"/>
          <w:szCs w:val="20"/>
        </w:rPr>
        <w:t xml:space="preserve">the proximity of a water quality monitor should have no effect on the rate of claiming. The fact that it does indicates that at least some claims are strategic responses to the perceived risk of detection, not bona fide assertions of proprietary rights. </w:t>
      </w:r>
      <w:r w:rsidRPr="00027756">
        <w:rPr>
          <w:i/>
          <w:iCs/>
          <w:sz w:val="20"/>
          <w:szCs w:val="20"/>
        </w:rPr>
        <w:t>See</w:t>
      </w:r>
      <w:r w:rsidRPr="00027756">
        <w:rPr>
          <w:sz w:val="20"/>
          <w:szCs w:val="20"/>
        </w:rPr>
        <w:t xml:space="preserve"> </w:t>
      </w:r>
      <w:proofErr w:type="spellStart"/>
      <w:r w:rsidRPr="00027756">
        <w:rPr>
          <w:sz w:val="20"/>
          <w:szCs w:val="20"/>
        </w:rPr>
        <w:t>Yile</w:t>
      </w:r>
      <w:proofErr w:type="spellEnd"/>
      <w:r w:rsidRPr="00027756">
        <w:rPr>
          <w:sz w:val="20"/>
          <w:szCs w:val="20"/>
        </w:rPr>
        <w:t xml:space="preserve"> Jiang, </w:t>
      </w:r>
      <w:r w:rsidRPr="00027756">
        <w:rPr>
          <w:i/>
          <w:iCs/>
          <w:sz w:val="20"/>
          <w:szCs w:val="20"/>
        </w:rPr>
        <w:t>Comply or Explain</w:t>
      </w:r>
      <w:r w:rsidRPr="00027756">
        <w:rPr>
          <w:sz w:val="20"/>
          <w:szCs w:val="20"/>
        </w:rPr>
        <w:t>, 62 J. Acct. Res. (2024).</w:t>
      </w:r>
    </w:p>
  </w:footnote>
  <w:footnote w:id="5">
    <w:p w14:paraId="3E00E8D2"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w:t>
      </w:r>
      <w:r w:rsidRPr="00027756">
        <w:rPr>
          <w:i/>
          <w:iCs/>
          <w:sz w:val="20"/>
          <w:szCs w:val="20"/>
        </w:rPr>
        <w:t>See</w:t>
      </w:r>
      <w:r w:rsidRPr="00027756">
        <w:rPr>
          <w:sz w:val="20"/>
          <w:szCs w:val="20"/>
        </w:rPr>
        <w:t xml:space="preserve"> Daniel A. Farber &amp; Philip P. Frickey, </w:t>
      </w:r>
      <w:r w:rsidRPr="00027756">
        <w:rPr>
          <w:i/>
          <w:iCs/>
          <w:sz w:val="20"/>
          <w:szCs w:val="20"/>
        </w:rPr>
        <w:t>Law and Public Choice: A Critical Introduction</w:t>
      </w:r>
      <w:r w:rsidRPr="00027756">
        <w:rPr>
          <w:sz w:val="20"/>
          <w:szCs w:val="20"/>
        </w:rPr>
        <w:t xml:space="preserve"> 22–24 (1991) (identifying public choice theory’s capacity for generating “testable propositions about legislative and regulatory behavior” as its principal disciplinary advantage). Farber and Frickey’s critique targets public choice’s ambition, not its methodological discipline. Their later reassessment acknowledged that “legal academics … may be asking more from public choice theory than its best practitioners believe it can realistically offer.” Daniel A. Farber &amp; Philip P. Frickey, </w:t>
      </w:r>
      <w:r w:rsidRPr="00027756">
        <w:rPr>
          <w:i/>
          <w:iCs/>
          <w:sz w:val="20"/>
          <w:szCs w:val="20"/>
        </w:rPr>
        <w:t>Public Choice Revisited</w:t>
      </w:r>
      <w:r w:rsidRPr="00027756">
        <w:rPr>
          <w:sz w:val="20"/>
          <w:szCs w:val="20"/>
        </w:rPr>
        <w:t>, 96 Mich. L. Rev. 1715, 1717 (1998). The present Article deploys PCT within its proper parameters: identifying structural conditions that predict institutional outcomes, not claiming that every legislative act reduces to rent-seeking.</w:t>
      </w:r>
    </w:p>
  </w:footnote>
  <w:footnote w:id="6">
    <w:p w14:paraId="43F0A67E"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Amy Kapczynski, </w:t>
      </w:r>
      <w:r w:rsidRPr="00027756">
        <w:rPr>
          <w:i/>
          <w:iCs/>
          <w:sz w:val="20"/>
          <w:szCs w:val="20"/>
        </w:rPr>
        <w:t>The Public History of Trade Secrets</w:t>
      </w:r>
      <w:r w:rsidRPr="00027756">
        <w:rPr>
          <w:sz w:val="20"/>
          <w:szCs w:val="20"/>
        </w:rPr>
        <w:t>, 55 U.C. Davis L. Rev. 1367 (2022).</w:t>
      </w:r>
    </w:p>
  </w:footnote>
  <w:footnote w:id="7">
    <w:p w14:paraId="02300053"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Oren Bracha &amp; Talha Syed, </w:t>
      </w:r>
      <w:r w:rsidRPr="00027756">
        <w:rPr>
          <w:i/>
          <w:iCs/>
          <w:sz w:val="20"/>
          <w:szCs w:val="20"/>
        </w:rPr>
        <w:t>A Law and Political Economy of Intellectual Property</w:t>
      </w:r>
      <w:r w:rsidRPr="00027756">
        <w:rPr>
          <w:sz w:val="20"/>
          <w:szCs w:val="20"/>
        </w:rPr>
        <w:t>, 103 Tex. L. Rev. 1403 (2025).</w:t>
      </w:r>
    </w:p>
  </w:footnote>
  <w:footnote w:id="8">
    <w:p w14:paraId="06892DBF"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This is not to say that LPE scholarship lacks analytical rigor. It is to say that the rigor is descriptive rather than predictive. LPE scholars do not apply their framework to trade secret law and discover, as a surprise, that it is captured by private interests. They begin with distributional commitments and document the facts that confirm them. </w:t>
      </w:r>
      <w:r w:rsidRPr="00027756">
        <w:rPr>
          <w:i/>
          <w:iCs/>
          <w:sz w:val="20"/>
          <w:szCs w:val="20"/>
        </w:rPr>
        <w:t>See</w:t>
      </w:r>
      <w:r w:rsidRPr="00027756">
        <w:rPr>
          <w:sz w:val="20"/>
          <w:szCs w:val="20"/>
        </w:rPr>
        <w:t xml:space="preserve"> Bracha &amp; Syed, </w:t>
      </w:r>
      <w:r w:rsidRPr="00027756">
        <w:rPr>
          <w:i/>
          <w:iCs/>
          <w:sz w:val="20"/>
          <w:szCs w:val="20"/>
        </w:rPr>
        <w:t>supra</w:t>
      </w:r>
      <w:r w:rsidRPr="00027756">
        <w:rPr>
          <w:sz w:val="20"/>
          <w:szCs w:val="20"/>
        </w:rPr>
        <w:t xml:space="preserve"> note 6, at 1410–15 (identifying “structural inequality” as both an analytical starting point and a normative concern). The Virginia School framework is normatively agnostic about whether capture is good or bad; it identifies the structural conditions under which capture occurs and predicts institutional outcomes. The normative evaluation is a separate step.</w:t>
      </w:r>
    </w:p>
  </w:footnote>
  <w:footnote w:id="9">
    <w:p w14:paraId="57ACB7B4"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w:t>
      </w:r>
      <w:r w:rsidRPr="00027756">
        <w:rPr>
          <w:i/>
          <w:iCs/>
          <w:sz w:val="20"/>
          <w:szCs w:val="20"/>
        </w:rPr>
        <w:t>See</w:t>
      </w:r>
      <w:r w:rsidRPr="00027756">
        <w:rPr>
          <w:sz w:val="20"/>
          <w:szCs w:val="20"/>
        </w:rPr>
        <w:t xml:space="preserve"> Jiang, </w:t>
      </w:r>
      <w:r w:rsidRPr="00027756">
        <w:rPr>
          <w:i/>
          <w:iCs/>
          <w:sz w:val="20"/>
          <w:szCs w:val="20"/>
        </w:rPr>
        <w:t>supra</w:t>
      </w:r>
      <w:r w:rsidRPr="00027756">
        <w:rPr>
          <w:sz w:val="20"/>
          <w:szCs w:val="20"/>
        </w:rPr>
        <w:t xml:space="preserve"> note 3.</w:t>
      </w:r>
    </w:p>
  </w:footnote>
  <w:footnote w:id="10">
    <w:p w14:paraId="18105186"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w:t>
      </w:r>
      <w:r w:rsidRPr="00027756">
        <w:rPr>
          <w:i/>
          <w:iCs/>
          <w:sz w:val="20"/>
          <w:szCs w:val="20"/>
        </w:rPr>
        <w:t>See</w:t>
      </w:r>
      <w:r w:rsidRPr="00027756">
        <w:rPr>
          <w:sz w:val="20"/>
          <w:szCs w:val="20"/>
        </w:rPr>
        <w:t xml:space="preserve"> Tom Ginsburg, </w:t>
      </w:r>
      <w:r w:rsidRPr="00027756">
        <w:rPr>
          <w:i/>
          <w:iCs/>
          <w:sz w:val="20"/>
          <w:szCs w:val="20"/>
        </w:rPr>
        <w:t>Ways of Criticizing Public Choice</w:t>
      </w:r>
      <w:r w:rsidRPr="00027756">
        <w:rPr>
          <w:sz w:val="20"/>
          <w:szCs w:val="20"/>
        </w:rPr>
        <w:t xml:space="preserve">, 2002 U. Ill. L. Rev. 1139 (arguing that public choice theory risks becoming unfalsifiable post hoc rationalization). The falsification criteria offered here are a direct response to Ginsburg’s challenge. If the structural properties this Article identifies do not predict the patterns of trade secret claiming that the empirical record reveals, the framework fails. </w:t>
      </w:r>
      <w:r w:rsidRPr="00027756">
        <w:rPr>
          <w:i/>
          <w:iCs/>
          <w:sz w:val="20"/>
          <w:szCs w:val="20"/>
        </w:rPr>
        <w:t>Cf.</w:t>
      </w:r>
      <w:r w:rsidRPr="00027756">
        <w:rPr>
          <w:sz w:val="20"/>
          <w:szCs w:val="20"/>
        </w:rPr>
        <w:t xml:space="preserve"> Eli Dourado &amp; Alexander Tabarrok, </w:t>
      </w:r>
      <w:r w:rsidRPr="00027756">
        <w:rPr>
          <w:i/>
          <w:iCs/>
          <w:sz w:val="20"/>
          <w:szCs w:val="20"/>
        </w:rPr>
        <w:t>Public Choice and Bloomington School Perspectives on Intellectual Property</w:t>
      </w:r>
      <w:r w:rsidRPr="00027756">
        <w:rPr>
          <w:sz w:val="20"/>
          <w:szCs w:val="20"/>
        </w:rPr>
        <w:t>, 163 Pub. Choice 129 (2015) (applying public choice theory to IP generally and noting that trade secrets have been neglected in this literature).</w:t>
      </w:r>
    </w:p>
  </w:footnote>
  <w:footnote w:id="11">
    <w:p w14:paraId="45144B69" w14:textId="502807D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w:t>
      </w:r>
      <w:r w:rsidRPr="00027756">
        <w:rPr>
          <w:i/>
          <w:iCs/>
          <w:sz w:val="20"/>
          <w:szCs w:val="20"/>
        </w:rPr>
        <w:t>See</w:t>
      </w:r>
      <w:r w:rsidRPr="00027756">
        <w:rPr>
          <w:sz w:val="20"/>
          <w:szCs w:val="20"/>
        </w:rPr>
        <w:t xml:space="preserve"> Joseph P. Kalt &amp; Mark A. Zupan, </w:t>
      </w:r>
      <w:r w:rsidRPr="00027756">
        <w:rPr>
          <w:i/>
          <w:iCs/>
          <w:sz w:val="20"/>
          <w:szCs w:val="20"/>
        </w:rPr>
        <w:t>Capture and Ideology in the Economic Theory of Politics</w:t>
      </w:r>
      <w:r w:rsidRPr="00027756">
        <w:rPr>
          <w:sz w:val="20"/>
          <w:szCs w:val="20"/>
        </w:rPr>
        <w:t>, 74 Am. Econ. Rev. 279, 293–95 (1984) (measuring ideology’s influence primarily in highly visible floor votes). Ideology operates most forcefully on high-salience issues that trigger partisan identification and public attention. Trade secret exemptions, CBI procedures, and disclosure platform design are low-salience decisions that rarely trigger ideological engagement</w:t>
      </w:r>
      <w:r w:rsidR="002902C5">
        <w:rPr>
          <w:sz w:val="20"/>
          <w:szCs w:val="20"/>
        </w:rPr>
        <w:t>—</w:t>
      </w:r>
      <w:r w:rsidRPr="00027756">
        <w:rPr>
          <w:sz w:val="20"/>
          <w:szCs w:val="20"/>
        </w:rPr>
        <w:t>which is precisely why they are susceptible to the capture dynamics Olson and Peltzman describe. This explains the bipartisan character of trade secret accommodations: they are too obscure for ideology to bite.</w:t>
      </w:r>
    </w:p>
  </w:footnote>
  <w:footnote w:id="12">
    <w:p w14:paraId="369DCACB"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The FRAC Act’s repeated failure is itself evidence of the Bootleggers and Baptists coalition’s durability. </w:t>
      </w:r>
      <w:r w:rsidRPr="00027756">
        <w:rPr>
          <w:i/>
          <w:iCs/>
          <w:sz w:val="20"/>
          <w:szCs w:val="20"/>
        </w:rPr>
        <w:t xml:space="preserve">See </w:t>
      </w:r>
      <w:proofErr w:type="gramStart"/>
      <w:r w:rsidRPr="00027756">
        <w:rPr>
          <w:i/>
          <w:iCs/>
          <w:sz w:val="20"/>
          <w:szCs w:val="20"/>
        </w:rPr>
        <w:t>infra</w:t>
      </w:r>
      <w:r w:rsidRPr="00027756">
        <w:rPr>
          <w:sz w:val="20"/>
          <w:szCs w:val="20"/>
        </w:rPr>
        <w:t xml:space="preserve"> Part II</w:t>
      </w:r>
      <w:proofErr w:type="gramEnd"/>
      <w:r w:rsidRPr="00027756">
        <w:rPr>
          <w:sz w:val="20"/>
          <w:szCs w:val="20"/>
        </w:rPr>
        <w:t>.E. The sixteenth consecutive reintroduction without a committee vote suggests that the political conditions that produced the Halliburton Loophole in 2005 have not materially changed, notwithstanding shifts in partisan control of Congress and the presidency.</w:t>
      </w:r>
    </w:p>
  </w:footnote>
  <w:footnote w:id="13">
    <w:p w14:paraId="5E79AACE" w14:textId="63E7BC78"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The recursive property identified here is distinct from the “information paradox” that </w:t>
      </w:r>
      <w:proofErr w:type="spellStart"/>
      <w:r w:rsidRPr="00027756">
        <w:rPr>
          <w:sz w:val="20"/>
          <w:szCs w:val="20"/>
        </w:rPr>
        <w:t>Buccafusco</w:t>
      </w:r>
      <w:proofErr w:type="spellEnd"/>
      <w:r w:rsidRPr="00027756">
        <w:rPr>
          <w:sz w:val="20"/>
          <w:szCs w:val="20"/>
        </w:rPr>
        <w:t xml:space="preserve">, Masur, and Varadarajan identify as intrinsic to trade secret doctrine. </w:t>
      </w:r>
      <w:r w:rsidRPr="00027756">
        <w:rPr>
          <w:i/>
          <w:iCs/>
          <w:sz w:val="20"/>
          <w:szCs w:val="20"/>
        </w:rPr>
        <w:t>See</w:t>
      </w:r>
      <w:r w:rsidRPr="00027756">
        <w:rPr>
          <w:sz w:val="20"/>
          <w:szCs w:val="20"/>
        </w:rPr>
        <w:t xml:space="preserve"> Christopher Buccafusco, Jonathan S. Masur &amp; Deepa Varadarajan, </w:t>
      </w:r>
      <w:r w:rsidRPr="00027756">
        <w:rPr>
          <w:i/>
          <w:iCs/>
          <w:sz w:val="20"/>
          <w:szCs w:val="20"/>
        </w:rPr>
        <w:t>Trade Secrecy’s Information Paradox</w:t>
      </w:r>
      <w:r w:rsidRPr="00027756">
        <w:rPr>
          <w:sz w:val="20"/>
          <w:szCs w:val="20"/>
        </w:rPr>
        <w:t>, 100 Notre Dame L. Rev. 925, 930–35 (2025). Their paradox is epistemological: it concerns the difficulty of evaluating whether trade secret protection is socially efficient when the protected information cannot be examined without destroying the protection. The recursive property is political: it concerns the specific mechanism by which trade secret claims in regulatory contexts prevent the generation of evidence that would create political demand for disclosure, thereby perpetuating the conditions under which those claims are politically sustainable. The distinction matters because the information paradox applies to all trade secrets, including genuinely innovative ones, while the recursive property operates specifically where concealed information bears on public health, environmental safety, or democratic accountability</w:t>
      </w:r>
      <w:r w:rsidR="002902C5">
        <w:rPr>
          <w:sz w:val="20"/>
          <w:szCs w:val="20"/>
        </w:rPr>
        <w:t>—</w:t>
      </w:r>
      <w:r w:rsidRPr="00027756">
        <w:rPr>
          <w:sz w:val="20"/>
          <w:szCs w:val="20"/>
        </w:rPr>
        <w:t xml:space="preserve">the domains where capture’s costs are highest. National security classification exhibits a structurally analogous recursive property: classified information conceals what is classified and why, and courts defer to governmental claims without examining underlying information. But classification operates through </w:t>
      </w:r>
      <w:r w:rsidRPr="00027756">
        <w:rPr>
          <w:i/>
          <w:iCs/>
          <w:sz w:val="20"/>
          <w:szCs w:val="20"/>
        </w:rPr>
        <w:t>governmental</w:t>
      </w:r>
      <w:r w:rsidRPr="00027756">
        <w:rPr>
          <w:sz w:val="20"/>
          <w:szCs w:val="20"/>
        </w:rPr>
        <w:t xml:space="preserve"> rather than </w:t>
      </w:r>
      <w:r w:rsidRPr="00027756">
        <w:rPr>
          <w:i/>
          <w:iCs/>
          <w:sz w:val="20"/>
          <w:szCs w:val="20"/>
        </w:rPr>
        <w:t>private</w:t>
      </w:r>
      <w:r w:rsidRPr="00027756">
        <w:rPr>
          <w:sz w:val="20"/>
          <w:szCs w:val="20"/>
        </w:rPr>
        <w:t xml:space="preserve"> invocation, is subject (however imperfectly) to congressional oversight and declassification procedures, and does not generate private economic rents for the classifying entity. The recursive property of trade secrecy in regulatory contexts is more consequential precisely because it operates without these institutional counterweights.</w:t>
      </w:r>
    </w:p>
  </w:footnote>
  <w:footnote w:id="14">
    <w:p w14:paraId="7C9A919A"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Walker Process Equip., Inc. v. Food Mach. &amp; Chem. Corp., 382 U.S. 172 (1965).</w:t>
      </w:r>
    </w:p>
  </w:footnote>
  <w:footnote w:id="15">
    <w:p w14:paraId="50D0A8F2"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w:t>
      </w:r>
      <w:proofErr w:type="spellStart"/>
      <w:r w:rsidRPr="00027756">
        <w:rPr>
          <w:i/>
          <w:iCs/>
          <w:sz w:val="20"/>
          <w:szCs w:val="20"/>
        </w:rPr>
        <w:t>Therasense</w:t>
      </w:r>
      <w:proofErr w:type="spellEnd"/>
      <w:r w:rsidRPr="00027756">
        <w:rPr>
          <w:i/>
          <w:iCs/>
          <w:sz w:val="20"/>
          <w:szCs w:val="20"/>
        </w:rPr>
        <w:t>, Inc. v. Becton, Dickinson &amp; Co.</w:t>
      </w:r>
      <w:r w:rsidRPr="00027756">
        <w:rPr>
          <w:sz w:val="20"/>
          <w:szCs w:val="20"/>
        </w:rPr>
        <w:t>, 649 F.3d 1276 (Fed. Cir. 2011) (</w:t>
      </w:r>
      <w:proofErr w:type="spellStart"/>
      <w:r w:rsidRPr="00027756">
        <w:rPr>
          <w:sz w:val="20"/>
          <w:szCs w:val="20"/>
        </w:rPr>
        <w:t>en</w:t>
      </w:r>
      <w:proofErr w:type="spellEnd"/>
      <w:r w:rsidRPr="00027756">
        <w:rPr>
          <w:sz w:val="20"/>
          <w:szCs w:val="20"/>
        </w:rPr>
        <w:t xml:space="preserve"> banc).</w:t>
      </w:r>
    </w:p>
  </w:footnote>
  <w:footnote w:id="16">
    <w:p w14:paraId="6FEE2A3F" w14:textId="6AFCFB31"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w:t>
      </w:r>
      <w:r w:rsidRPr="00027756">
        <w:rPr>
          <w:i/>
          <w:iCs/>
          <w:sz w:val="20"/>
          <w:szCs w:val="20"/>
        </w:rPr>
        <w:t>See</w:t>
      </w:r>
      <w:r w:rsidRPr="00027756">
        <w:rPr>
          <w:sz w:val="20"/>
          <w:szCs w:val="20"/>
        </w:rPr>
        <w:t xml:space="preserve"> DOJ/FTC, </w:t>
      </w:r>
      <w:r w:rsidRPr="00027756">
        <w:rPr>
          <w:i/>
          <w:iCs/>
          <w:sz w:val="20"/>
          <w:szCs w:val="20"/>
        </w:rPr>
        <w:t>Antitrust Guidelines for the Licensing of Intellectual Property</w:t>
      </w:r>
      <w:r w:rsidRPr="00027756">
        <w:rPr>
          <w:sz w:val="20"/>
          <w:szCs w:val="20"/>
        </w:rPr>
        <w:t xml:space="preserve"> § 2.0 (1995) (treating patents, copyrights, and trade secrets symmetrically for antitrust analysis); Mark A. Lemley, </w:t>
      </w:r>
      <w:r w:rsidRPr="00027756">
        <w:rPr>
          <w:i/>
          <w:iCs/>
          <w:sz w:val="20"/>
          <w:szCs w:val="20"/>
        </w:rPr>
        <w:t>The Surprising Virtues of Treating Trade Secrets as IP Rights</w:t>
      </w:r>
      <w:r w:rsidRPr="00027756">
        <w:rPr>
          <w:sz w:val="20"/>
          <w:szCs w:val="20"/>
        </w:rPr>
        <w:t>, 61 Stan. L. Rev. 311 (2008). The symmetrical treatment obscures fundamental structural differences that matter for capture analysis. Patents are examined, registered, published, and temporally limited. Trade secrets are none of these things. The antitrust constraints that have developed around patents</w:t>
      </w:r>
      <w:r w:rsidR="002902C5">
        <w:rPr>
          <w:sz w:val="20"/>
          <w:szCs w:val="20"/>
        </w:rPr>
        <w:t>—</w:t>
      </w:r>
      <w:r w:rsidRPr="00027756">
        <w:rPr>
          <w:sz w:val="20"/>
          <w:szCs w:val="20"/>
        </w:rPr>
        <w:t>Walker Process, inequitable conduct, FRAND</w:t>
      </w:r>
      <w:r w:rsidR="002902C5">
        <w:rPr>
          <w:sz w:val="20"/>
          <w:szCs w:val="20"/>
        </w:rPr>
        <w:t>—</w:t>
      </w:r>
      <w:r w:rsidRPr="00027756">
        <w:rPr>
          <w:sz w:val="20"/>
          <w:szCs w:val="20"/>
        </w:rPr>
        <w:t>presuppose the institutional infrastructure of examination and registration. That infrastructure does not exist for trade secrets, and the resulting accountability gap is a structural feature, not a doctrinal oversight.</w:t>
      </w:r>
    </w:p>
  </w:footnote>
  <w:footnote w:id="17">
    <w:p w14:paraId="1ED7A707" w14:textId="0D27E349"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Steven P. Croley’s administrative process theory provides a powerful rejoinder to strong capture claims in domains where notice-and-comment rulemaking, judicial review, and public participation mechanisms operate effectively. </w:t>
      </w:r>
      <w:r w:rsidRPr="00027756">
        <w:rPr>
          <w:i/>
          <w:iCs/>
          <w:sz w:val="20"/>
          <w:szCs w:val="20"/>
        </w:rPr>
        <w:t>See</w:t>
      </w:r>
      <w:r w:rsidRPr="00027756">
        <w:rPr>
          <w:sz w:val="20"/>
          <w:szCs w:val="20"/>
        </w:rPr>
        <w:t xml:space="preserve"> Steven P. Croley, </w:t>
      </w:r>
      <w:r w:rsidRPr="00027756">
        <w:rPr>
          <w:i/>
          <w:iCs/>
          <w:sz w:val="20"/>
          <w:szCs w:val="20"/>
        </w:rPr>
        <w:t>Regulation and Public Interests: The Possibility of Good Regulatory Government</w:t>
      </w:r>
      <w:r w:rsidRPr="00027756">
        <w:rPr>
          <w:sz w:val="20"/>
          <w:szCs w:val="20"/>
        </w:rPr>
        <w:t xml:space="preserve"> (2008). Trade secret claims, however, operate at a stage prior to the engagement of these procedural protections. The firm’s self-designation of information as a trade secret removes that information from the administrative record before rulemaking, enforcement, or judicial review can reach it. When a firm designates a chemical identity as a trade secret on a </w:t>
      </w:r>
      <w:proofErr w:type="spellStart"/>
      <w:r w:rsidRPr="00027756">
        <w:rPr>
          <w:sz w:val="20"/>
          <w:szCs w:val="20"/>
        </w:rPr>
        <w:t>FracFocus</w:t>
      </w:r>
      <w:proofErr w:type="spellEnd"/>
      <w:r w:rsidRPr="00027756">
        <w:rPr>
          <w:sz w:val="20"/>
          <w:szCs w:val="20"/>
        </w:rPr>
        <w:t xml:space="preserve"> disclosure form, there is no rulemaking, no comment period, no judicial review, and</w:t>
      </w:r>
      <w:r w:rsidR="002902C5">
        <w:rPr>
          <w:sz w:val="20"/>
          <w:szCs w:val="20"/>
        </w:rPr>
        <w:t>—</w:t>
      </w:r>
      <w:r w:rsidRPr="00027756">
        <w:rPr>
          <w:sz w:val="20"/>
          <w:szCs w:val="20"/>
        </w:rPr>
        <w:t>in most states</w:t>
      </w:r>
      <w:r w:rsidR="002902C5">
        <w:rPr>
          <w:sz w:val="20"/>
          <w:szCs w:val="20"/>
        </w:rPr>
        <w:t>—</w:t>
      </w:r>
      <w:r w:rsidRPr="00027756">
        <w:rPr>
          <w:sz w:val="20"/>
          <w:szCs w:val="20"/>
        </w:rPr>
        <w:t>no agency review of any kind. The claim is self-executing. It removes information from the regulatory process before the process begins. The administrative process protections Croley identifies presuppose a baseline of available information on which those processes can operate. Trade secrecy undermines that presupposition.</w:t>
      </w:r>
    </w:p>
  </w:footnote>
  <w:footnote w:id="18">
    <w:p w14:paraId="522F7FD9"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This characterization of the Halliburton Loophole as an intellectual property protection mechanism, rather than merely an environmental regulatory exemption, appears to be novel in the legal literature. Existing accounts frame Section 322 primarily as environmental deregulation, </w:t>
      </w:r>
      <w:r w:rsidRPr="00027756">
        <w:rPr>
          <w:i/>
          <w:iCs/>
          <w:sz w:val="20"/>
          <w:szCs w:val="20"/>
        </w:rPr>
        <w:t>see</w:t>
      </w:r>
      <w:r w:rsidRPr="00027756">
        <w:rPr>
          <w:sz w:val="20"/>
          <w:szCs w:val="20"/>
        </w:rPr>
        <w:t xml:space="preserve"> Wiseman, </w:t>
      </w:r>
      <w:r w:rsidRPr="00027756">
        <w:rPr>
          <w:i/>
          <w:iCs/>
          <w:sz w:val="20"/>
          <w:szCs w:val="20"/>
        </w:rPr>
        <w:t>supra</w:t>
      </w:r>
      <w:r w:rsidRPr="00027756">
        <w:rPr>
          <w:sz w:val="20"/>
          <w:szCs w:val="20"/>
        </w:rPr>
        <w:t xml:space="preserve"> note [X]; Hall, </w:t>
      </w:r>
      <w:r w:rsidRPr="00027756">
        <w:rPr>
          <w:i/>
          <w:iCs/>
          <w:sz w:val="20"/>
          <w:szCs w:val="20"/>
        </w:rPr>
        <w:t>supra</w:t>
      </w:r>
      <w:r w:rsidRPr="00027756">
        <w:rPr>
          <w:sz w:val="20"/>
          <w:szCs w:val="20"/>
        </w:rPr>
        <w:t xml:space="preserve"> note [X], or as regulatory capture in the colloquial sense, </w:t>
      </w:r>
      <w:r w:rsidRPr="00027756">
        <w:rPr>
          <w:i/>
          <w:iCs/>
          <w:sz w:val="20"/>
          <w:szCs w:val="20"/>
        </w:rPr>
        <w:t>see</w:t>
      </w:r>
      <w:r w:rsidRPr="00027756">
        <w:rPr>
          <w:sz w:val="20"/>
          <w:szCs w:val="20"/>
        </w:rPr>
        <w:t xml:space="preserve"> McFeeley, </w:t>
      </w:r>
      <w:r w:rsidRPr="00027756">
        <w:rPr>
          <w:i/>
          <w:iCs/>
          <w:sz w:val="20"/>
          <w:szCs w:val="20"/>
        </w:rPr>
        <w:t>supra</w:t>
      </w:r>
      <w:r w:rsidRPr="00027756">
        <w:rPr>
          <w:sz w:val="20"/>
          <w:szCs w:val="20"/>
        </w:rPr>
        <w:t xml:space="preserve"> note [X]. None identifies the specific intellectual property logic that motivated the architectural choice: the elimination of the regulatory predicate (UIC permitting) that would have mandated disclosure and thereby destroyed trade secret status for fracking fluid formulations. </w:t>
      </w:r>
      <w:r w:rsidRPr="00027756">
        <w:rPr>
          <w:i/>
          <w:iCs/>
          <w:sz w:val="20"/>
          <w:szCs w:val="20"/>
        </w:rPr>
        <w:t xml:space="preserve">See </w:t>
      </w:r>
      <w:proofErr w:type="gramStart"/>
      <w:r w:rsidRPr="00027756">
        <w:rPr>
          <w:i/>
          <w:iCs/>
          <w:sz w:val="20"/>
          <w:szCs w:val="20"/>
        </w:rPr>
        <w:t>supra</w:t>
      </w:r>
      <w:r w:rsidRPr="00027756">
        <w:rPr>
          <w:sz w:val="20"/>
          <w:szCs w:val="20"/>
        </w:rPr>
        <w:t xml:space="preserve"> Part III</w:t>
      </w:r>
      <w:proofErr w:type="gramEnd"/>
      <w:r w:rsidRPr="00027756">
        <w:rPr>
          <w:sz w:val="20"/>
          <w:szCs w:val="20"/>
        </w:rPr>
        <w:t xml:space="preserve">.A–B; </w:t>
      </w:r>
      <w:proofErr w:type="gramStart"/>
      <w:r w:rsidRPr="00027756">
        <w:rPr>
          <w:i/>
          <w:iCs/>
          <w:sz w:val="20"/>
          <w:szCs w:val="20"/>
        </w:rPr>
        <w:t>infra</w:t>
      </w:r>
      <w:r w:rsidRPr="00027756">
        <w:rPr>
          <w:sz w:val="20"/>
          <w:szCs w:val="20"/>
        </w:rPr>
        <w:t xml:space="preserve"> Part III</w:t>
      </w:r>
      <w:proofErr w:type="gramEnd"/>
      <w:r w:rsidRPr="00027756">
        <w:rPr>
          <w:sz w:val="20"/>
          <w:szCs w:val="20"/>
        </w:rPr>
        <w:t>.D–E.</w:t>
      </w:r>
    </w:p>
  </w:footnote>
  <w:footnote w:id="19">
    <w:p w14:paraId="03488C8A"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w:t>
      </w:r>
      <w:r w:rsidRPr="00027756">
        <w:rPr>
          <w:i/>
          <w:iCs/>
          <w:sz w:val="20"/>
          <w:szCs w:val="20"/>
        </w:rPr>
        <w:t>See</w:t>
      </w:r>
      <w:r w:rsidRPr="00027756">
        <w:rPr>
          <w:sz w:val="20"/>
          <w:szCs w:val="20"/>
        </w:rPr>
        <w:t xml:space="preserve"> Jiang, </w:t>
      </w:r>
      <w:r w:rsidRPr="00027756">
        <w:rPr>
          <w:i/>
          <w:iCs/>
          <w:sz w:val="20"/>
          <w:szCs w:val="20"/>
        </w:rPr>
        <w:t>supra</w:t>
      </w:r>
      <w:r w:rsidRPr="00027756">
        <w:rPr>
          <w:sz w:val="20"/>
          <w:szCs w:val="20"/>
        </w:rPr>
        <w:t xml:space="preserve"> note 3. The monitoring-proximity effect is consistent with the Peltzman model’s prediction that firms calibrate their political behavior to the perceived probability of detection and sanction. Operators near monitors face a higher probability that their chemical usage will be independently detected, making a false or exaggerated trade secret claim riskier. Operators far from monitors face lower detection risk and correspondingly lower costs of overclaiming.</w:t>
      </w:r>
    </w:p>
  </w:footnote>
  <w:footnote w:id="20">
    <w:p w14:paraId="11444268"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w:t>
      </w:r>
      <w:r w:rsidRPr="00027756">
        <w:rPr>
          <w:i/>
          <w:iCs/>
          <w:sz w:val="20"/>
          <w:szCs w:val="20"/>
        </w:rPr>
        <w:t>See</w:t>
      </w:r>
      <w:r w:rsidRPr="00027756">
        <w:rPr>
          <w:sz w:val="20"/>
          <w:szCs w:val="20"/>
        </w:rPr>
        <w:t xml:space="preserve"> Underhill et al., </w:t>
      </w:r>
      <w:r w:rsidRPr="00027756">
        <w:rPr>
          <w:i/>
          <w:iCs/>
          <w:sz w:val="20"/>
          <w:szCs w:val="20"/>
        </w:rPr>
        <w:t xml:space="preserve">Analysis of </w:t>
      </w:r>
      <w:proofErr w:type="spellStart"/>
      <w:r w:rsidRPr="00027756">
        <w:rPr>
          <w:i/>
          <w:iCs/>
          <w:sz w:val="20"/>
          <w:szCs w:val="20"/>
        </w:rPr>
        <w:t>FracFocus</w:t>
      </w:r>
      <w:proofErr w:type="spellEnd"/>
      <w:r w:rsidRPr="00027756">
        <w:rPr>
          <w:i/>
          <w:iCs/>
          <w:sz w:val="20"/>
          <w:szCs w:val="20"/>
        </w:rPr>
        <w:t xml:space="preserve"> Chemical Disclosure Data</w:t>
      </w:r>
      <w:r w:rsidRPr="00027756">
        <w:rPr>
          <w:sz w:val="20"/>
          <w:szCs w:val="20"/>
        </w:rPr>
        <w:t xml:space="preserve"> (2024 update), Open-FF Project (documenting 14.4 billion pounds of trade-secret-masked chemicals and a 43.7% year-over-year increase); </w:t>
      </w:r>
      <w:r w:rsidRPr="00027756">
        <w:rPr>
          <w:i/>
          <w:iCs/>
          <w:sz w:val="20"/>
          <w:szCs w:val="20"/>
        </w:rPr>
        <w:t>see also</w:t>
      </w:r>
      <w:r w:rsidRPr="00027756">
        <w:rPr>
          <w:sz w:val="20"/>
          <w:szCs w:val="20"/>
        </w:rPr>
        <w:t xml:space="preserve"> Underhill, Bernal, Bolden &amp; Kearns (2023) (documenting earlier trends).</w:t>
      </w:r>
    </w:p>
  </w:footnote>
  <w:footnote w:id="21">
    <w:p w14:paraId="02B45313" w14:textId="77777777"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The re-substantiation pattern is consistent with the Peltzman model’s prediction that firms will invest in maintaining favorable regulatory treatment for as long as the expected return on political investment exceeds the expected cost. The Lautenberg Act’s sunset provision changes the calculus by introducing periodic costs of maintaining confidentiality (the substantiation requirement), but it does not alter the underlying asymmetry: the firms seeking to maintain CBI status have concentrated stakes and dedicated resources, while the diffuse public that would benefit from disclosure has neither the information nor the organization to contest individual re-substantiation decisions.</w:t>
      </w:r>
    </w:p>
  </w:footnote>
  <w:footnote w:id="22">
    <w:p w14:paraId="5AE3A85D" w14:textId="1AF74263" w:rsidR="00CD549B" w:rsidRPr="00027756" w:rsidRDefault="00E62B27" w:rsidP="00BE22C1">
      <w:pPr>
        <w:pStyle w:val="FootnoteText"/>
        <w:spacing w:after="80" w:line="240" w:lineRule="auto"/>
        <w:ind w:firstLine="0"/>
        <w:rPr>
          <w:sz w:val="20"/>
          <w:szCs w:val="20"/>
        </w:rPr>
      </w:pPr>
      <w:r w:rsidRPr="00027756">
        <w:rPr>
          <w:rStyle w:val="FootnoteReference"/>
          <w:sz w:val="20"/>
          <w:szCs w:val="20"/>
        </w:rPr>
        <w:footnoteRef/>
      </w:r>
      <w:r w:rsidRPr="00027756">
        <w:rPr>
          <w:sz w:val="20"/>
          <w:szCs w:val="20"/>
        </w:rPr>
        <w:t xml:space="preserve"> </w:t>
      </w:r>
      <w:r w:rsidRPr="00027756">
        <w:rPr>
          <w:i/>
          <w:iCs/>
          <w:sz w:val="20"/>
          <w:szCs w:val="20"/>
        </w:rPr>
        <w:t>See supra</w:t>
      </w:r>
      <w:r w:rsidRPr="00027756">
        <w:rPr>
          <w:sz w:val="20"/>
          <w:szCs w:val="20"/>
        </w:rPr>
        <w:t xml:space="preserve"> note 16 (discussing Croley’s administrative process theory and trade secret claims’ pre-procedural character). The redistribution of decision rights proposed here is designed to bring trade secret invocation within the administrative process</w:t>
      </w:r>
      <w:r w:rsidR="002902C5">
        <w:rPr>
          <w:sz w:val="20"/>
          <w:szCs w:val="20"/>
        </w:rPr>
        <w:t>—</w:t>
      </w:r>
      <w:r w:rsidRPr="00027756">
        <w:rPr>
          <w:sz w:val="20"/>
          <w:szCs w:val="20"/>
        </w:rPr>
        <w:t>subjecting it to the notice, review, and accountability mechanisms that Croley argues can constrain capture in other regulatory domains.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2836" w14:textId="0CE63468" w:rsidR="00323F95" w:rsidRDefault="00D03D1A" w:rsidP="00FA0684">
    <w:pPr>
      <w:pStyle w:val="Header"/>
      <w:pBdr>
        <w:bottom w:val="single" w:sz="4" w:space="1" w:color="auto"/>
      </w:pBdr>
      <w:tabs>
        <w:tab w:val="clear" w:pos="9360"/>
        <w:tab w:val="right" w:pos="8640"/>
      </w:tabs>
      <w:ind w:firstLine="0"/>
    </w:pPr>
    <w:r>
      <w:fldChar w:fldCharType="begin"/>
    </w:r>
    <w:r>
      <w:instrText xml:space="preserve"> PAGE  \* MERGEFORMAT </w:instrText>
    </w:r>
    <w:r>
      <w:fldChar w:fldCharType="separate"/>
    </w:r>
    <w:r>
      <w:rPr>
        <w:noProof/>
      </w:rPr>
      <w:t>2</w:t>
    </w:r>
    <w:r>
      <w:fldChar w:fldCharType="end"/>
    </w:r>
    <w:r>
      <w:tab/>
    </w:r>
    <w:r>
      <w:tab/>
    </w:r>
    <w:r w:rsidR="000C00E6" w:rsidRPr="00D03D1A">
      <w:rPr>
        <w:i/>
        <w:iCs/>
      </w:rPr>
      <w:fldChar w:fldCharType="begin"/>
    </w:r>
    <w:r w:rsidR="000C00E6" w:rsidRPr="00D03D1A">
      <w:rPr>
        <w:i/>
        <w:iCs/>
      </w:rPr>
      <w:instrText xml:space="preserve"> TITLE  \* MERGEFORMAT </w:instrText>
    </w:r>
    <w:r w:rsidR="000C00E6" w:rsidRPr="00D03D1A">
      <w:rPr>
        <w:i/>
        <w:iCs/>
      </w:rPr>
      <w:fldChar w:fldCharType="separate"/>
    </w:r>
    <w:r w:rsidR="000C00E6" w:rsidRPr="00D03D1A">
      <w:rPr>
        <w:i/>
        <w:iCs/>
      </w:rPr>
      <w:t>Trade Secrets as Political Technology</w:t>
    </w:r>
    <w:r w:rsidR="000C00E6" w:rsidRPr="00D03D1A">
      <w:rPr>
        <w:i/>
        <w:i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F828" w14:textId="0FBB78FA" w:rsidR="00323F95" w:rsidRDefault="00A53483" w:rsidP="00FA0684">
    <w:pPr>
      <w:pStyle w:val="Header"/>
      <w:pBdr>
        <w:bottom w:val="single" w:sz="4" w:space="1" w:color="auto"/>
      </w:pBdr>
      <w:tabs>
        <w:tab w:val="clear" w:pos="9360"/>
        <w:tab w:val="right" w:pos="8640"/>
      </w:tabs>
      <w:ind w:firstLine="0"/>
    </w:pPr>
    <w:r>
      <w:t>2026-02-16]</w:t>
    </w:r>
    <w:r>
      <w:tab/>
    </w:r>
    <w:r>
      <w:tab/>
    </w:r>
    <w:r>
      <w:fldChar w:fldCharType="begin"/>
    </w:r>
    <w:r>
      <w:instrText xml:space="preserve"> PAGE  \* MERGEFORMAT </w:instrText>
    </w:r>
    <w:r>
      <w:fldChar w:fldCharType="separate"/>
    </w:r>
    <w:r>
      <w:rPr>
        <w:noProof/>
      </w:rPr>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C7C9D" w14:textId="77777777" w:rsidR="00FA0684" w:rsidRDefault="00FA0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349B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522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549B"/>
    <w:rsid w:val="00027756"/>
    <w:rsid w:val="000507AE"/>
    <w:rsid w:val="000C00E6"/>
    <w:rsid w:val="000D377F"/>
    <w:rsid w:val="00195E5D"/>
    <w:rsid w:val="002022CE"/>
    <w:rsid w:val="0021768C"/>
    <w:rsid w:val="00266153"/>
    <w:rsid w:val="002902C5"/>
    <w:rsid w:val="00320470"/>
    <w:rsid w:val="00323F95"/>
    <w:rsid w:val="00334805"/>
    <w:rsid w:val="004420E0"/>
    <w:rsid w:val="004F6459"/>
    <w:rsid w:val="00510556"/>
    <w:rsid w:val="0051431D"/>
    <w:rsid w:val="00527894"/>
    <w:rsid w:val="00695CC0"/>
    <w:rsid w:val="006C2E15"/>
    <w:rsid w:val="006E7EFF"/>
    <w:rsid w:val="007365C1"/>
    <w:rsid w:val="007C03F2"/>
    <w:rsid w:val="008C68A1"/>
    <w:rsid w:val="009F7A5C"/>
    <w:rsid w:val="00A53483"/>
    <w:rsid w:val="00B72334"/>
    <w:rsid w:val="00BE22C1"/>
    <w:rsid w:val="00CD549B"/>
    <w:rsid w:val="00D03D1A"/>
    <w:rsid w:val="00D16D37"/>
    <w:rsid w:val="00E10318"/>
    <w:rsid w:val="00E5765C"/>
    <w:rsid w:val="00E62B27"/>
    <w:rsid w:val="00E702C8"/>
    <w:rsid w:val="00ED1BBC"/>
    <w:rsid w:val="00F30997"/>
    <w:rsid w:val="00F9313D"/>
    <w:rsid w:val="00FA0684"/>
    <w:rsid w:val="00FB0A37"/>
    <w:rsid w:val="00FB6234"/>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0456EEFD"/>
  <w15:docId w15:val="{1FEE6EF9-725C-6A4F-94A4-82C35914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334"/>
    <w:pPr>
      <w:spacing w:after="0" w:line="276" w:lineRule="auto"/>
      <w:ind w:firstLine="360"/>
    </w:pPr>
    <w:rPr>
      <w:rFonts w:ascii="Garamond" w:hAnsi="Garamond"/>
      <w:sz w:val="23"/>
      <w:szCs w:val="23"/>
    </w:rPr>
  </w:style>
  <w:style w:type="paragraph" w:styleId="Heading1">
    <w:name w:val="heading 1"/>
    <w:basedOn w:val="Normal"/>
    <w:next w:val="BodyText"/>
    <w:uiPriority w:val="9"/>
    <w:qFormat/>
    <w:rsid w:val="00320470"/>
    <w:pPr>
      <w:keepNext/>
      <w:keepLines/>
      <w:spacing w:before="640" w:after="320"/>
      <w:ind w:firstLine="0"/>
      <w:outlineLvl w:val="0"/>
    </w:pPr>
    <w:rPr>
      <w:rFonts w:ascii="Helvetica Neue" w:eastAsiaTheme="majorEastAsia" w:hAnsi="Helvetica Neue" w:cstheme="majorBidi"/>
      <w:b/>
      <w:bCs/>
      <w:sz w:val="32"/>
      <w:szCs w:val="32"/>
    </w:rPr>
  </w:style>
  <w:style w:type="paragraph" w:styleId="Heading2">
    <w:name w:val="heading 2"/>
    <w:basedOn w:val="Normal"/>
    <w:next w:val="BodyText"/>
    <w:uiPriority w:val="9"/>
    <w:unhideWhenUsed/>
    <w:qFormat/>
    <w:rsid w:val="007C03F2"/>
    <w:pPr>
      <w:keepNext/>
      <w:keepLines/>
      <w:spacing w:before="560" w:after="280"/>
      <w:ind w:firstLine="0"/>
      <w:outlineLvl w:val="1"/>
    </w:pPr>
    <w:rPr>
      <w:rFonts w:ascii="Helvetica Neue" w:eastAsiaTheme="majorEastAsia" w:hAnsi="Helvetica Neue" w:cstheme="majorBidi"/>
      <w:b/>
      <w:bCs/>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Heading1"/>
    <w:next w:val="BodyText"/>
    <w:qFormat/>
    <w:rsid w:val="007C03F2"/>
    <w:pPr>
      <w:jc w:val="center"/>
    </w:pPr>
    <w:rPr>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23F95"/>
    <w:pPr>
      <w:tabs>
        <w:tab w:val="center" w:pos="4680"/>
        <w:tab w:val="right" w:pos="9360"/>
      </w:tabs>
      <w:spacing w:line="240" w:lineRule="auto"/>
    </w:pPr>
  </w:style>
  <w:style w:type="character" w:customStyle="1" w:styleId="HeaderChar">
    <w:name w:val="Header Char"/>
    <w:basedOn w:val="DefaultParagraphFont"/>
    <w:link w:val="Header"/>
    <w:rsid w:val="00323F95"/>
    <w:rPr>
      <w:rFonts w:ascii="Garamond" w:hAnsi="Garamond"/>
      <w:sz w:val="23"/>
      <w:szCs w:val="23"/>
    </w:rPr>
  </w:style>
  <w:style w:type="paragraph" w:styleId="Footer">
    <w:name w:val="footer"/>
    <w:basedOn w:val="Normal"/>
    <w:link w:val="FooterChar"/>
    <w:rsid w:val="00323F95"/>
    <w:pPr>
      <w:tabs>
        <w:tab w:val="center" w:pos="4680"/>
        <w:tab w:val="right" w:pos="9360"/>
      </w:tabs>
      <w:spacing w:line="240" w:lineRule="auto"/>
    </w:pPr>
  </w:style>
  <w:style w:type="character" w:customStyle="1" w:styleId="FooterChar">
    <w:name w:val="Footer Char"/>
    <w:basedOn w:val="DefaultParagraphFont"/>
    <w:link w:val="Footer"/>
    <w:rsid w:val="00323F95"/>
    <w:rPr>
      <w:rFonts w:ascii="Garamond" w:hAnsi="Garamond"/>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36</Pages>
  <Words>15214</Words>
  <Characters>94942</Characters>
  <Application>Microsoft Office Word</Application>
  <DocSecurity>0</DocSecurity>
  <Lines>1172</Lines>
  <Paragraphs>213</Paragraphs>
  <ScaleCrop>false</ScaleCrop>
  <HeadingPairs>
    <vt:vector size="2" baseType="variant">
      <vt:variant>
        <vt:lpstr>Title</vt:lpstr>
      </vt:variant>
      <vt:variant>
        <vt:i4>1</vt:i4>
      </vt:variant>
    </vt:vector>
  </HeadingPairs>
  <TitlesOfParts>
    <vt:vector size="1" baseType="lpstr">
      <vt:lpstr>Trade Secrets as Political Technology</vt:lpstr>
    </vt:vector>
  </TitlesOfParts>
  <Manager/>
  <Company/>
  <LinksUpToDate>false</LinksUpToDate>
  <CharactersWithSpaces>109943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Secrets as Political Technology</dc:title>
  <dc:subject/>
  <dc:creator>Seth C. Oranburg</dc:creator>
  <cp:keywords/>
  <dc:description/>
  <cp:lastModifiedBy>Seth Oranburg</cp:lastModifiedBy>
  <cp:revision>16</cp:revision>
  <dcterms:created xsi:type="dcterms:W3CDTF">2026-03-22T17:27:00Z</dcterms:created>
  <dcterms:modified xsi:type="dcterms:W3CDTF">2026-03-22T20:00:00Z</dcterms:modified>
  <cp:category/>
</cp:coreProperties>
</file>