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9204" w14:textId="77777777" w:rsidR="00230600" w:rsidRDefault="00230600" w:rsidP="00230600">
      <w:pPr>
        <w:pStyle w:val="Heading1"/>
      </w:pPr>
      <w:r>
        <w:t>Mergers and Acquisitions (M&amp;A)</w:t>
      </w:r>
    </w:p>
    <w:p w14:paraId="27827E58" w14:textId="77777777" w:rsidR="00230600" w:rsidRPr="00063DBB" w:rsidRDefault="00845189" w:rsidP="00230600">
      <w:pPr>
        <w:ind w:firstLine="0"/>
        <w:rPr>
          <w:rFonts w:eastAsia="Times New Roman"/>
        </w:rPr>
      </w:pPr>
      <w:r>
        <w:rPr>
          <w:rFonts w:eastAsia="Times New Roman"/>
          <w:noProof/>
        </w:rPr>
        <w:pict w14:anchorId="36A804E0">
          <v:rect id="_x0000_i1025" alt="" style="width:468pt;height:.05pt;mso-width-percent:0;mso-height-percent:0;mso-width-percent:0;mso-height-percent:0" o:hralign="center" o:hrstd="t" o:hr="t" fillcolor="#aca899" stroked="f"/>
        </w:pict>
      </w:r>
    </w:p>
    <w:p w14:paraId="5435B61B" w14:textId="77777777" w:rsidR="00230600" w:rsidRPr="00DB1E8A" w:rsidRDefault="00230600" w:rsidP="00230600">
      <w:pPr>
        <w:pStyle w:val="indenttest1"/>
        <w:jc w:val="center"/>
        <w:rPr>
          <w:rStyle w:val="Strong"/>
        </w:rPr>
      </w:pPr>
      <w:r>
        <w:rPr>
          <w:rStyle w:val="Strong"/>
        </w:rPr>
        <w:t>Learning Objectives</w:t>
      </w:r>
    </w:p>
    <w:p w14:paraId="2B98163B" w14:textId="77777777" w:rsidR="007E4F16" w:rsidRDefault="002D2B47">
      <w:r>
        <w:t>In this chapter, students will learn to:</w:t>
      </w:r>
    </w:p>
    <w:p w14:paraId="0499A8E8" w14:textId="77777777" w:rsidR="007E4F16" w:rsidRDefault="002D2B47">
      <w:pPr>
        <w:numPr>
          <w:ilvl w:val="0"/>
          <w:numId w:val="1"/>
        </w:numPr>
        <w:spacing w:after="0"/>
      </w:pPr>
      <w:r>
        <w:t>Analyze M&amp;A doctrine through the lens of Public Choice Theory, viewing standards of review as products of interest group competition (managers, shareholders, and the plaintiffs’ bar).</w:t>
      </w:r>
    </w:p>
    <w:p w14:paraId="15F18D19" w14:textId="77777777" w:rsidR="007E4F16" w:rsidRDefault="002D2B47">
      <w:pPr>
        <w:numPr>
          <w:ilvl w:val="0"/>
          <w:numId w:val="1"/>
        </w:numPr>
        <w:spacing w:after="0"/>
      </w:pPr>
      <w:r>
        <w:t>Evaluate the “Regulatory Tightrope” Delaware judges walk between protecting shareholder value (to avoid federal preemption) and protecting managerial discretion (to maintain incorporations).</w:t>
      </w:r>
    </w:p>
    <w:p w14:paraId="6EBEB020" w14:textId="77777777" w:rsidR="007E4F16" w:rsidRDefault="002D2B47">
      <w:pPr>
        <w:numPr>
          <w:ilvl w:val="0"/>
          <w:numId w:val="1"/>
        </w:numPr>
        <w:spacing w:after="0"/>
      </w:pPr>
      <w:r>
        <w:t>Interpret the shift in valuation standards—from Weinberger to Dell—as a response to market pressures and the rent-seeking behavior of litigation arbitrageurs.</w:t>
      </w:r>
    </w:p>
    <w:p w14:paraId="2477B6BC" w14:textId="77777777" w:rsidR="007E4F16" w:rsidRDefault="002D2B47">
      <w:pPr>
        <w:numPr>
          <w:ilvl w:val="0"/>
          <w:numId w:val="1"/>
        </w:numPr>
        <w:spacing w:after="0"/>
      </w:pPr>
      <w:r>
        <w:t>Distinguish how different deal structures trigger different “prices” in the form of judicial scrutiny (Business Judgment vs. Entire Fairness).</w:t>
      </w:r>
    </w:p>
    <w:p w14:paraId="1FAA0E8F" w14:textId="77777777" w:rsidR="007E4F16" w:rsidRDefault="002D2B47">
      <w:pPr>
        <w:pStyle w:val="Heading2"/>
      </w:pPr>
      <w:r>
        <w:t>Introduction: End-Game Problems</w:t>
      </w:r>
    </w:p>
    <w:p w14:paraId="59FD49A2" w14:textId="77777777" w:rsidR="007E4F16" w:rsidRDefault="002D2B47">
      <w:r>
        <w:t>Mergers and acquisitions mark the end of the corporate life cycle. In the ordinary course of business, the relationship between directors and shareholders is governed by the business judgment rule because the market provides a natural check on managerial behavior. If directors perform poorly over time, the stock price drops, the cost of capital rises, and shareholders can vote the board out of office. This system relies on the assumption that the game will continue indefinitely.</w:t>
      </w:r>
    </w:p>
    <w:p w14:paraId="64FEA2D7" w14:textId="77777777" w:rsidR="007E4F16" w:rsidRDefault="002D2B47">
      <w:r>
        <w:t>A merger changes this dynamic because it represents the final period of the game. When a company is sold for cash, the shareholders are cashed out and lose their ability to vote on future corporate conduct. The directors and managers face the termination of their tenure and may be motivated by self-interest, such as securing severance payments or future board seats, rather than maximizing the value of the firm for the shareholders. This divergence of interests creates what economists call the agency cost of the final period.</w:t>
      </w:r>
    </w:p>
    <w:p w14:paraId="17BA0DE4" w14:textId="77777777" w:rsidR="007E4F16" w:rsidRDefault="002D2B47">
      <w:r>
        <w:t xml:space="preserve">While traditional corporate law views this as a problem of fiduciary duty, we approach it through the lens of public choice theory. This framework treats Delaware corporate law not as a fixed set of moral principles but as a product sold </w:t>
      </w:r>
      <w:r>
        <w:lastRenderedPageBreak/>
        <w:t>in a competitive market. Delaware relies heavily on corporate franchise taxes and therefore must maintain its dominance as the jurisdiction of choice for incorporation. To do so, its courts must balance the competing interests of three powerful groups.</w:t>
      </w:r>
    </w:p>
    <w:p w14:paraId="57B39A00" w14:textId="77777777" w:rsidR="007E4F16" w:rsidRDefault="002D2B47">
      <w:r>
        <w:t>The first group consists of managers and directors, who decide where to incorporate. They seek laws that protect their discretion and insulate them from liability. If Delaware becomes too strict, managers may move the corporation to a more deferential state like Nevada. The second group consists of institutional shareholders, such as pension funds and asset managers. They seek laws that maximize the value of their portfolio. If Delaware law allows managers to block premium offers or siphon off value, investors will discount the price of Delaware corporations, destroying the brand equity of the state.</w:t>
      </w:r>
    </w:p>
    <w:p w14:paraId="2027D85B" w14:textId="77777777" w:rsidR="007E4F16" w:rsidRDefault="002D2B47">
      <w:r>
        <w:t>The third group is the federal government. If Delaware fails to police the marketplace effectively and scandals erupt, Congress or the Securities and Exchange Commission may step in to federally regulate corporate governance. This threat of federal preemption acts as a ceiling on how much deference Delaware can show to managers. The doctrines you will study in this chapter are best understood as the result of this political equilibrium. The courts apply different standards of review to different types of transactions to maintain the delicate balance between managerial authority and shareholder protection.</w:t>
      </w:r>
    </w:p>
    <w:p w14:paraId="33A3D32E" w14:textId="77777777" w:rsidR="007E4F16" w:rsidRDefault="002D2B47">
      <w:pPr>
        <w:pStyle w:val="Heading3"/>
      </w:pPr>
      <w:r>
        <w:t>The Valuation Baseline</w:t>
      </w:r>
    </w:p>
    <w:p w14:paraId="2EE9676D" w14:textId="77777777" w:rsidR="007E4F16" w:rsidRDefault="002D2B47">
      <w:r>
        <w:t>Before the law can determine whether a board acted properly in blocking a deal or selling the company, it must first establish what the company is actually worth. For decades, Delaware courts used a rigid formula known as the Delaware Block Method to calculate the value of a corporation. This bureaucratic approach assigned arbitrary weights to assets, earnings, and market price, often resulting in valuations that bore little resemblance to economic reality.</w:t>
      </w:r>
    </w:p>
    <w:p w14:paraId="4B3180A9" w14:textId="77777777" w:rsidR="007E4F16" w:rsidRDefault="002D2B47">
      <w:r>
        <w:t>By the 1980s, the disconnect between this legal formula and the actual financial markets became unsustainable. Sophisticated investors and investment bankers mocked the archaic methodology, threatening Delaware’s reputation as a commercially sophisticated jurisdiction. The court faced political pressure to modernize its approach to valuation to maintain its legitimacy. The case that follows marks the moment Delaware abandoned its rigid formula in favor of modern financial techniques.</w:t>
      </w:r>
    </w:p>
    <w:p w14:paraId="4521B8D9" w14:textId="77777777" w:rsidR="00E27303" w:rsidRDefault="00845189">
      <w:pPr>
        <w:pStyle w:val="GuidingQuestions"/>
      </w:pPr>
      <w:r>
        <w:t xml:space="preserve">Signal’s own feasibility study showed that a price of up to $24 per share would be a good investment—but that information was never disclosed to UOP’s minority shareholders, who were offered only $21. As you read Weinberger, consider what the court identifies as the decisive failure: was it the inadequate price, or the failure to </w:t>
      </w:r>
      <w:r>
        <w:lastRenderedPageBreak/>
        <w:t>disclose information that bore on the fairness of the process? The court abandons the “Delaware Block Method” in favor of open-ended financial expert testimony—does that shift make valuation law more accurate, or does it simply replace a predictable formula with a battle of competing expert witnesses? And when a controlling shareholder freezes out the minority through a process in which the same directors serve both sides of the transaction, what structural safeguards does the court suggest could have clean</w:t>
      </w:r>
      <w:r>
        <w:t>sed the deal?</w:t>
      </w:r>
    </w:p>
    <w:p w14:paraId="39BD346D" w14:textId="77777777" w:rsidR="007E4F16" w:rsidRDefault="002D2B47" w:rsidP="00230600">
      <w:pPr>
        <w:pStyle w:val="CaseInternalHeading"/>
      </w:pPr>
      <w:r>
        <w:t>Weinberger v. UOP, Inc., 457 A.2d 701 (1983)</w:t>
      </w:r>
    </w:p>
    <w:p w14:paraId="2A90FA0A" w14:textId="77777777" w:rsidR="007E4F16" w:rsidRDefault="002D2B47" w:rsidP="00230600">
      <w:pPr>
        <w:pStyle w:val="CaseParagraph"/>
        <w:ind w:left="0" w:firstLine="0"/>
      </w:pPr>
      <w:r>
        <w:t>This post-trial appeal was reheard en banc from a decision of the Court of Chancery. It was brought by the class action plaintiff below, a former shareholder of UOP, Inc., who challenged the elimination of UOP’s minority shareholders by a cash-out merger between UOP and its majority owner, The Signal Companies, Inc. ...</w:t>
      </w:r>
    </w:p>
    <w:p w14:paraId="16D50D34" w14:textId="77777777" w:rsidR="007E4F16" w:rsidRDefault="002D2B47" w:rsidP="00230600">
      <w:pPr>
        <w:pStyle w:val="CaseParagraph"/>
        <w:ind w:left="0" w:firstLine="0"/>
      </w:pPr>
      <w:r>
        <w:t>Signal is a diversified, technically based company operating through various subsidiaries. ... UOP, formerly known as Universal Oil Products Company, was a diversified industrial company engaged in various lines of business...</w:t>
      </w:r>
    </w:p>
    <w:p w14:paraId="066846E1" w14:textId="77777777" w:rsidR="007E4F16" w:rsidRDefault="002D2B47" w:rsidP="00230600">
      <w:pPr>
        <w:pStyle w:val="CaseParagraph"/>
        <w:ind w:left="0" w:firstLine="0"/>
      </w:pPr>
      <w:r>
        <w:t>In 1974 Signal sold one of its wholly-owned subsidiaries for $420,000,000 in cash. ... Signal became interested in UOP as a possible acquisition. ... Signal agreed to purchase from UOP 1,500,000 shares of UOP’s authorized but unissued stock at $21 per share. This purchase was contingent upon Signal making a successful cash tender offer for 4,300,000 publicly held shares of UOP, also at a price of $21 per share. This combined method of acquisition permitted Signal to acquire 5,800,000 shares of stock, representing 50.5% of UOP’s outstanding shares. ...</w:t>
      </w:r>
    </w:p>
    <w:p w14:paraId="6973E80C" w14:textId="77777777" w:rsidR="007E4F16" w:rsidRDefault="002D2B47" w:rsidP="00230600">
      <w:pPr>
        <w:pStyle w:val="CaseParagraph"/>
        <w:ind w:left="0" w:firstLine="0"/>
      </w:pPr>
      <w:r>
        <w:t>By the end of 1977 Signal basically was unsuccessful in finding other suitable investment candidates for its excess cash... Once again its attention turned to UOP.</w:t>
      </w:r>
    </w:p>
    <w:p w14:paraId="1E9A0B0C" w14:textId="77777777" w:rsidR="007E4F16" w:rsidRDefault="002D2B47" w:rsidP="00230600">
      <w:pPr>
        <w:pStyle w:val="CaseParagraph"/>
        <w:ind w:left="0" w:firstLine="0"/>
      </w:pPr>
      <w:r>
        <w:t>The trial court found that at the instigation of certain Signal management personnel ... a feasibility study was made concerning the possible acquisition of the balance of UOP’s outstanding shares. This study was performed by two Signal officers, Charles S. Arledge, vice president (director of planning), and Andrew J. Chitiea, senior vice president (chief financial officer). Messrs. Walkup, Shumway, Arledge and Chitiea were all directors of UOP in addition to their membership on the Signal board.</w:t>
      </w:r>
    </w:p>
    <w:p w14:paraId="16A69A69" w14:textId="77777777" w:rsidR="007E4F16" w:rsidRDefault="002D2B47" w:rsidP="00230600">
      <w:pPr>
        <w:pStyle w:val="CaseParagraph"/>
        <w:ind w:left="0" w:firstLine="0"/>
      </w:pPr>
      <w:r>
        <w:t>Arledge and Chitiea concluded that it would be a good investment for Signal to acquire the remaining 49.5% of UOP shares at any price up to $24 each. ...</w:t>
      </w:r>
    </w:p>
    <w:p w14:paraId="107E79D3" w14:textId="77777777" w:rsidR="007E4F16" w:rsidRDefault="002D2B47" w:rsidP="00230600">
      <w:pPr>
        <w:pStyle w:val="CaseParagraph"/>
        <w:ind w:left="0" w:firstLine="0"/>
      </w:pPr>
      <w:r>
        <w:t>It was ultimately agreed that a meeting of Signal’s executive committee would be called to propose that Signal acquire the remaining outstanding stock of UOP through a cash-out merger in the range of $20 to $21 per share. The executive committee meeting was set for February 28, 1978. As a courtesy, UOP’s president, Crawford, was invited to attend...</w:t>
      </w:r>
    </w:p>
    <w:p w14:paraId="5F1458A9" w14:textId="77777777" w:rsidR="007E4F16" w:rsidRDefault="002D2B47" w:rsidP="00230600">
      <w:pPr>
        <w:pStyle w:val="CaseParagraph"/>
        <w:ind w:left="0" w:firstLine="0"/>
      </w:pPr>
      <w:r>
        <w:lastRenderedPageBreak/>
        <w:t>Crawford ... was told of Signal’s plan to acquire full ownership of UOP and was asked for his reaction to the proposed price range of $20 to $21 per share. Crawford said he thought such a price would be “generous”, and that it was certainly one which should be submitted to UOP’s minority shareholders for their ultimate consideration. ... Thus, Crawford voiced no objection to the $20 to $21 price range, nor did he suggest that Signal should consider paying more than $21 per share for the minority interests. ...</w:t>
      </w:r>
    </w:p>
    <w:p w14:paraId="2A9A3066" w14:textId="77777777" w:rsidR="007E4F16" w:rsidRDefault="002D2B47" w:rsidP="00230600">
      <w:pPr>
        <w:pStyle w:val="CaseParagraph"/>
        <w:ind w:left="0" w:firstLine="0"/>
      </w:pPr>
      <w:r>
        <w:t>Thus, it was the consensus that a price of $20 to $21 per share would be fair to both Signal and the minority shareholders of UOP. Signal’s executive committee authorized its management “to negotiate” with UOP “for a cash acquisition of the minority ownership in UOP, Inc., with the intention of presenting a proposal to [Signal’s] board of directors ... on March 6, 1978”. ...</w:t>
      </w:r>
    </w:p>
    <w:p w14:paraId="783F8D32" w14:textId="77777777" w:rsidR="007E4F16" w:rsidRDefault="002D2B47" w:rsidP="00230600">
      <w:pPr>
        <w:pStyle w:val="CaseParagraph"/>
        <w:ind w:left="0" w:firstLine="0"/>
      </w:pPr>
      <w:r>
        <w:t>Between Tuesday, February 28, 1978 and Monday, March 6, 1978, a total of four business days, Crawford spoke by telephone with all of UOP’s non-Signal, i.e., outside, directors. Also during that period, Crawford retained Lehman Brothers to render a fairness opinion as to the price offered the minority for its stock. ...</w:t>
      </w:r>
    </w:p>
    <w:p w14:paraId="3918B6B1" w14:textId="77777777" w:rsidR="007E4F16" w:rsidRDefault="002D2B47" w:rsidP="00230600">
      <w:pPr>
        <w:pStyle w:val="CaseParagraph"/>
        <w:ind w:left="0" w:firstLine="0"/>
      </w:pPr>
      <w:r>
        <w:t>Glanville [a partner in Lehman Brothers]’s immediate personal reaction was that a price of $20 to $21 would certainly be fair, since it represented almost a 50% premium over UOP’s market price. ...</w:t>
      </w:r>
    </w:p>
    <w:p w14:paraId="042583FD" w14:textId="77777777" w:rsidR="007E4F16" w:rsidRDefault="002D2B47" w:rsidP="00230600">
      <w:pPr>
        <w:pStyle w:val="CaseParagraph"/>
        <w:ind w:left="0" w:firstLine="0"/>
      </w:pPr>
      <w:r>
        <w:t>Glanville assembled a three-man Lehman Brothers team to do the work on the fairness opinion. ... [O]n Friday, March 3, 1978, two members of the Lehman Brothers team flew to UOP’s headquarters ... to perform a “due diligence” visit... As a result, the Lehman Brothers team concluded that “the price of either $20 or $21 would be a fair price for the remaining shares of UOP”. ...</w:t>
      </w:r>
    </w:p>
    <w:p w14:paraId="2E4532AA" w14:textId="77777777" w:rsidR="007E4F16" w:rsidRDefault="002D2B47" w:rsidP="00230600">
      <w:pPr>
        <w:pStyle w:val="CaseParagraph"/>
        <w:ind w:left="0" w:firstLine="0"/>
      </w:pPr>
      <w:r>
        <w:t>On Monday morning, March 6, 1978, Glanville and the senior member of the Lehman Brothers team flew to Des Plaines to attend the scheduled UOP directors meeting. ... The two had with them the draft of a “fairness opinion letter” in which the price had been left blank. Either during or immediately prior to the directors’ meeting, the two-page “fairness opinion letter” was typed in final form and the price of $21 per share was inserted. ...</w:t>
      </w:r>
    </w:p>
    <w:p w14:paraId="2FB56E9D" w14:textId="77777777" w:rsidR="007E4F16" w:rsidRDefault="002D2B47" w:rsidP="00230600">
      <w:pPr>
        <w:pStyle w:val="CaseParagraph"/>
        <w:ind w:left="0" w:firstLine="0"/>
      </w:pPr>
      <w:r>
        <w:t>UOP’s board then considered the proposal. ... They also had before them UOP financial data for 1974–1977 ... [and] Lehman Brothers’ hurriedly prepared fairness opinion letter finding the price of $21 to be fair. ...</w:t>
      </w:r>
    </w:p>
    <w:p w14:paraId="5E61421E" w14:textId="77777777" w:rsidR="007E4F16" w:rsidRDefault="002D2B47" w:rsidP="00230600">
      <w:pPr>
        <w:pStyle w:val="CaseParagraph"/>
        <w:ind w:left="0" w:firstLine="0"/>
      </w:pPr>
      <w:r>
        <w:t>Signal also suggests that the Arledge-Chitiea feasibility study, indicating that a price of up to $24 per share would be a “good investment” for Signal, was discussed at the UOP directors’ meeting. The Chancellor made no such finding, and our independent review of the record satisfies us by a preponderance of the evidence that there was no discussion of this document at UOP’s board meeting. Furthermore, it is clear beyond peradventure that nothing in that report was ever disclosed to UOP’s minority shareholders prior to their approval of the merger. ...</w:t>
      </w:r>
    </w:p>
    <w:p w14:paraId="543264DF" w14:textId="77777777" w:rsidR="007E4F16" w:rsidRDefault="002D2B47" w:rsidP="00230600">
      <w:pPr>
        <w:pStyle w:val="CaseParagraph"/>
        <w:ind w:left="0" w:firstLine="0"/>
      </w:pPr>
      <w:r>
        <w:lastRenderedPageBreak/>
        <w:t>[UOP’s board approved the merger. At the annual meeting, 51.9% of the minority shares voted for the merger.]</w:t>
      </w:r>
    </w:p>
    <w:p w14:paraId="2C548F09" w14:textId="77777777" w:rsidR="007E4F16" w:rsidRPr="00230600" w:rsidRDefault="002D2B47" w:rsidP="00230600">
      <w:pPr>
        <w:ind w:firstLine="0"/>
        <w:rPr>
          <w:b/>
          <w:bCs/>
        </w:rPr>
      </w:pPr>
      <w:r>
        <w:rPr>
          <w:b/>
          <w:bCs/>
        </w:rPr>
        <w:t>II. A.</w:t>
      </w:r>
    </w:p>
    <w:p w14:paraId="430025CF" w14:textId="77777777" w:rsidR="007E4F16" w:rsidRDefault="002D2B47" w:rsidP="00230600">
      <w:pPr>
        <w:pStyle w:val="CaseParagraph"/>
        <w:ind w:left="0" w:firstLine="0"/>
      </w:pPr>
      <w:r>
        <w:t>A primary issue mandating reversal is the preparation by two UOP directors, Arledge and Chitiea, of their feasibility study for the exclusive use and benefit of Signal. This document was of obvious significance to both Signal and UOP. Using UOP data, it described the advantages to Signal of ousting the minority at a price range of $21–$24 per share. ...</w:t>
      </w:r>
    </w:p>
    <w:p w14:paraId="77B7525C" w14:textId="77777777" w:rsidR="007E4F16" w:rsidRDefault="002D2B47" w:rsidP="00230600">
      <w:pPr>
        <w:pStyle w:val="CaseParagraph"/>
        <w:ind w:left="0" w:firstLine="0"/>
      </w:pPr>
      <w:r>
        <w:t>The Arledge-Chitiea report speaks for itself in supporting the Chancellor’s finding that a price of up to $24 was a “good investment” for Signal. It shows that a return on the investment at $21 would be 15.7% versus 15.5% at $24 per share. This was a difference of only two-tenths of one percent, while it meant over $17,000,000 to the minority. ...</w:t>
      </w:r>
    </w:p>
    <w:p w14:paraId="4EDF7D4C" w14:textId="77777777" w:rsidR="007E4F16" w:rsidRDefault="002D2B47" w:rsidP="00230600">
      <w:pPr>
        <w:pStyle w:val="CaseParagraph"/>
        <w:ind w:left="0" w:firstLine="0"/>
      </w:pPr>
      <w:r>
        <w:t>Since the study was prepared by two UOP directors, using UOP information for the exclusive benefit of Signal, and nothing whatever was done to disclose it to the outside UOP directors or the minority shareholders, a question of breach of fiduciary duty arises. ...</w:t>
      </w:r>
    </w:p>
    <w:p w14:paraId="6ED69969" w14:textId="77777777" w:rsidR="007E4F16" w:rsidRDefault="002D2B47" w:rsidP="00230600">
      <w:pPr>
        <w:pStyle w:val="CaseParagraph"/>
        <w:numPr>
          <w:ilvl w:val="0"/>
          <w:numId w:val="0"/>
        </w:numPr>
      </w:pPr>
      <w:r>
        <w:rPr>
          <w:b/>
        </w:rPr>
        <w:t>B.</w:t>
      </w:r>
    </w:p>
    <w:p w14:paraId="39C831F4" w14:textId="77777777" w:rsidR="007E4F16" w:rsidRDefault="002D2B47" w:rsidP="00230600">
      <w:pPr>
        <w:pStyle w:val="CaseParagraph"/>
        <w:ind w:left="0" w:firstLine="0"/>
      </w:pPr>
      <w:r>
        <w:t>In assessing this situation, the Court of Chancery was required to: examine what information defendants had and to measure it against what they gave to the minority stockholders, in a context in which ‘complete candor’ is required. ...</w:t>
      </w:r>
    </w:p>
    <w:p w14:paraId="50312B31" w14:textId="77777777" w:rsidR="007E4F16" w:rsidRDefault="002D2B47" w:rsidP="00230600">
      <w:pPr>
        <w:pStyle w:val="CaseParagraph"/>
        <w:ind w:left="0" w:firstLine="0"/>
      </w:pPr>
      <w:r>
        <w:t>Given the absence of any attempt to structure this transaction on an arm’s length basis, Signal cannot escape the effects of the conflicts it faced, particularly when its designees on UOP’s board did not totally abstain from participation in the matter. There is no “safe harbor” for such divided loyalties in Delaware. When directors of a Delaware corporation are on both sides of a transaction, they are required to demonstrate their utmost good faith and the most scrupulous inherent fairness of the bargain. ...</w:t>
      </w:r>
    </w:p>
    <w:p w14:paraId="0952D092" w14:textId="77777777" w:rsidR="007E4F16" w:rsidRDefault="002D2B47" w:rsidP="00230600">
      <w:pPr>
        <w:pStyle w:val="CaseParagraph"/>
        <w:numPr>
          <w:ilvl w:val="0"/>
          <w:numId w:val="0"/>
        </w:numPr>
      </w:pPr>
      <w:r>
        <w:rPr>
          <w:b/>
        </w:rPr>
        <w:t>C.</w:t>
      </w:r>
    </w:p>
    <w:p w14:paraId="49181561" w14:textId="77777777" w:rsidR="007E4F16" w:rsidRDefault="002D2B47" w:rsidP="00230600">
      <w:pPr>
        <w:pStyle w:val="CaseParagraph"/>
        <w:ind w:left="0" w:firstLine="0"/>
      </w:pPr>
      <w:r>
        <w:t>The concept of fairness has two basic aspects: fair dealing and fair price. The former embraces questions of when the transaction was timed, how it was initiated, structured, negotiated, disclosed to the directors, and how the approvals of the directors and the stockholders were obtained. The latter aspect of fairness relates to the economic and financial considerations of the proposed merger... However, the test for fairness is not a bifurcated one as between fair dealing and price. All aspects of the issue must be examined as a whole since the question is one of entire fairness. ...</w:t>
      </w:r>
    </w:p>
    <w:p w14:paraId="3BF907C0" w14:textId="77777777" w:rsidR="00230600" w:rsidRDefault="002D2B47" w:rsidP="00230600">
      <w:pPr>
        <w:pStyle w:val="CaseParagraph"/>
        <w:numPr>
          <w:ilvl w:val="0"/>
          <w:numId w:val="0"/>
        </w:numPr>
      </w:pPr>
      <w:r>
        <w:rPr>
          <w:b/>
        </w:rPr>
        <w:t>D.</w:t>
      </w:r>
      <w:r>
        <w:t xml:space="preserve"> </w:t>
      </w:r>
    </w:p>
    <w:p w14:paraId="5BAB1E99" w14:textId="77777777" w:rsidR="007E4F16" w:rsidRDefault="002D2B47" w:rsidP="00230600">
      <w:pPr>
        <w:pStyle w:val="CaseParagraph"/>
        <w:ind w:left="0" w:firstLine="0"/>
      </w:pPr>
      <w:r>
        <w:lastRenderedPageBreak/>
        <w:t xml:space="preserve">Part of fair dealing is the obvious duty of candor required by </w:t>
      </w:r>
      <w:r>
        <w:rPr>
          <w:i/>
        </w:rPr>
        <w:t>Lynch I</w:t>
      </w:r>
      <w:r>
        <w:t>. Moreover, one possessing superior knowledge may not mislead any stockholder by use of corporate information to which the latter is not privy. ...</w:t>
      </w:r>
    </w:p>
    <w:p w14:paraId="4EC1C938" w14:textId="77777777" w:rsidR="007E4F16" w:rsidRDefault="002D2B47" w:rsidP="00230600">
      <w:pPr>
        <w:pStyle w:val="CaseParagraph"/>
        <w:ind w:left="0" w:firstLine="0"/>
      </w:pPr>
      <w:r>
        <w:t>[T]he matter of disclosure to the UOP directors was wholly flawed by the conflicts of interest raised by the Arledge-Chitiea report. All of those conflicts were resolved by Signal in its own favor without divulging any aspect of them to UOP. This cannot but undermine a conclusion that this merger meets any reasonable test of fairness. ...</w:t>
      </w:r>
    </w:p>
    <w:p w14:paraId="7B5149EC" w14:textId="77777777" w:rsidR="007E4F16" w:rsidRDefault="002D2B47" w:rsidP="00230600">
      <w:pPr>
        <w:pStyle w:val="CaseParagraph"/>
        <w:ind w:left="0" w:firstLine="0"/>
      </w:pPr>
      <w:r>
        <w:t>Finally, the minority stockholders were denied the critical information that Signal considered a price of $24 to be a good investment. Since this would have meant over $17,000,000 more to the minority, we cannot conclude that the shareholder vote was an informed one. ...</w:t>
      </w:r>
    </w:p>
    <w:p w14:paraId="788DE81B" w14:textId="77777777" w:rsidR="007E4F16" w:rsidRDefault="002D2B47" w:rsidP="00230600">
      <w:pPr>
        <w:pStyle w:val="CaseParagraph"/>
        <w:numPr>
          <w:ilvl w:val="0"/>
          <w:numId w:val="0"/>
        </w:numPr>
      </w:pPr>
      <w:r>
        <w:rPr>
          <w:b/>
        </w:rPr>
        <w:t>E.</w:t>
      </w:r>
    </w:p>
    <w:p w14:paraId="770E39EF" w14:textId="77777777" w:rsidR="007E4F16" w:rsidRDefault="002D2B47" w:rsidP="00230600">
      <w:pPr>
        <w:pStyle w:val="CaseParagraph"/>
        <w:ind w:left="0" w:firstLine="0"/>
      </w:pPr>
      <w:r>
        <w:t>Turning to the matter of price, plaintiff also challenges its fairness. ... The Chancellor ... accepted defendants’ evidence of value as being in accord with practice under prior case law. This means that the so-called “Delaware block” or weighted average method was employed wherein the elements of value, i.e., assets, market price, earnings, etc., were assigned a particular weight and the resulting amounts added to determine the value per share. ...</w:t>
      </w:r>
    </w:p>
    <w:p w14:paraId="77D175D7" w14:textId="77777777" w:rsidR="007E4F16" w:rsidRDefault="002D2B47" w:rsidP="00230600">
      <w:pPr>
        <w:pStyle w:val="CaseParagraph"/>
        <w:ind w:left="0" w:firstLine="0"/>
      </w:pPr>
      <w:r>
        <w:t>[T]o the extent it excludes other generally accepted techniques used in the financial community and the courts, it is now clearly outmoded. It is time we recognize this in appraisal and other stock valuation proceedings and bring our law current on the subject. ...</w:t>
      </w:r>
    </w:p>
    <w:p w14:paraId="39A2A83A" w14:textId="77777777" w:rsidR="007E4F16" w:rsidRDefault="002D2B47" w:rsidP="00230600">
      <w:pPr>
        <w:pStyle w:val="CaseParagraph"/>
        <w:ind w:left="0" w:firstLine="0"/>
      </w:pPr>
      <w:r>
        <w:t>Accordingly, the standard “Delaware block” or weighted average method of valuation, formerly employed in appraisal and other stock valuation cases, shall no longer exclusively control such proceedings. We believe that a more liberal approach must include proof of value by any techniques or methods which are generally considered acceptable in the financial community and otherwise admissible in court...</w:t>
      </w:r>
    </w:p>
    <w:p w14:paraId="301C7AEF" w14:textId="77777777" w:rsidR="007E4F16" w:rsidRDefault="002D2B47" w:rsidP="00230600">
      <w:pPr>
        <w:pStyle w:val="CaseParagraph"/>
        <w:ind w:left="0" w:firstLine="0"/>
      </w:pPr>
      <w:r>
        <w:t>Fair price obviously requires consideration of all relevant factors involving the value of a company. ... Only the speculative elements of value that may arise from the “accomplishment or expectation” of the merger are excluded. We take this to be a very narrow exception to the appraisal process... But elements of future value, including the nature of the enterprise, which are known or susceptible of proof as of the date of the merger and not the product of speculation, may be considered. ...</w:t>
      </w:r>
    </w:p>
    <w:p w14:paraId="4FA4EFB3" w14:textId="77777777" w:rsidR="007E4F16" w:rsidRDefault="002D2B47" w:rsidP="00230600">
      <w:pPr>
        <w:pStyle w:val="CaseParagraph"/>
        <w:numPr>
          <w:ilvl w:val="0"/>
          <w:numId w:val="0"/>
        </w:numPr>
      </w:pPr>
      <w:r>
        <w:rPr>
          <w:b/>
        </w:rPr>
        <w:t>III.</w:t>
      </w:r>
    </w:p>
    <w:p w14:paraId="058C8DCF" w14:textId="77777777" w:rsidR="007E4F16" w:rsidRDefault="002D2B47" w:rsidP="00230600">
      <w:pPr>
        <w:pStyle w:val="CaseParagraph"/>
        <w:ind w:left="0" w:firstLine="0"/>
      </w:pPr>
      <w:r>
        <w:t>... The judgment of the Court of Chancery, finding both the circumstances of the merger and the price paid the minority shareholders to be fair, is reversed. ...</w:t>
      </w:r>
    </w:p>
    <w:p w14:paraId="7C28E143" w14:textId="77777777" w:rsidR="007E4F16" w:rsidRDefault="00230600" w:rsidP="00230600">
      <w:pPr>
        <w:pStyle w:val="CaseInternalHeading"/>
      </w:pPr>
      <w:r>
        <w:rPr>
          <w:i/>
          <w:iCs/>
        </w:rPr>
        <w:lastRenderedPageBreak/>
        <w:t>Weinberger</w:t>
      </w:r>
      <w:r>
        <w:t xml:space="preserve"> Notes and Questions</w:t>
      </w:r>
    </w:p>
    <w:p w14:paraId="4756C7D7" w14:textId="77777777" w:rsidR="007E4F16" w:rsidRDefault="002D2B47">
      <w:pPr>
        <w:numPr>
          <w:ilvl w:val="0"/>
          <w:numId w:val="2"/>
        </w:numPr>
        <w:spacing w:after="0"/>
      </w:pPr>
      <w:r>
        <w:rPr>
          <w:b/>
        </w:rPr>
        <w:t>Public Choice and the Death of the Block Method.</w:t>
      </w:r>
      <w:r>
        <w:t xml:space="preserve"> The court in </w:t>
      </w:r>
      <w:r>
        <w:rPr>
          <w:i/>
        </w:rPr>
        <w:t>Weinberger</w:t>
      </w:r>
      <w:r>
        <w:t xml:space="preserve"> explicitly abandoned the Delaware Block Method in favor of modern financial techniques. From a public choice perspective, this can be viewed as an attempt by the judiciary to maintain the value of the Delaware brand. If the courts continued to use a valuation method that investment bankers and institutional investors considered obsolete, sophisticated parties might lose faith in the competence of the Delaware judiciary. By adopting the same tools used by the market, the court signaled its commercial literacy.</w:t>
      </w:r>
    </w:p>
    <w:p w14:paraId="673D70B9" w14:textId="77777777" w:rsidR="007E4F16" w:rsidRDefault="002D2B47">
      <w:pPr>
        <w:numPr>
          <w:ilvl w:val="0"/>
          <w:numId w:val="2"/>
        </w:numPr>
        <w:spacing w:after="0"/>
      </w:pPr>
      <w:r>
        <w:rPr>
          <w:b/>
        </w:rPr>
        <w:t>Rent Seeking and the Plaintiffs’ Bar.</w:t>
      </w:r>
      <w:r>
        <w:t xml:space="preserve"> While </w:t>
      </w:r>
      <w:r>
        <w:rPr>
          <w:i/>
        </w:rPr>
        <w:t>Weinberger</w:t>
      </w:r>
      <w:r>
        <w:t xml:space="preserve"> modernized valuation, it also created a new opportunity for rent seeking. By allowing plaintiffs to present any generally accepted financial technique, the court incentivized the hiring of expensive experts to generate widely divergent valuation models. This shift fueled the growth of a specialized plaintiffs’ bar and eventually led to the rise of appraisal arbitrage, where hedge funds buy stock after a merger solely to litigate for a higher price. Does the open-ended nature of the </w:t>
      </w:r>
      <w:r>
        <w:rPr>
          <w:i/>
        </w:rPr>
        <w:t>Weinberger</w:t>
      </w:r>
      <w:r>
        <w:t xml:space="preserve"> rule prioritize fairness at the expense of predictability?</w:t>
      </w:r>
    </w:p>
    <w:p w14:paraId="3B1A5F72" w14:textId="77777777" w:rsidR="007E4F16" w:rsidRDefault="002D2B47">
      <w:pPr>
        <w:numPr>
          <w:ilvl w:val="0"/>
          <w:numId w:val="2"/>
        </w:numPr>
        <w:spacing w:after="0"/>
      </w:pPr>
      <w:r>
        <w:rPr>
          <w:b/>
        </w:rPr>
        <w:t>Process as a Substitute for Price.</w:t>
      </w:r>
      <w:r>
        <w:t xml:space="preserve"> The court emphasized that Signal failed to disclose the Arledge-Chitiea report, which indicated a willingness to pay up to $24 per share. This focuses the inquiry on fair dealing rather than just the final number. If Signal had disclosed the report and used an independent negotiating committee, would the court have accepted the $21 price? This suggests that Delaware law often uses procedural hurdles to police conflicts of interest rather than having judges directly set the price of the stock.</w:t>
      </w:r>
    </w:p>
    <w:p w14:paraId="7DCC6403" w14:textId="77777777" w:rsidR="007E4F16" w:rsidRDefault="002D2B47">
      <w:pPr>
        <w:pStyle w:val="Heading2"/>
      </w:pPr>
      <w:r>
        <w:t>Defending the Corporate Bastion</w:t>
      </w:r>
    </w:p>
    <w:p w14:paraId="2525D1DC" w14:textId="77777777" w:rsidR="007E4F16" w:rsidRDefault="002D2B47">
      <w:r>
        <w:t>Once we establish how a company is valued, the next political struggle involves the power to control that value. In a hostile takeover, a buyer offers a premium price directly to the shareholders, bypassing the board of directors. This poses an existential threat to the managers, who will almost certainly be fired if the takeover succeeds.</w:t>
      </w:r>
    </w:p>
    <w:p w14:paraId="36F0A7AF" w14:textId="77777777" w:rsidR="007E4F16" w:rsidRDefault="002D2B47">
      <w:r>
        <w:t>Managers argue that they need the power to block hostile bids to protect shareholders from coercive offers or short-term thinking. Shareholders, however, often want the freedom to accept a premium price immediately. The Delaware courts must decide whether to allow directors to erect defensive barriers that prevent shareholders from selling their stock. The following cases trace the evolution of this power, from the initial validation of defensive tactics to the modern ability of a board to just say no to a premium offer.</w:t>
      </w:r>
    </w:p>
    <w:p w14:paraId="495DB858" w14:textId="77777777" w:rsidR="00E27303" w:rsidRDefault="00845189">
      <w:pPr>
        <w:pStyle w:val="GuidingQuestions"/>
      </w:pPr>
      <w:r>
        <w:lastRenderedPageBreak/>
        <w:t>The Unocal board confronted a two-tier “front-loaded” hostile bid: the first tier offered a cash premium, while shareholders who did not tender faced a second tier consisting only of junk bonds of uncertain value. As you read the case, consider why the court declined to apply the ordinary business judgment rule to defensive measures—what structural feature of a board’s response to a takeover distinguishes it from other business decisions? The court’s two-part test asks whether the board identified a legitim</w:t>
      </w:r>
      <w:r>
        <w:t>ate threat and whether its response was proportionate to that specific threat: was excluding the hostile bidder from Unocal’s own self-tender proportionate? And if a board may use defensive measures to protect a pre-existing corporate plan, what prevents that power from becoming an all-purpose tool for entrenching management against any premium offer?</w:t>
      </w:r>
    </w:p>
    <w:p w14:paraId="2B75E4A8" w14:textId="77777777" w:rsidR="007E4F16" w:rsidRDefault="002D2B47" w:rsidP="00230600">
      <w:pPr>
        <w:pStyle w:val="CaseInternalHeading"/>
      </w:pPr>
      <w:r>
        <w:t>Unocal Corp. v. Mesa Petroleum Co., 493 A.2d 946 (1985)</w:t>
      </w:r>
    </w:p>
    <w:p w14:paraId="64D1CEF4" w14:textId="77777777" w:rsidR="007E4F16" w:rsidRDefault="002D2B47" w:rsidP="00230600">
      <w:pPr>
        <w:pStyle w:val="CaseParagraph"/>
        <w:numPr>
          <w:ilvl w:val="0"/>
          <w:numId w:val="22"/>
        </w:numPr>
        <w:ind w:left="0" w:firstLine="0"/>
      </w:pPr>
      <w:r>
        <w:t>We confront an issue of first impression in Delaware—the validity of a corporation’s self-tender for its own shares which excludes from participation a stockholder making a hostile tender offer for the company’s stock. ...</w:t>
      </w:r>
    </w:p>
    <w:p w14:paraId="5FFD633F" w14:textId="77777777" w:rsidR="007E4F16" w:rsidRDefault="002D2B47" w:rsidP="00230600">
      <w:pPr>
        <w:pStyle w:val="CaseParagraph"/>
        <w:numPr>
          <w:ilvl w:val="0"/>
          <w:numId w:val="22"/>
        </w:numPr>
        <w:ind w:left="0" w:firstLine="0"/>
      </w:pPr>
      <w:r>
        <w:t>The factual background of this matter bears a significant relationship to its ultimate outcome. On April 8, 1985, Mesa, the owner of approximately 13% of Unocal’s stock, commenced a two-tier “front loaded” cash tender offer for 64 million shares, or approximately 37%, of Unocal’s outstanding stock at a price of $54 per share. The “back-end” was designed to eliminate the remaining publicly held shares by an exchange of securities purportedly worth $54 per share. However, ... [t]he securities offered in the second-step merger would be highly subordinated, and ... Unocal’s capitalization would differ significantly from its present structure. Unocal has rather aptly termed such securities “junk bonds”. ...</w:t>
      </w:r>
    </w:p>
    <w:p w14:paraId="16D5445A" w14:textId="77777777" w:rsidR="007E4F16" w:rsidRDefault="002D2B47" w:rsidP="00230600">
      <w:pPr>
        <w:pStyle w:val="CaseParagraph"/>
        <w:numPr>
          <w:ilvl w:val="0"/>
          <w:numId w:val="22"/>
        </w:numPr>
        <w:ind w:left="0" w:firstLine="0"/>
      </w:pPr>
      <w:r>
        <w:t>The [Unocal] board ... unanimously agreed to advise the board that it should reject Mesa’s tender offer as inadequate, and that Unocal should pursue a self-tender to provide the stockholders with a fairly priced alternative to the Mesa proposal. ...</w:t>
      </w:r>
    </w:p>
    <w:p w14:paraId="0EABE9B8" w14:textId="77777777" w:rsidR="007E4F16" w:rsidRDefault="002D2B47" w:rsidP="00230600">
      <w:pPr>
        <w:pStyle w:val="CaseParagraph"/>
        <w:numPr>
          <w:ilvl w:val="0"/>
          <w:numId w:val="22"/>
        </w:numPr>
        <w:ind w:left="0" w:firstLine="0"/>
      </w:pPr>
      <w:r>
        <w:t>Unocal’s exchange offer was commenced on April 17, 1985... Legal counsel advised that under Delaware law Mesa could only be excluded for what the directors reasonably believed to be a valid corporate purpose. The directors’ discussion centered on the objective of adequately compensating shareholders at the “back-end” of Mesa’s proposal... To include Mesa would defeat that goal, because under the proration aspect of the exchange offer (49%) every Mesa share accepted by Unocal would displace one held by another stockholder. Further, if Mesa were permitted to tender to Unocal, the latter would in effect be financing Mesa’s own inadequate proposal. ...</w:t>
      </w:r>
    </w:p>
    <w:p w14:paraId="7431F415" w14:textId="77777777" w:rsidR="007E4F16" w:rsidRDefault="002D2B47" w:rsidP="00230600">
      <w:pPr>
        <w:pStyle w:val="CaseParagraph"/>
        <w:numPr>
          <w:ilvl w:val="0"/>
          <w:numId w:val="0"/>
        </w:numPr>
      </w:pPr>
      <w:r>
        <w:rPr>
          <w:b/>
        </w:rPr>
        <w:t>III.</w:t>
      </w:r>
    </w:p>
    <w:p w14:paraId="3B6DCB55" w14:textId="77777777" w:rsidR="007E4F16" w:rsidRDefault="002D2B47" w:rsidP="00230600">
      <w:pPr>
        <w:pStyle w:val="CaseParagraph"/>
        <w:numPr>
          <w:ilvl w:val="0"/>
          <w:numId w:val="22"/>
        </w:numPr>
        <w:ind w:left="0" w:firstLine="0"/>
      </w:pPr>
      <w:r>
        <w:lastRenderedPageBreak/>
        <w:t>We begin with the basic issue of the power of a board of directors of a Delaware corporation to adopt a defensive measure of this type. ... The board has a large reservoir of authority upon which to draw. Its duties and responsibilities proceed from the inherent powers conferred by 8 Del.C. § 141(a), respecting management of the corporation’s “business and affairs”. Additionally, the powers here being exercised derive from 8 Del.C. § 160(a), conferring broad authority upon a corporation to deal in its own stock. ...</w:t>
      </w:r>
    </w:p>
    <w:p w14:paraId="7E1E3F89" w14:textId="77777777" w:rsidR="007E4F16" w:rsidRDefault="002D2B47" w:rsidP="00230600">
      <w:pPr>
        <w:pStyle w:val="CaseParagraph"/>
        <w:numPr>
          <w:ilvl w:val="0"/>
          <w:numId w:val="22"/>
        </w:numPr>
        <w:ind w:left="0" w:firstLine="0"/>
      </w:pPr>
      <w:r>
        <w:t>[T]he board’s power to act derives from its fundamental duty and obligation to protect the corporate enterprise, which includes stockholders, from harm reasonably perceived, irrespective of its source. ... Thus, we are satisfied that in the broad context of corporate governance, including issues of fundamental corporate change, a board of directors is not a passive instrumentality. ...</w:t>
      </w:r>
    </w:p>
    <w:p w14:paraId="69786BCB" w14:textId="77777777" w:rsidR="007E4F16" w:rsidRDefault="002D2B47" w:rsidP="00230600">
      <w:pPr>
        <w:pStyle w:val="CaseParagraph"/>
        <w:numPr>
          <w:ilvl w:val="0"/>
          <w:numId w:val="0"/>
        </w:numPr>
      </w:pPr>
      <w:r>
        <w:rPr>
          <w:b/>
        </w:rPr>
        <w:t>IV.</w:t>
      </w:r>
      <w:r>
        <w:t xml:space="preserve"> </w:t>
      </w:r>
      <w:r>
        <w:rPr>
          <w:b/>
        </w:rPr>
        <w:t>A.</w:t>
      </w:r>
    </w:p>
    <w:p w14:paraId="4BCC42B5" w14:textId="77777777" w:rsidR="007E4F16" w:rsidRDefault="002D2B47" w:rsidP="00230600">
      <w:pPr>
        <w:pStyle w:val="CaseParagraph"/>
        <w:numPr>
          <w:ilvl w:val="0"/>
          <w:numId w:val="22"/>
        </w:numPr>
        <w:ind w:left="0" w:firstLine="0"/>
      </w:pPr>
      <w:r>
        <w:t>In the board’s exercise of corporate power to forestall a takeover bid our analysis begins with the basic principle that corporate directors have a fiduciary duty to act in the best interests of the corporation’s stockholders. ... But such powers are not absolute. A corporation does not have unbridled discretion to defeat any perceived threat by any Draconian means available. ...</w:t>
      </w:r>
    </w:p>
    <w:p w14:paraId="7627EC2C" w14:textId="77777777" w:rsidR="007E4F16" w:rsidRDefault="002D2B47" w:rsidP="00230600">
      <w:pPr>
        <w:pStyle w:val="CaseParagraph"/>
        <w:numPr>
          <w:ilvl w:val="0"/>
          <w:numId w:val="22"/>
        </w:numPr>
        <w:ind w:left="0" w:firstLine="0"/>
      </w:pPr>
      <w:r>
        <w:t>Because of the omnipresent specter that a board may be acting primarily in its own interests, rather than those of the corporation and its shareholders, there is an enhanced duty which calls for judicial examination at the threshold before the protections of the business judgment rule may be conferred. ...</w:t>
      </w:r>
    </w:p>
    <w:p w14:paraId="749C4CB1" w14:textId="77777777" w:rsidR="007E4F16" w:rsidRDefault="002D2B47" w:rsidP="00230600">
      <w:pPr>
        <w:pStyle w:val="CaseParagraph"/>
        <w:numPr>
          <w:ilvl w:val="0"/>
          <w:numId w:val="0"/>
        </w:numPr>
      </w:pPr>
      <w:r>
        <w:rPr>
          <w:b/>
        </w:rPr>
        <w:t>B.</w:t>
      </w:r>
    </w:p>
    <w:p w14:paraId="2B37141E" w14:textId="77777777" w:rsidR="007E4F16" w:rsidRDefault="002D2B47" w:rsidP="00230600">
      <w:pPr>
        <w:pStyle w:val="CaseParagraph"/>
        <w:numPr>
          <w:ilvl w:val="0"/>
          <w:numId w:val="22"/>
        </w:numPr>
        <w:ind w:left="0" w:firstLine="0"/>
      </w:pPr>
      <w:r>
        <w:t>A further aspect is the element of balance. If a defensive measure is to come within the ambit of the business judgment rule, it must be reasonable in relation to the threat posed. This entails an analysis by the directors of the nature of the takeover bid and its effect on the corporate enterprise. ...</w:t>
      </w:r>
    </w:p>
    <w:p w14:paraId="7B0B9970" w14:textId="77777777" w:rsidR="007E4F16" w:rsidRDefault="002D2B47" w:rsidP="00230600">
      <w:pPr>
        <w:pStyle w:val="CaseParagraph"/>
        <w:numPr>
          <w:ilvl w:val="0"/>
          <w:numId w:val="22"/>
        </w:numPr>
        <w:ind w:left="0" w:firstLine="0"/>
      </w:pPr>
      <w:r>
        <w:t>Here, the threat posed was viewed by the Unocal board as a grossly inadequate two-tier coercive tender offer coupled with the threat of greenmail. Specifically, the Unocal directors had concluded that the value of Unocal was substantially above the $54 per share offered in cash at the front end. Furthermore, they determined that the subordinated securities to be exchanged in Mesa’s announced squeeze out of the remaining shareholders in the “back-end” merger were “junk bonds” worth far less than $54. It is now well recognized that such offers are a classic coercive measure designed to stampede shareholders into tendering at the first tier, even if the price is inadequate, out of fear of what they will receive at the back end of the transaction. ...</w:t>
      </w:r>
    </w:p>
    <w:p w14:paraId="070A5607" w14:textId="77777777" w:rsidR="007E4F16" w:rsidRDefault="002D2B47" w:rsidP="00230600">
      <w:pPr>
        <w:pStyle w:val="CaseParagraph"/>
        <w:numPr>
          <w:ilvl w:val="0"/>
          <w:numId w:val="22"/>
        </w:numPr>
        <w:ind w:left="0" w:firstLine="0"/>
      </w:pPr>
      <w:r>
        <w:t xml:space="preserve">In adopting the selective exchange offer, the board stated that its objective was either to defeat the inadequate Mesa offer or, should the offer still succeed, </w:t>
      </w:r>
      <w:r>
        <w:lastRenderedPageBreak/>
        <w:t>provide the 49% of its stockholders, who would otherwise be forced to accept “junk bonds”, with $72 worth of senior debt. We find that both purposes are valid. However, such efforts would have been thwarted by Mesa’s participation in the exchange offer. ...</w:t>
      </w:r>
    </w:p>
    <w:p w14:paraId="3292F315" w14:textId="77777777" w:rsidR="007E4F16" w:rsidRDefault="002D2B47" w:rsidP="00230600">
      <w:pPr>
        <w:pStyle w:val="CaseParagraph"/>
        <w:numPr>
          <w:ilvl w:val="0"/>
          <w:numId w:val="0"/>
        </w:numPr>
      </w:pPr>
      <w:r>
        <w:rPr>
          <w:b/>
        </w:rPr>
        <w:t>V.</w:t>
      </w:r>
    </w:p>
    <w:p w14:paraId="4A842A5F" w14:textId="77777777" w:rsidR="007E4F16" w:rsidRDefault="002D2B47" w:rsidP="00230600">
      <w:pPr>
        <w:pStyle w:val="CaseParagraph"/>
        <w:numPr>
          <w:ilvl w:val="0"/>
          <w:numId w:val="22"/>
        </w:numPr>
        <w:ind w:left="0" w:firstLine="0"/>
      </w:pPr>
      <w:r>
        <w:t>Mesa contends that it is unlawful, and the trial court agreed, for a corporation to discriminate in this fashion against one shareholder. It argues correctly that no case has ever sanctioned a device that precludes a raider from sharing in a benefit available to all other stockholders. ...</w:t>
      </w:r>
    </w:p>
    <w:p w14:paraId="4B5A4BC3" w14:textId="77777777" w:rsidR="007E4F16" w:rsidRDefault="002D2B47" w:rsidP="00230600">
      <w:pPr>
        <w:pStyle w:val="CaseParagraph"/>
        <w:numPr>
          <w:ilvl w:val="0"/>
          <w:numId w:val="22"/>
        </w:numPr>
        <w:ind w:left="0" w:firstLine="0"/>
      </w:pPr>
      <w:r>
        <w:t>However, our corporate law is not static. It must grow and develop in response to, indeed in anticipation of, evolving concepts and needs. ...</w:t>
      </w:r>
    </w:p>
    <w:p w14:paraId="62195C18" w14:textId="77777777" w:rsidR="007E4F16" w:rsidRDefault="002D2B47" w:rsidP="00230600">
      <w:pPr>
        <w:pStyle w:val="CaseParagraph"/>
        <w:numPr>
          <w:ilvl w:val="0"/>
          <w:numId w:val="22"/>
        </w:numPr>
        <w:ind w:left="0" w:firstLine="0"/>
      </w:pPr>
      <w:r>
        <w:t>Thus, while the exchange offer is a form of selective treatment, given the nature of the threat posed here the response is neither unlawful nor unreasonable. If the board of directors is disinterested, has acted in good faith and with due care, its decision in the absence of an abuse of discretion will be upheld as a proper exercise of business judgment. ...</w:t>
      </w:r>
    </w:p>
    <w:p w14:paraId="01EEDFE9" w14:textId="77777777" w:rsidR="007E4F16" w:rsidRDefault="002D2B47" w:rsidP="00230600">
      <w:pPr>
        <w:pStyle w:val="CaseParagraph"/>
        <w:numPr>
          <w:ilvl w:val="0"/>
          <w:numId w:val="22"/>
        </w:numPr>
        <w:ind w:left="0" w:firstLine="0"/>
      </w:pPr>
      <w:r>
        <w:t>The decision of the Court of Chancery is therefore REVERSED, and the preliminary injunction is VACATED.</w:t>
      </w:r>
    </w:p>
    <w:p w14:paraId="4410A34B" w14:textId="77777777" w:rsidR="00E27303" w:rsidRDefault="00845189">
      <w:pPr>
        <w:pStyle w:val="GuidingQuestions"/>
      </w:pPr>
      <w:r>
        <w:t xml:space="preserve">Air Products and Chemicals had pursued Airgas for over a year with a fully financed, all-cash offer that even the three dissident directors elected by Air Products’ own nominees had found inadequate. As you read Air Products, consider what the legal concept of “substantive coercion”—the idea that sophisticated institutional investors might mistakenly tender into an inadequate offer—assumes about the rationality of the shareholders who owned most of Airgas’s stock. Is maintaining a poison pill for more than </w:t>
      </w:r>
      <w:r>
        <w:t>a year against a fully financed all-cash offer a proportionate response under the Unocal standard—and if so, under what circumstances would it ever cease to be proportionate? Is the “just say no” defense a legitimate protection for long-term shareholder value, or primarily a tool for board entrenchment?</w:t>
      </w:r>
    </w:p>
    <w:p w14:paraId="4D55502F" w14:textId="77777777" w:rsidR="007E4F16" w:rsidRDefault="002D2B47" w:rsidP="00230600">
      <w:pPr>
        <w:pStyle w:val="CaseInternalHeading"/>
      </w:pPr>
      <w:r>
        <w:t>Air Products and Chemicals, Inc. v. Airgas, Inc., 16 A.3d 48 (Del. Ch. 2011)</w:t>
      </w:r>
    </w:p>
    <w:p w14:paraId="5CF2070B" w14:textId="77777777" w:rsidR="007E4F16" w:rsidRDefault="002D2B47" w:rsidP="00230600">
      <w:pPr>
        <w:pStyle w:val="CaseParagraph"/>
        <w:numPr>
          <w:ilvl w:val="0"/>
          <w:numId w:val="23"/>
        </w:numPr>
        <w:ind w:left="0" w:firstLine="0"/>
      </w:pPr>
      <w:r>
        <w:t>It is now February 2011. For over a year, Air Products &amp; Chemicals, Inc. has sought to acquire Airgas, Inc. ... Its current “best and final” offer, made public in December 2010, is for $70 per share. The Airgas board of directors has repeatedly rejected Air Products’ offers as inadequate. The board’s view is that the company is worth at least $78 per share in a sale transaction.</w:t>
      </w:r>
    </w:p>
    <w:p w14:paraId="4C052762" w14:textId="77777777" w:rsidR="007E4F16" w:rsidRDefault="002D2B47" w:rsidP="00230600">
      <w:pPr>
        <w:pStyle w:val="CaseParagraph"/>
        <w:numPr>
          <w:ilvl w:val="0"/>
          <w:numId w:val="23"/>
        </w:numPr>
        <w:ind w:left="0" w:firstLine="0"/>
      </w:pPr>
      <w:r>
        <w:t>To defend against Air Products’ unsolicited offers, the Airgas board has relied on a shareholder rights plan—a “poison pill”—that would be triggered if an acquirer obtained 15% or more of the company’s shares. ...</w:t>
      </w:r>
    </w:p>
    <w:p w14:paraId="7CC4B423" w14:textId="77777777" w:rsidR="007E4F16" w:rsidRDefault="002D2B47" w:rsidP="00230600">
      <w:pPr>
        <w:pStyle w:val="CaseParagraph"/>
        <w:numPr>
          <w:ilvl w:val="0"/>
          <w:numId w:val="23"/>
        </w:numPr>
        <w:ind w:left="0" w:firstLine="0"/>
      </w:pPr>
      <w:r>
        <w:lastRenderedPageBreak/>
        <w:t>Air Products has launched a two-pronged attack on Airgas’s poison pill. First, it has nominated three independent directors to the Airgas board, who were elected by the stockholders in September 2010. Second, it has brought this action in the Court of Chancery, seeking a declaratory judgment that the Airgas board has breached its fiduciary duties by maintaining the pill and asking this Court to order the board to redeem the pill.</w:t>
      </w:r>
    </w:p>
    <w:p w14:paraId="213FA53E" w14:textId="77777777" w:rsidR="007E4F16" w:rsidRDefault="002D2B47" w:rsidP="00230600">
      <w:pPr>
        <w:pStyle w:val="CaseParagraph"/>
        <w:numPr>
          <w:ilvl w:val="0"/>
          <w:numId w:val="23"/>
        </w:numPr>
        <w:ind w:left="0" w:firstLine="0"/>
      </w:pPr>
      <w:r>
        <w:t>This case poses the following question: Can a board of directors, acting in good faith and with a reasonable factual basis, maintain a poison pill to block a premium, all-cash, fully financed tender offer that the board believes is inadequate? For the reasons explained below, I conclude that the answer to this question is yes. ...</w:t>
      </w:r>
    </w:p>
    <w:p w14:paraId="21B2FF09" w14:textId="77777777" w:rsidR="007E4F16" w:rsidRDefault="002D2B47" w:rsidP="00230600">
      <w:pPr>
        <w:pStyle w:val="CaseParagraph"/>
        <w:numPr>
          <w:ilvl w:val="0"/>
          <w:numId w:val="0"/>
        </w:numPr>
      </w:pPr>
      <w:r>
        <w:rPr>
          <w:b/>
        </w:rPr>
        <w:t>Analysis</w:t>
      </w:r>
    </w:p>
    <w:p w14:paraId="6AEEC8FE" w14:textId="77777777" w:rsidR="007E4F16" w:rsidRDefault="002D2B47" w:rsidP="00230600">
      <w:pPr>
        <w:pStyle w:val="CaseParagraph"/>
        <w:numPr>
          <w:ilvl w:val="0"/>
          <w:numId w:val="0"/>
        </w:numPr>
      </w:pPr>
      <w:r>
        <w:rPr>
          <w:b/>
        </w:rPr>
        <w:t>A. The Standard of Review</w:t>
      </w:r>
    </w:p>
    <w:p w14:paraId="65A1B879" w14:textId="77777777" w:rsidR="007E4F16" w:rsidRDefault="002D2B47" w:rsidP="00230600">
      <w:pPr>
        <w:pStyle w:val="CaseParagraph"/>
        <w:numPr>
          <w:ilvl w:val="0"/>
          <w:numId w:val="23"/>
        </w:numPr>
        <w:ind w:left="0" w:firstLine="0"/>
      </w:pPr>
      <w:r>
        <w:t xml:space="preserve">The proper standard of review for a board’s decision to maintain a poison pill in response to a hostile tender offer is the enhanced scrutiny standard set forth in </w:t>
      </w:r>
      <w:r>
        <w:rPr>
          <w:i/>
        </w:rPr>
        <w:t>Unocal Corp. v. Mesa Petroleum Co.</w:t>
      </w:r>
      <w:r>
        <w:t xml:space="preserve"> ...</w:t>
      </w:r>
    </w:p>
    <w:p w14:paraId="082EF212" w14:textId="77777777" w:rsidR="007E4F16" w:rsidRDefault="002D2B47" w:rsidP="00230600">
      <w:pPr>
        <w:pStyle w:val="CaseParagraph"/>
        <w:numPr>
          <w:ilvl w:val="0"/>
          <w:numId w:val="0"/>
        </w:numPr>
      </w:pPr>
      <w:r>
        <w:rPr>
          <w:b/>
        </w:rPr>
        <w:t>B. Has the Board Made a Good Faith and Reasonable Investigation?</w:t>
      </w:r>
    </w:p>
    <w:p w14:paraId="0C095689" w14:textId="77777777" w:rsidR="007E4F16" w:rsidRDefault="002D2B47" w:rsidP="00230600">
      <w:pPr>
        <w:pStyle w:val="CaseParagraph"/>
        <w:numPr>
          <w:ilvl w:val="0"/>
          <w:numId w:val="23"/>
        </w:numPr>
        <w:ind w:left="0" w:firstLine="0"/>
      </w:pPr>
      <w:r>
        <w:t xml:space="preserve">The first prong of </w:t>
      </w:r>
      <w:r>
        <w:rPr>
          <w:i/>
        </w:rPr>
        <w:t>Unocal</w:t>
      </w:r>
      <w:r>
        <w:t xml:space="preserve"> requires the board to demonstrate that it identified a legitimate threat to corporate policy and effectiveness. ... The Airgas board has identified the threat as “substantive coercion”—the risk that stockholders will disbelieve the board’s views on value and tender into an inadequate offer. ...</w:t>
      </w:r>
    </w:p>
    <w:p w14:paraId="5D498FDF" w14:textId="77777777" w:rsidR="007E4F16" w:rsidRDefault="002D2B47" w:rsidP="00230600">
      <w:pPr>
        <w:pStyle w:val="CaseParagraph"/>
        <w:numPr>
          <w:ilvl w:val="0"/>
          <w:numId w:val="23"/>
        </w:numPr>
        <w:ind w:left="0" w:firstLine="0"/>
      </w:pPr>
      <w:r>
        <w:t>Air Products argues that substantive coercion is not a valid threat in this case because Airgas’s stockholders are sophisticated institutions who have all the information they need to make a decision. ... I disagree. The record demonstrates that the Airgas board has acted in good faith and has conducted a reasonable investigation. ...</w:t>
      </w:r>
    </w:p>
    <w:p w14:paraId="6A215080" w14:textId="77777777" w:rsidR="007E4F16" w:rsidRDefault="002D2B47" w:rsidP="00230600">
      <w:pPr>
        <w:pStyle w:val="CaseParagraph"/>
        <w:numPr>
          <w:ilvl w:val="0"/>
          <w:numId w:val="23"/>
        </w:numPr>
        <w:ind w:left="0" w:firstLine="0"/>
      </w:pPr>
      <w:r>
        <w:t>Most importantly, the three directors nominated by Air Products and elected by the stockholders—Clancey, Lumpkins, and Miller—have joined the rest of the board in rejecting the $70 offer. These three directors are indisputably independent. ... Yet, after looking at the numbers and fulfilling their fiduciary duties, they concluded that $70 is too low. Their concurrence is powerful evidence that the board is acting in good faith. ...</w:t>
      </w:r>
    </w:p>
    <w:p w14:paraId="1B1A2D52" w14:textId="77777777" w:rsidR="007E4F16" w:rsidRDefault="002D2B47" w:rsidP="00230600">
      <w:pPr>
        <w:pStyle w:val="CaseParagraph"/>
        <w:numPr>
          <w:ilvl w:val="0"/>
          <w:numId w:val="0"/>
        </w:numPr>
      </w:pPr>
      <w:r>
        <w:rPr>
          <w:b/>
        </w:rPr>
        <w:t>C. Is the Continued Maintenance of Airgas’s Defensive Measures Proportionate?</w:t>
      </w:r>
    </w:p>
    <w:p w14:paraId="56496F11" w14:textId="77777777" w:rsidR="007E4F16" w:rsidRDefault="002D2B47" w:rsidP="00230600">
      <w:pPr>
        <w:pStyle w:val="CaseParagraph"/>
        <w:numPr>
          <w:ilvl w:val="0"/>
          <w:numId w:val="23"/>
        </w:numPr>
        <w:ind w:left="0" w:firstLine="0"/>
      </w:pPr>
      <w:r>
        <w:t xml:space="preserve">The second prong of </w:t>
      </w:r>
      <w:r>
        <w:rPr>
          <w:i/>
        </w:rPr>
        <w:t>Unocal</w:t>
      </w:r>
      <w:r>
        <w:t xml:space="preserve"> requires the board to demonstrate that its defensive response is proportionate to the threat. A defensive measure is disproportionate if it is “draconian,” meaning that it is either “coercive” or “preclusive.” ...</w:t>
      </w:r>
    </w:p>
    <w:p w14:paraId="5A36B591" w14:textId="77777777" w:rsidR="007E4F16" w:rsidRDefault="002D2B47" w:rsidP="00230600">
      <w:pPr>
        <w:pStyle w:val="CaseParagraph"/>
        <w:numPr>
          <w:ilvl w:val="0"/>
          <w:numId w:val="0"/>
        </w:numPr>
      </w:pPr>
      <w:r>
        <w:rPr>
          <w:b/>
        </w:rPr>
        <w:t>Is the Pill Coercive?</w:t>
      </w:r>
    </w:p>
    <w:p w14:paraId="7FE06612" w14:textId="77777777" w:rsidR="007E4F16" w:rsidRDefault="002D2B47" w:rsidP="00230600">
      <w:pPr>
        <w:pStyle w:val="CaseParagraph"/>
        <w:numPr>
          <w:ilvl w:val="0"/>
          <w:numId w:val="23"/>
        </w:numPr>
        <w:ind w:left="0" w:firstLine="0"/>
      </w:pPr>
      <w:r>
        <w:lastRenderedPageBreak/>
        <w:t>... Here, the Airgas board is not trying to force stockholders to accept a management plan. It is simply maintaining the status quo to prevent the sale of the company at an inadequate price. Thus, the pill is not coercive.</w:t>
      </w:r>
    </w:p>
    <w:p w14:paraId="5EB8BE0B" w14:textId="77777777" w:rsidR="007E4F16" w:rsidRDefault="002D2B47" w:rsidP="00230600">
      <w:pPr>
        <w:pStyle w:val="CaseParagraph"/>
        <w:numPr>
          <w:ilvl w:val="0"/>
          <w:numId w:val="0"/>
        </w:numPr>
      </w:pPr>
      <w:r>
        <w:rPr>
          <w:b/>
        </w:rPr>
        <w:t>Is the Pill Preclusive?</w:t>
      </w:r>
    </w:p>
    <w:p w14:paraId="705F8F6C" w14:textId="77777777" w:rsidR="007E4F16" w:rsidRDefault="002D2B47" w:rsidP="00230600">
      <w:pPr>
        <w:pStyle w:val="CaseParagraph"/>
        <w:numPr>
          <w:ilvl w:val="0"/>
          <w:numId w:val="23"/>
        </w:numPr>
        <w:ind w:left="0" w:firstLine="0"/>
      </w:pPr>
      <w:r>
        <w:t>This is the heart of the dispute. Air Products argues that the combination of Airgas’s classified board and its poison pill makes a successful takeover “realistically unattainable.” ...</w:t>
      </w:r>
    </w:p>
    <w:p w14:paraId="1D0E23DD" w14:textId="77777777" w:rsidR="007E4F16" w:rsidRDefault="002D2B47" w:rsidP="00230600">
      <w:pPr>
        <w:pStyle w:val="CaseParagraph"/>
        <w:numPr>
          <w:ilvl w:val="0"/>
          <w:numId w:val="23"/>
        </w:numPr>
        <w:ind w:left="0" w:firstLine="0"/>
      </w:pPr>
      <w:r>
        <w:t>Air Products has already proven that a proxy contest is not impossible. It successfully elected three directors in 2010. It can run another slate of directors at the next annual meeting in September 2011. If it succeeds, it will have replaced a majority of the board. The new board would then be free to redeem the pill and accept the offer. ... The fact that this path takes time does not render it “realistically unattainable.” ...</w:t>
      </w:r>
    </w:p>
    <w:p w14:paraId="428291E7" w14:textId="77777777" w:rsidR="007E4F16" w:rsidRDefault="002D2B47" w:rsidP="00230600">
      <w:pPr>
        <w:pStyle w:val="CaseParagraph"/>
        <w:numPr>
          <w:ilvl w:val="0"/>
          <w:numId w:val="0"/>
        </w:numPr>
      </w:pPr>
      <w:r>
        <w:rPr>
          <w:b/>
        </w:rPr>
        <w:t>Is the Pill Within the Range of Reasonableness?</w:t>
      </w:r>
    </w:p>
    <w:p w14:paraId="262422BC" w14:textId="77777777" w:rsidR="007E4F16" w:rsidRDefault="002D2B47" w:rsidP="00230600">
      <w:pPr>
        <w:pStyle w:val="CaseParagraph"/>
        <w:numPr>
          <w:ilvl w:val="0"/>
          <w:numId w:val="23"/>
        </w:numPr>
        <w:ind w:left="0" w:firstLine="0"/>
      </w:pPr>
      <w:r>
        <w:t>Since the pill is neither coercive nor preclusive, the final question is whether it falls within a range of reasonableness. The Airgas board believes that the $70 offer is significantly below the company’s intrinsic value. The board is protecting the stockholders from selling their shares at a discount. This is a legitimate corporate purpose.</w:t>
      </w:r>
    </w:p>
    <w:p w14:paraId="53555BA4" w14:textId="77777777" w:rsidR="007E4F16" w:rsidRDefault="002D2B47" w:rsidP="00230600">
      <w:pPr>
        <w:pStyle w:val="CaseParagraph"/>
        <w:numPr>
          <w:ilvl w:val="0"/>
          <w:numId w:val="23"/>
        </w:numPr>
        <w:ind w:left="0" w:firstLine="0"/>
      </w:pPr>
      <w:r>
        <w:t>Air Products argues that “enough is enough.” It has been over a year. The stockholders should be allowed to decide. This argument has a certain appeal. But it is inconsistent with Delaware law. ... “Directors, while not ignoring the wishes of a majority of shareholders, are not obliged to abandon a deliberately conceived corporate plan for a short-term shareholder profit unless there is clearly no basis to sustain the corporate strategy.”</w:t>
      </w:r>
    </w:p>
    <w:p w14:paraId="0CA97826" w14:textId="77777777" w:rsidR="007E4F16" w:rsidRDefault="002D2B47" w:rsidP="00230600">
      <w:pPr>
        <w:pStyle w:val="CaseParagraph"/>
        <w:numPr>
          <w:ilvl w:val="0"/>
          <w:numId w:val="23"/>
        </w:numPr>
        <w:ind w:left="0" w:firstLine="0"/>
      </w:pPr>
      <w:r>
        <w:t>The “just say no” defense is a valid strategy under Delaware law, provided the board acts in good faith and reasonably. ... Therefore, Air Products’ request for declaratory and injunctive relief is DENIED.</w:t>
      </w:r>
    </w:p>
    <w:p w14:paraId="5C730DEA" w14:textId="77777777" w:rsidR="007E4F16" w:rsidRDefault="00230600" w:rsidP="00230600">
      <w:pPr>
        <w:pStyle w:val="CaseInternalHeading"/>
      </w:pPr>
      <w:r>
        <w:rPr>
          <w:i/>
          <w:iCs/>
        </w:rPr>
        <w:t>Unocal</w:t>
      </w:r>
      <w:r>
        <w:t xml:space="preserve"> and </w:t>
      </w:r>
      <w:r>
        <w:rPr>
          <w:i/>
          <w:iCs/>
        </w:rPr>
        <w:t>Air Products</w:t>
      </w:r>
      <w:r>
        <w:t xml:space="preserve"> Notes and Questions</w:t>
      </w:r>
    </w:p>
    <w:p w14:paraId="44E9A81E" w14:textId="77777777" w:rsidR="007E4F16" w:rsidRDefault="002D2B47">
      <w:pPr>
        <w:numPr>
          <w:ilvl w:val="0"/>
          <w:numId w:val="3"/>
        </w:numPr>
        <w:spacing w:after="0"/>
      </w:pPr>
      <w:r>
        <w:rPr>
          <w:b/>
        </w:rPr>
        <w:t>The “Omnipresent Specter” of Public Choice.</w:t>
      </w:r>
      <w:r>
        <w:t xml:space="preserve"> The </w:t>
      </w:r>
      <w:r>
        <w:rPr>
          <w:i/>
        </w:rPr>
        <w:t>Unocal</w:t>
      </w:r>
      <w:r>
        <w:t xml:space="preserve"> court justified its enhanced scrutiny test by citing the omnipresent specter that a board may be acting primarily in its own interests. From a public choice perspective, this test acknowledges that managers are an interest group with a strong incentive to entrench themselves. By shifting the burden of proof to the directors to show a threat and proportionality, the court attempts to filter out entrenchment-motivated defenses while allowing defenses that genuinely protect the corporate enterprise.</w:t>
      </w:r>
    </w:p>
    <w:p w14:paraId="52E36622" w14:textId="77777777" w:rsidR="007E4F16" w:rsidRDefault="002D2B47">
      <w:pPr>
        <w:numPr>
          <w:ilvl w:val="0"/>
          <w:numId w:val="3"/>
        </w:numPr>
        <w:spacing w:after="0"/>
      </w:pPr>
      <w:r>
        <w:rPr>
          <w:b/>
        </w:rPr>
        <w:lastRenderedPageBreak/>
        <w:t>Substantive Coercion and the Nanny State.</w:t>
      </w:r>
      <w:r>
        <w:t xml:space="preserve"> In </w:t>
      </w:r>
      <w:r>
        <w:rPr>
          <w:i/>
        </w:rPr>
        <w:t>Airgas</w:t>
      </w:r>
      <w:r>
        <w:t>, the court accepted the threat of substantive coercion—the idea that shareholders might mistakenly accept an inadequate offer because they do not understand the company’s true value. This doctrine essentially allows the board to act as a paternalistic guardian, overruling the expressed will of the owners of the firm. Does this doctrine protect long-term value, or does it simply provide a convenient cover story for managers who want to keep their jobs?</w:t>
      </w:r>
    </w:p>
    <w:p w14:paraId="78D1FB04" w14:textId="77777777" w:rsidR="007E4F16" w:rsidRDefault="002D2B47">
      <w:pPr>
        <w:numPr>
          <w:ilvl w:val="0"/>
          <w:numId w:val="3"/>
        </w:numPr>
        <w:spacing w:after="0"/>
      </w:pPr>
      <w:r>
        <w:rPr>
          <w:b/>
        </w:rPr>
        <w:t>The Political Power of the Pill.</w:t>
      </w:r>
      <w:r>
        <w:t xml:space="preserve"> The poison pill is the ultimate weapon in the managerial arsenal because it allows the board to dilute a hostile bidder into irrelevance. </w:t>
      </w:r>
      <w:r>
        <w:rPr>
          <w:i/>
        </w:rPr>
        <w:t>Airgas</w:t>
      </w:r>
      <w:r>
        <w:t xml:space="preserve"> confirms that a board can keep a pill in place indefinitely, provided the bidder has a theoretical path to win a proxy fight. This ruling tilted the political equilibrium heavily in favor of incumbent managers. By forcing a hostile bidder to win two consecutive elections to take control of a classified board, the law imposes a significant tax on hostile takeovers, reducing the disciplinary power of the market for corporate control.</w:t>
      </w:r>
    </w:p>
    <w:p w14:paraId="2A97D266" w14:textId="77777777" w:rsidR="00E27303" w:rsidRDefault="00845189">
      <w:pPr>
        <w:pStyle w:val="GuidingQuestions"/>
      </w:pPr>
      <w:r>
        <w:t>In Revlon, the court held that once a company’s breakup becomes inevitable, the board must maximize shareholder value in the short term. Paramount v. Time asks whether the same duty is triggered when a board pursues a stock-for-stock combination that leaves corporate control dispersed in public markets—even when a higher all-cash offer is available. As you read the case, consider whether the distinction the court draws between a “change of control” and a “change of strategic direction” is a workable line or</w:t>
      </w:r>
      <w:r>
        <w:t xml:space="preserve"> an invitation to circumvent Revlon. Time’s board restructured its deal specifically to avoid a shareholder vote—does Unocal permit a board to deprive its shareholders of that vote as part of a defensive response? And what threats beyond inadequate price does the court recognize as cognizable under Unocal’s first prong?</w:t>
      </w:r>
    </w:p>
    <w:p w14:paraId="1D6F55F8" w14:textId="77777777" w:rsidR="00E27303" w:rsidRDefault="00845189">
      <w:pPr>
        <w:pStyle w:val="CaseInternalHeading"/>
      </w:pPr>
      <w:r>
        <w:t>Paramount Communications, Inc. v. Time, Inc., 571 A.2d 1140 (Del. 1990)</w:t>
      </w:r>
    </w:p>
    <w:p w14:paraId="5341C670" w14:textId="77777777" w:rsidR="00E27303" w:rsidRDefault="00845189" w:rsidP="00E3418D">
      <w:pPr>
        <w:pStyle w:val="CaseParagraph"/>
        <w:numPr>
          <w:ilvl w:val="0"/>
          <w:numId w:val="30"/>
        </w:numPr>
        <w:ind w:left="0" w:firstLine="0"/>
      </w:pPr>
      <w:r>
        <w:t>Paramount Communications, Inc. (“Paramount”) and two other groups of plaintiffs (“Shareholder Plaintiffs”), shareholders of Time Incorporated (“Time”), a Delaware corporation, separately filed suits in the Delaware Court of Chancery seeking a preliminary injunction to halt Time’s tender offer for 51% of Warner Communication, Inc.’s (“Warner”) outstanding shares at $70 cash per share.</w:t>
      </w:r>
    </w:p>
    <w:p w14:paraId="1D668B22" w14:textId="77777777" w:rsidR="00E27303" w:rsidRDefault="00845189" w:rsidP="00E3418D">
      <w:pPr>
        <w:pStyle w:val="CaseParagraph"/>
        <w:numPr>
          <w:ilvl w:val="0"/>
          <w:numId w:val="30"/>
        </w:numPr>
        <w:ind w:left="0" w:firstLine="0"/>
      </w:pPr>
      <w:r>
        <w:t>The court below consolidated the cases and, following the development of an extensive record, after discovery and an evidentiary hearing, denied plaintiffs’ motion.</w:t>
      </w:r>
    </w:p>
    <w:p w14:paraId="01F46608" w14:textId="77777777" w:rsidR="00E27303" w:rsidRDefault="00845189" w:rsidP="00E3418D">
      <w:pPr>
        <w:pStyle w:val="CaseParagraph"/>
        <w:numPr>
          <w:ilvl w:val="0"/>
          <w:numId w:val="30"/>
        </w:numPr>
        <w:ind w:left="0" w:firstLine="0"/>
      </w:pPr>
      <w:r>
        <w:t xml:space="preserve">… The principal ground for reversal, asserted by all plaintiffs, is that Paramount’s June 7, 1989 uninvited all-cash, all-shares, “fully negotiable” (though </w:t>
      </w:r>
      <w:r>
        <w:lastRenderedPageBreak/>
        <w:t>conditional) tender offer for Time triggered duties under Unocal, and that Time’s board of directors, in responding to Paramount’s offer, breached those duties.</w:t>
      </w:r>
    </w:p>
    <w:p w14:paraId="17FAE9BF" w14:textId="77777777" w:rsidR="00E27303" w:rsidRDefault="00845189" w:rsidP="00E3418D">
      <w:pPr>
        <w:pStyle w:val="CaseParagraph"/>
        <w:numPr>
          <w:ilvl w:val="0"/>
          <w:numId w:val="30"/>
        </w:numPr>
        <w:ind w:left="0" w:firstLine="0"/>
      </w:pPr>
      <w:r>
        <w:t>Shareholder Plaintiffs also assert a claim based on Revlon. They argue that the original Time-Warner merger agreement of March 4, 1989 resulted in a change of control which effectively put Time up for sale, thereby triggering Revlon duties. Those plaintiffs argue that Time’s board breached its Revlon duties by failing, in the face of the change of control, to maximize shareholder value in the immediate term.</w:t>
      </w:r>
    </w:p>
    <w:p w14:paraId="0FE5F7A5" w14:textId="77777777" w:rsidR="00E27303" w:rsidRDefault="00845189" w:rsidP="00E3418D">
      <w:pPr>
        <w:pStyle w:val="CaseParagraph"/>
        <w:numPr>
          <w:ilvl w:val="0"/>
          <w:numId w:val="30"/>
        </w:numPr>
        <w:ind w:left="0" w:firstLine="0"/>
      </w:pPr>
      <w:r>
        <w:t>Applying our standard of review, we affirm the Chancellor’s ultimate finding and conclusion under Unocal.</w:t>
      </w:r>
    </w:p>
    <w:p w14:paraId="045A225A" w14:textId="77777777" w:rsidR="00E27303" w:rsidRDefault="00845189" w:rsidP="00E3418D">
      <w:pPr>
        <w:pStyle w:val="CaseParagraph"/>
        <w:numPr>
          <w:ilvl w:val="0"/>
          <w:numId w:val="30"/>
        </w:numPr>
        <w:ind w:left="0" w:firstLine="0"/>
      </w:pPr>
      <w:r>
        <w:t>We find that Paramount’s tender offer was reasonably perceived by Time’s board to pose a threat to Time and that the Time board’s “response” to that threat was, under the circumstances, reasonable and proportionate.</w:t>
      </w:r>
    </w:p>
    <w:p w14:paraId="10E48D06" w14:textId="77777777" w:rsidR="00E27303" w:rsidRDefault="00845189" w:rsidP="00E3418D">
      <w:pPr>
        <w:pStyle w:val="CaseParagraph"/>
        <w:numPr>
          <w:ilvl w:val="0"/>
          <w:numId w:val="30"/>
        </w:numPr>
        <w:ind w:left="0" w:firstLine="0"/>
      </w:pPr>
      <w:r>
        <w:t>Applying Unocal, we reject the argument that the only corporate threat posed by an all-shares, all-cash tender offer is the possibility of inadequate value.</w:t>
      </w:r>
    </w:p>
    <w:p w14:paraId="2B02C6BE" w14:textId="77777777" w:rsidR="00E27303" w:rsidRDefault="00845189" w:rsidP="00E3418D">
      <w:pPr>
        <w:pStyle w:val="CaseParagraph"/>
        <w:numPr>
          <w:ilvl w:val="0"/>
          <w:numId w:val="30"/>
        </w:numPr>
        <w:ind w:left="0" w:firstLine="0"/>
      </w:pPr>
      <w:r>
        <w:t>We also find that Time’s board did not by entering into its initial merger agreement with Warner come under a Revlon duty either to auction the company or to maximize short-term shareholder value, notwithstanding the unequal share exchange.</w:t>
      </w:r>
    </w:p>
    <w:p w14:paraId="248F3D45" w14:textId="77777777" w:rsidR="00E27303" w:rsidRDefault="00845189" w:rsidP="00E3418D">
      <w:pPr>
        <w:pStyle w:val="CaseParagraph"/>
        <w:numPr>
          <w:ilvl w:val="0"/>
          <w:numId w:val="30"/>
        </w:numPr>
        <w:ind w:left="0" w:firstLine="0"/>
      </w:pPr>
      <w:r>
        <w:t>Therefore, the Time board’s original plan of merger with Warner was subject only to a business judgment rule analysis.</w:t>
      </w:r>
    </w:p>
    <w:p w14:paraId="262E362B" w14:textId="77777777" w:rsidR="00E27303" w:rsidRDefault="00845189" w:rsidP="002B437E">
      <w:pPr>
        <w:pStyle w:val="CaseParagraph"/>
        <w:numPr>
          <w:ilvl w:val="0"/>
          <w:numId w:val="0"/>
        </w:numPr>
      </w:pPr>
      <w:r>
        <w:t>I</w:t>
      </w:r>
    </w:p>
    <w:p w14:paraId="2B7E1E2F" w14:textId="3138F10F" w:rsidR="00E27303" w:rsidRDefault="00845189" w:rsidP="002B437E">
      <w:pPr>
        <w:pStyle w:val="CaseParagraph"/>
        <w:numPr>
          <w:ilvl w:val="0"/>
          <w:numId w:val="30"/>
        </w:numPr>
        <w:ind w:left="0" w:firstLine="0"/>
      </w:pPr>
      <w:r>
        <w:t>Time is a Delaware corporation with its principal offices in New York City. Time’s traditional business is publication of magazines and books; however, Time also provides pay television programming through its Home Box Office, Inc. and Cinemax subsidiaries. In addition, Time owns and operates cable television franchises through its subsidiary, American Television and Communication Corporation. During the relevant time period, Time’s board consisted of sixteen directors. Twelve of the directors were “outside</w:t>
      </w:r>
      <w:r>
        <w:t>,” nonemployee directors. Four of the directors were also officers of the company.…</w:t>
      </w:r>
    </w:p>
    <w:p w14:paraId="09A6C219" w14:textId="50B956A4" w:rsidR="00E27303" w:rsidRDefault="00845189" w:rsidP="002B437E">
      <w:pPr>
        <w:pStyle w:val="CaseParagraph"/>
        <w:numPr>
          <w:ilvl w:val="0"/>
          <w:numId w:val="30"/>
        </w:numPr>
        <w:ind w:left="0" w:firstLine="0"/>
      </w:pPr>
      <w:r>
        <w:t>As early as 1983 and 1984, Time’s executive board began considering expanding Time’s operations into the entertainment industry. In 1987, Time established a special committee of executives to consider and propose corporate strategies for the 1990s. The consensus of the committee was that Time should move ahead in the area of ownership and creation of video programming. This expansion, as the Chancellor noted, was predicated upon two considerations: first, Time’s desire to have greater control, in terms of q</w:t>
      </w:r>
      <w:r>
        <w:t>uality and price, over the film products delivered by way of its cable network and franchises; and second, Time’s concern over the increasing globalization of the world economy.…</w:t>
      </w:r>
    </w:p>
    <w:p w14:paraId="4F44463A" w14:textId="1BF4EF91" w:rsidR="00E27303" w:rsidRDefault="00845189" w:rsidP="002B437E">
      <w:pPr>
        <w:pStyle w:val="CaseParagraph"/>
        <w:numPr>
          <w:ilvl w:val="0"/>
          <w:numId w:val="30"/>
        </w:numPr>
        <w:ind w:left="0" w:firstLine="0"/>
      </w:pPr>
      <w:r>
        <w:lastRenderedPageBreak/>
        <w:t>From the outset, Time’s board favored an all-cash or cash and securities acquisition of Warner as the basis for consolidation. … However, Steve Ross, Warner’s CEO, was adamant that a business combination was only practicable on a stock-for-stock basis. Warner insisted on a stock swap in order to preserve its shareholders’ equity in the resulting corporation. Time’s officers, on the other hand, made it abundantly clear that Time would be the acquiring corporation and that Time would control the resulting boa</w:t>
      </w:r>
      <w:r>
        <w:t>rd.…</w:t>
      </w:r>
    </w:p>
    <w:p w14:paraId="0946F11F" w14:textId="77777777" w:rsidR="00E27303" w:rsidRDefault="00845189" w:rsidP="00E3418D">
      <w:pPr>
        <w:pStyle w:val="CaseParagraph"/>
        <w:numPr>
          <w:ilvl w:val="0"/>
          <w:numId w:val="30"/>
        </w:numPr>
        <w:ind w:left="0" w:firstLine="0"/>
      </w:pPr>
      <w:r>
        <w:t>On March 3, 1989, Time’s board, with all but one director in attendance, met and unanimously approved the stock-for-stock merger with Warner.</w:t>
      </w:r>
    </w:p>
    <w:p w14:paraId="019CE1C5" w14:textId="77777777" w:rsidR="00E27303" w:rsidRDefault="00845189" w:rsidP="00E3418D">
      <w:pPr>
        <w:pStyle w:val="CaseParagraph"/>
        <w:numPr>
          <w:ilvl w:val="0"/>
          <w:numId w:val="30"/>
        </w:numPr>
        <w:ind w:left="0" w:firstLine="0"/>
      </w:pPr>
      <w:r>
        <w:t>The rules of the New York Stock Exchange required that Time’s issuance of shares to effectuate the merger be approved by a vote of Time’s stockholders. The Delaware General Corporation Law required approval of the merger by a majority of the Warner stockholders. Delaware law did not require any vote by Time stockholders.</w:t>
      </w:r>
    </w:p>
    <w:p w14:paraId="34108B11" w14:textId="75A38A0B" w:rsidR="00E27303" w:rsidRDefault="00845189" w:rsidP="002B437E">
      <w:pPr>
        <w:pStyle w:val="CaseParagraph"/>
        <w:numPr>
          <w:ilvl w:val="0"/>
          <w:numId w:val="30"/>
        </w:numPr>
        <w:ind w:left="0" w:firstLine="0"/>
      </w:pPr>
      <w:r>
        <w:t>At its March 3, 1989 meeting, Time’s board adopted several defensive tactics. Time entered an automatic share exchange agreement with Warner. … Time also agreed to a “no-shop” clause, preventing Time from considering any other consolidation proposal, thus relinquishing its power to consider other proposals, regardless of their merits. Time did so at Warner’s insistence. Warner did not want to be left “on the auction block” for an unfriendly suitor, if Time were to withdraw from the deal.…</w:t>
      </w:r>
    </w:p>
    <w:p w14:paraId="0268FE88" w14:textId="10AA81B6" w:rsidR="00E27303" w:rsidRDefault="00845189" w:rsidP="002B437E">
      <w:pPr>
        <w:pStyle w:val="CaseParagraph"/>
        <w:numPr>
          <w:ilvl w:val="0"/>
          <w:numId w:val="30"/>
        </w:numPr>
        <w:ind w:left="0" w:firstLine="0"/>
      </w:pPr>
      <w:r>
        <w:t>On June 7, 1989, these wishful assumptions were shattered by Paramount’s surprising announcement of its all-cash offer to purchase all outstanding shares of Time for $175 per share. The following day, June 8, the trading price of Time’s stock rose from $126 to $170 per share. Paramount’s offer was said to be “fully negotiable.”…</w:t>
      </w:r>
    </w:p>
    <w:p w14:paraId="469C7EBF" w14:textId="369E9B05" w:rsidR="00E27303" w:rsidRDefault="00845189" w:rsidP="002B437E">
      <w:pPr>
        <w:pStyle w:val="CaseParagraph"/>
        <w:numPr>
          <w:ilvl w:val="0"/>
          <w:numId w:val="30"/>
        </w:numPr>
        <w:ind w:left="0" w:firstLine="0"/>
      </w:pPr>
      <w:r>
        <w:t>Over the following eight days, Time’s board met three times to discuss Paramount’s $175 offer. The board viewed Paramount’s offer as inadequate and concluded that its proposed merger with Warner was the better course of action. Therefore, the board declined to open any negotiations with Paramount and held steady its course toward a merger with Warner.…</w:t>
      </w:r>
    </w:p>
    <w:p w14:paraId="7CB731CF" w14:textId="77777777" w:rsidR="00E27303" w:rsidRDefault="00845189" w:rsidP="00E3418D">
      <w:pPr>
        <w:pStyle w:val="CaseParagraph"/>
        <w:numPr>
          <w:ilvl w:val="0"/>
          <w:numId w:val="30"/>
        </w:numPr>
        <w:ind w:left="0" w:firstLine="0"/>
      </w:pPr>
      <w:r>
        <w:t>The following day, June 16, Time’s board met to take up Paramount’s offer. The board’s prevailing belief was that Paramount’s bid posed a threat to Time’s control of its own destiny and retention of the “Time Culture.” … Finally, Time’s board formally rejected Paramount’s offer.</w:t>
      </w:r>
    </w:p>
    <w:p w14:paraId="3E6CF90F" w14:textId="4853D7A0" w:rsidR="00E27303" w:rsidRDefault="00845189" w:rsidP="002B437E">
      <w:pPr>
        <w:pStyle w:val="CaseParagraph"/>
        <w:numPr>
          <w:ilvl w:val="0"/>
          <w:numId w:val="30"/>
        </w:numPr>
        <w:ind w:left="0" w:firstLine="0"/>
      </w:pPr>
      <w:r>
        <w:t xml:space="preserve">At the same meeting, Time’s board decided to recast its consolidation with Warner into an outright cash and securities acquisition of Warner by Time; and Time so informed Warner. Time accordingly restructured its proposal to acquire Warner as follows: Time would make an immediate all-cash offer for 51% of Warner’s outstanding stock at $70 per share. The remaining 49% would be </w:t>
      </w:r>
      <w:r>
        <w:lastRenderedPageBreak/>
        <w:t>purchased at some later date for a mixture of cash and securities worth $70 per share. To provide the funds required for its outright acquisition of Warner, Time would assume 7–10 billion dollars worth of debt, thus eliminating one of the principal transaction-related benefits of the original merger agreement. Nine billion dollars of the total purchase price would be allocated to the purchase of Warner’s goodwill.…</w:t>
      </w:r>
    </w:p>
    <w:p w14:paraId="759B934E" w14:textId="77777777" w:rsidR="00E27303" w:rsidRDefault="00845189" w:rsidP="00E3418D">
      <w:pPr>
        <w:pStyle w:val="CaseParagraph"/>
        <w:numPr>
          <w:ilvl w:val="0"/>
          <w:numId w:val="30"/>
        </w:numPr>
        <w:ind w:left="0" w:firstLine="0"/>
      </w:pPr>
      <w:r>
        <w:t>On June 23, 1989, Paramount raised its all-cash offer to buy Time’s outstanding stock to $200 per share. Paramount still professed that all aspects of the offer were negotiable.</w:t>
      </w:r>
    </w:p>
    <w:p w14:paraId="6C6F15E3" w14:textId="77777777" w:rsidR="00E27303" w:rsidRDefault="00845189" w:rsidP="00E3418D">
      <w:pPr>
        <w:pStyle w:val="CaseParagraph"/>
        <w:numPr>
          <w:ilvl w:val="0"/>
          <w:numId w:val="30"/>
        </w:numPr>
        <w:ind w:left="0" w:firstLine="0"/>
      </w:pPr>
      <w:r>
        <w:t>Time’s board met on June 26, 1989 and formally rejected Paramount’s $200 per share second offer. … The Time board maintained that the Warner transaction offered a greater long-term value for the stockholders and, unlike Paramount’s offer, did not pose a threat to Time’s survival and its “culture.” Paramount then filed this action in the Court of Chancery.</w:t>
      </w:r>
    </w:p>
    <w:p w14:paraId="7CA79DB9" w14:textId="77777777" w:rsidR="00E27303" w:rsidRDefault="00845189" w:rsidP="002B437E">
      <w:pPr>
        <w:pStyle w:val="CaseParagraph"/>
        <w:numPr>
          <w:ilvl w:val="0"/>
          <w:numId w:val="0"/>
        </w:numPr>
      </w:pPr>
      <w:r>
        <w:t>II</w:t>
      </w:r>
    </w:p>
    <w:p w14:paraId="4334E6AC" w14:textId="167B3D30" w:rsidR="00E27303" w:rsidRDefault="00845189" w:rsidP="002B437E">
      <w:pPr>
        <w:pStyle w:val="CaseParagraph"/>
        <w:numPr>
          <w:ilvl w:val="0"/>
          <w:numId w:val="30"/>
        </w:numPr>
        <w:ind w:left="0" w:firstLine="0"/>
      </w:pPr>
      <w:r>
        <w:t>The Shareholder Plaintiffs first assert a Revlon claim. They contend that the March 4 Time-Warner agreement effectively put Time up for sale, triggering Revlon duties, requiring Time’s board to enhance short-term shareholder value and to treat all other interested acquirors on an equal basis.…</w:t>
      </w:r>
    </w:p>
    <w:p w14:paraId="5F822435" w14:textId="77777777" w:rsidR="00E27303" w:rsidRDefault="00845189" w:rsidP="00E3418D">
      <w:pPr>
        <w:pStyle w:val="CaseParagraph"/>
        <w:numPr>
          <w:ilvl w:val="0"/>
          <w:numId w:val="30"/>
        </w:numPr>
        <w:ind w:left="0" w:firstLine="0"/>
      </w:pPr>
      <w:r>
        <w:t>The Court of Chancery posed the pivotal question presented by this case to be: Under what circumstances must a board of directors abandon an in-place plan of corporate development in order to provide its shareholders with the option to elect and realize an immediate control premium? As applied to this case, the question becomes: Did Time’s Board, having developed a strategic plan of global expansion to be launched through a business combination with Warner, come under a fiduciary duty to jettison its plan a</w:t>
      </w:r>
      <w:r>
        <w:t>nd put the corporation’s future in the hands of its shareholders?</w:t>
      </w:r>
    </w:p>
    <w:p w14:paraId="1EB3E949" w14:textId="77777777" w:rsidR="00E27303" w:rsidRDefault="00845189" w:rsidP="00E3418D">
      <w:pPr>
        <w:pStyle w:val="CaseParagraph"/>
        <w:numPr>
          <w:ilvl w:val="0"/>
          <w:numId w:val="30"/>
        </w:numPr>
        <w:ind w:left="0" w:firstLine="0"/>
      </w:pPr>
      <w:r>
        <w:t>While we affirm the result reached by the Chancellor, we think it unwise to place undue emphasis upon long-term versus short-term corporate strategy. Two key predicates underpin our analysis. First, Delaware law imposes on a board of directors the duty to manage the business and affairs of the corporation. 8 Del. C. § 141(a). This broad mandate includes a conferred authority to set a corporate course of action, including time frame, designed to enhance corporate profitability. Thus, the question of “long-te</w:t>
      </w:r>
      <w:r>
        <w:t>rm” versus “short-term” values is largely irrelevant because directors, generally, are obliged to charter a course for a corporation which is in its best interest without regard to a fixed investment horizon. Second, absent a limited set of circumstances as defined under Revlon, a board of directors, while always required to act in an informed manner, is not under any per se duty to maximize shareholder value in the short term, even in the context of a takeover.</w:t>
      </w:r>
    </w:p>
    <w:p w14:paraId="77095BCD" w14:textId="77777777" w:rsidR="00E27303" w:rsidRDefault="00845189" w:rsidP="00E3418D">
      <w:pPr>
        <w:pStyle w:val="CaseParagraph"/>
        <w:numPr>
          <w:ilvl w:val="0"/>
          <w:numId w:val="30"/>
        </w:numPr>
        <w:ind w:left="0" w:firstLine="0"/>
      </w:pPr>
      <w:r>
        <w:lastRenderedPageBreak/>
        <w:t>In our view, the pivotal question presented by this case is: “Did Time, by entering into the proposed merger with Warner, put itself up for sale?” A resolution of that issue through application of Revlon has a significant bearing upon the resolution of the derivative Unocal issue.</w:t>
      </w:r>
    </w:p>
    <w:p w14:paraId="3D13AFD9" w14:textId="77777777" w:rsidR="00E27303" w:rsidRDefault="00845189" w:rsidP="002B437E">
      <w:pPr>
        <w:pStyle w:val="CaseParagraph"/>
        <w:numPr>
          <w:ilvl w:val="0"/>
          <w:numId w:val="0"/>
        </w:numPr>
      </w:pPr>
      <w:r>
        <w:t>A.</w:t>
      </w:r>
    </w:p>
    <w:p w14:paraId="374DF2B9" w14:textId="77777777" w:rsidR="00E27303" w:rsidRDefault="00845189" w:rsidP="00E3418D">
      <w:pPr>
        <w:pStyle w:val="CaseParagraph"/>
        <w:numPr>
          <w:ilvl w:val="0"/>
          <w:numId w:val="30"/>
        </w:numPr>
        <w:ind w:left="0" w:firstLine="0"/>
      </w:pPr>
      <w:r>
        <w:t>We first take up plaintiffs’ principal Revlon argument, summarized above. In rejecting this argument, the Chancellor found the original Time-Warner merger agreement not to constitute a “change of control” and concluded that the transaction did not trigger Revlon duties. … However, we premise our rejection of plaintiffs’ Revlon claim on different grounds, namely, the absence of any substantial evidence to conclude that Time’s board, in negotiating with Warner, made the dissolution or breakup of the corporate</w:t>
      </w:r>
      <w:r>
        <w:t xml:space="preserve"> entity inevitable, as was the case in Revlon.</w:t>
      </w:r>
    </w:p>
    <w:p w14:paraId="44656359" w14:textId="77777777" w:rsidR="00E27303" w:rsidRDefault="00845189" w:rsidP="00E3418D">
      <w:pPr>
        <w:pStyle w:val="CaseParagraph"/>
        <w:numPr>
          <w:ilvl w:val="0"/>
          <w:numId w:val="30"/>
        </w:numPr>
        <w:ind w:left="0" w:firstLine="0"/>
      </w:pPr>
      <w:r>
        <w:t>Under Delaware law there are, generally speaking and without excluding other possibilities, two circumstances which may implicate Revlon duties. The first, and clearer one, is when a corporation initiates an active bidding process seeking to sell itself or to effect a business reorganization involving a clear break-up of the company. However, Revlon duties may also be triggered where, in response to a bidder’s offer, a target abandons its long-term strategy and seeks an alternative transaction also involvin</w:t>
      </w:r>
      <w:r>
        <w:t>g the breakup of the company. Thus, in Revlon, when the board responded to Pantry Pride’s offer by contemplating a “bust-up” sale of assets in a leveraged acquisition, we imposed upon the board a duty to maximize immediate shareholder value and an obligation to auction the company fairly. If, however, the board’s reaction to a hostile tender offer is found to constitute only a defensive response and not an abandonment of the corporation’s continued existence, Revlon duties are not triggered, though Unocal d</w:t>
      </w:r>
      <w:r>
        <w:t>uties attach.</w:t>
      </w:r>
    </w:p>
    <w:p w14:paraId="00A11365" w14:textId="77777777" w:rsidR="00E27303" w:rsidRDefault="00845189" w:rsidP="00E3418D">
      <w:pPr>
        <w:pStyle w:val="CaseParagraph"/>
        <w:numPr>
          <w:ilvl w:val="0"/>
          <w:numId w:val="30"/>
        </w:numPr>
        <w:ind w:left="0" w:firstLine="0"/>
      </w:pPr>
      <w:r>
        <w:t>We agree with the Chancellor that such evidence is entirely insufficient to invoke Revlon duties; and we decline to extend Revlon’s application to corporate transactions simply because they might be construed as putting a corporation either “in play” or “up for sale.” The adoption of structural safety devices alone does not trigger Revlon. Rather, as the Chancellor stated, such devices are properly subject to a Unocal analysis.</w:t>
      </w:r>
    </w:p>
    <w:p w14:paraId="3E71B6CC" w14:textId="77777777" w:rsidR="00E27303" w:rsidRDefault="00845189" w:rsidP="00E3418D">
      <w:pPr>
        <w:pStyle w:val="CaseParagraph"/>
        <w:numPr>
          <w:ilvl w:val="0"/>
          <w:numId w:val="30"/>
        </w:numPr>
        <w:ind w:left="0" w:firstLine="0"/>
      </w:pPr>
      <w:r>
        <w:t>… we do not find in Time’s recasting of its merger agreement with Warner from a share exchange to a share purchase a basis to conclude that Time had either abandoned its strategic plan or made a sale of Time inevitable. … The legal consequence is that Unocal alone applies to determine whether the business judgment rule attaches to the revised agreement.</w:t>
      </w:r>
    </w:p>
    <w:p w14:paraId="2B7E974A" w14:textId="77777777" w:rsidR="00E27303" w:rsidRDefault="00845189" w:rsidP="002B437E">
      <w:pPr>
        <w:pStyle w:val="CaseParagraph"/>
        <w:numPr>
          <w:ilvl w:val="0"/>
          <w:numId w:val="0"/>
        </w:numPr>
      </w:pPr>
      <w:r>
        <w:t>B.</w:t>
      </w:r>
    </w:p>
    <w:p w14:paraId="327EB565" w14:textId="77777777" w:rsidR="00E27303" w:rsidRDefault="00845189" w:rsidP="00E3418D">
      <w:pPr>
        <w:pStyle w:val="CaseParagraph"/>
        <w:numPr>
          <w:ilvl w:val="0"/>
          <w:numId w:val="30"/>
        </w:numPr>
        <w:ind w:left="0" w:firstLine="0"/>
      </w:pPr>
      <w:r>
        <w:t xml:space="preserve">We turn now to plaintiffs’ Unocal claim. … Our task is simply to review the record to determine whether there is sufficient evidence to support the Chancellor’s </w:t>
      </w:r>
      <w:r>
        <w:lastRenderedPageBreak/>
        <w:t>conclusion that the initial Time-Warner agreement was the product of a proper exercise of business judgment.</w:t>
      </w:r>
    </w:p>
    <w:p w14:paraId="4201B06B" w14:textId="77777777" w:rsidR="00E27303" w:rsidRDefault="00845189" w:rsidP="00E3418D">
      <w:pPr>
        <w:pStyle w:val="CaseParagraph"/>
        <w:numPr>
          <w:ilvl w:val="0"/>
          <w:numId w:val="30"/>
        </w:numPr>
        <w:ind w:left="0" w:firstLine="0"/>
      </w:pPr>
      <w:r>
        <w:t>We have purposely detailed the evidence of the Time board’s deliberative approach, beginning in 1983–84, to expand itself. Time’s decision in 1988 to combine with Warner was made only after what could be fairly characterized as an exhaustive appraisal of Time’s future as a corporation. … We find ample evidence in the record to support the Chancellor’s conclusion that the Time board’s decision to expand the business of the company through its March 3 merger with Warner was entitled to the protection of the b</w:t>
      </w:r>
      <w:r>
        <w:t>usiness judgment rule.</w:t>
      </w:r>
    </w:p>
    <w:p w14:paraId="55D9D2B6" w14:textId="77777777" w:rsidR="00E27303" w:rsidRDefault="00845189" w:rsidP="00E3418D">
      <w:pPr>
        <w:pStyle w:val="CaseParagraph"/>
        <w:numPr>
          <w:ilvl w:val="0"/>
          <w:numId w:val="30"/>
        </w:numPr>
        <w:ind w:left="0" w:firstLine="0"/>
      </w:pPr>
      <w:r>
        <w:t>The Chancellor reached a different conclusion in addressing the Time-Warner transaction as revised three months later. He found that the revised agreement was defense-motivated and designed to avoid the potentially disruptive effect that Paramount’s offer would have had on consummation of the proposed merger were it put to a shareholder vote. Thus, the court declined to apply the traditional business judgment rule to the revised transaction and instead analyzed the Time board’s June 16 decision under Unocal</w:t>
      </w:r>
      <w:r>
        <w:t>. The court ruled that Unocal applied to all director actions taken, following receipt of Paramount’s hostile tender offer, that were reasonably determined to be defensive. Clearly that was a correct ruling and no party disputes that ruling.</w:t>
      </w:r>
    </w:p>
    <w:p w14:paraId="207561CB" w14:textId="77777777" w:rsidR="00E27303" w:rsidRDefault="00845189" w:rsidP="00E3418D">
      <w:pPr>
        <w:pStyle w:val="CaseParagraph"/>
        <w:numPr>
          <w:ilvl w:val="0"/>
          <w:numId w:val="30"/>
        </w:numPr>
        <w:ind w:left="0" w:firstLine="0"/>
      </w:pPr>
      <w:r>
        <w:t>In Unocal, we held that before the business judgment rule is applied to a board’s adoption of a defensive measure, the burden will lie with the board to prove (a) reasonable grounds for believing that a danger to corporate policy and effectiveness existed; and (b) that the defensive measures adopted was reasonable in relation to the threat posed. Directors satisfy the first part of the Unocal test by demonstrating good faith and reasonable investigation.</w:t>
      </w:r>
    </w:p>
    <w:p w14:paraId="52355BC5" w14:textId="77777777" w:rsidR="00E27303" w:rsidRDefault="00845189" w:rsidP="00E3418D">
      <w:pPr>
        <w:pStyle w:val="CaseParagraph"/>
        <w:numPr>
          <w:ilvl w:val="0"/>
          <w:numId w:val="30"/>
        </w:numPr>
        <w:ind w:left="0" w:firstLine="0"/>
      </w:pPr>
      <w:r>
        <w:t>We have repeatedly stated that the refusal to entertain an offer may comport with a valid exercise of a board’s business judgment. … [I]n our view, precepts underlying the business judgment rule militate against a court’s engaging in the process of attempting to appraise and evaluate the relative merits of a long-term versus a short-term investment goal for shareholders.</w:t>
      </w:r>
    </w:p>
    <w:p w14:paraId="640E8927" w14:textId="77777777" w:rsidR="00E27303" w:rsidRDefault="00845189" w:rsidP="00E3418D">
      <w:pPr>
        <w:pStyle w:val="CaseParagraph"/>
        <w:numPr>
          <w:ilvl w:val="0"/>
          <w:numId w:val="30"/>
        </w:numPr>
        <w:ind w:left="0" w:firstLine="0"/>
      </w:pPr>
      <w:r>
        <w:t>In this case, the Time board reasonably determined that inadequate value was not the only legally cognizable threat that Paramount’s all-cash, all-shares offer could present. Time’s board concluded that Paramount’s eleventh hour offer posed other threats. One concern was that Time shareholders might elect to tender into Paramount’s cash offer in ignorance or a mistaken belief of the strategic benefit which a business combination with Warner might produce. Moreover, Time viewed the conditions attached to Par</w:t>
      </w:r>
      <w:r>
        <w:t xml:space="preserve">amount’s offer as introducing a degree of uncertainty that skewed a comparative analysis. Further, the timing of Paramount’s offer to follow issuance of Time’s proxy notice was viewed as arguably designed to upset, if not confuse, the Time stockholders’ vote. Given this record evidence, we cannot </w:t>
      </w:r>
      <w:r>
        <w:lastRenderedPageBreak/>
        <w:t>conclude that the Time board’s decision of June 6 that Paramount’s offer posed a threat to corporate policy and effectiveness was lacking in good faith or dominated by motives of either entrenchment or self-interes</w:t>
      </w:r>
      <w:r>
        <w:t>t.</w:t>
      </w:r>
    </w:p>
    <w:p w14:paraId="1CB08F49" w14:textId="77777777" w:rsidR="00E27303" w:rsidRDefault="00845189" w:rsidP="00E3418D">
      <w:pPr>
        <w:pStyle w:val="CaseParagraph"/>
        <w:numPr>
          <w:ilvl w:val="0"/>
          <w:numId w:val="30"/>
        </w:numPr>
        <w:ind w:left="0" w:firstLine="0"/>
      </w:pPr>
      <w:r>
        <w:t>… [T]he Time board’s lengthy pre-June investigation of potential merger candidates, including Paramount, mooted any obligation on Time’s part to halt its merger process with Warner to reconsider Paramount. Time’s board was under no obligation to negotiate with Paramount. Time’s failure to negotiate cannot be fairly found to have been uninformed.</w:t>
      </w:r>
    </w:p>
    <w:p w14:paraId="3C75AF7F" w14:textId="77777777" w:rsidR="00E27303" w:rsidRDefault="00845189" w:rsidP="00E3418D">
      <w:pPr>
        <w:pStyle w:val="CaseParagraph"/>
        <w:numPr>
          <w:ilvl w:val="0"/>
          <w:numId w:val="30"/>
        </w:numPr>
        <w:ind w:left="0" w:firstLine="0"/>
      </w:pPr>
      <w:r>
        <w:t>We turn to the second part of the Unocal analysis.</w:t>
      </w:r>
    </w:p>
    <w:p w14:paraId="09DA7C06" w14:textId="77777777" w:rsidR="00E27303" w:rsidRDefault="00845189" w:rsidP="00E3418D">
      <w:pPr>
        <w:pStyle w:val="CaseParagraph"/>
        <w:numPr>
          <w:ilvl w:val="0"/>
          <w:numId w:val="30"/>
        </w:numPr>
        <w:ind w:left="0" w:firstLine="0"/>
      </w:pPr>
      <w:r>
        <w:t>The obvious requisite to determining the reasonableness of a defensive action is a clear identification of the nature of the threat. As the Chancellor correctly noted, this “requires an evaluation of the importance of the corporate objective threatened; alternative methods of protecting that objective; impacts of the ‘defensive’ action, and other relevant factors.”</w:t>
      </w:r>
    </w:p>
    <w:p w14:paraId="1DD4A057" w14:textId="77777777" w:rsidR="00E27303" w:rsidRDefault="00845189" w:rsidP="00E3418D">
      <w:pPr>
        <w:pStyle w:val="CaseParagraph"/>
        <w:numPr>
          <w:ilvl w:val="0"/>
          <w:numId w:val="30"/>
        </w:numPr>
        <w:ind w:left="0" w:firstLine="0"/>
      </w:pPr>
      <w:r>
        <w:t>Paramount argues that, assuming its tender offer posed a threat, Time’s response was unreasonable in precluding Time’s shareholders from accepting the tender offer or receiving a control premium in the immediately foreseeable future. … Delaware law confers the management of the corporate enterprise to the stockholders’ duly elected board representatives. 8 Del. C. § 141(a). The fiduciary duty to manage a corporate enterprise includes the selection of a time frame for achievement of corporate goals. That dut</w:t>
      </w:r>
      <w:r>
        <w:t>y may not be delegated to the stockholders. Directors are not obliged to abandon a deliberately conceived corporate plan for a short-term shareholder profit unless there is clearly no basis to sustain the corporate strategy.</w:t>
      </w:r>
    </w:p>
    <w:p w14:paraId="0117D8E4" w14:textId="77777777" w:rsidR="00E27303" w:rsidRDefault="00845189" w:rsidP="00E3418D">
      <w:pPr>
        <w:pStyle w:val="CaseParagraph"/>
        <w:numPr>
          <w:ilvl w:val="0"/>
          <w:numId w:val="30"/>
        </w:numPr>
        <w:ind w:left="0" w:firstLine="0"/>
      </w:pPr>
      <w:r>
        <w:t>Here, on the record facts, the Chancellor found that Time’s responsive action to Paramount’s tender offer was not aimed at “cramming down” on its shareholders a management-sponsored alternative, but rather had as its goal the carrying forward of a pre-existing transaction in an altered form. Thus, the response was reasonably related to the threat. The Chancellor noted that the revised agreement and its accompanying safety devices did not preclude Paramount from making an offer for the combined Time-Warner c</w:t>
      </w:r>
      <w:r>
        <w:t>ompany or from changing the conditions of its offer so as not to make the offer dependent upon the nullification of the Time-Warner agreement. Thus, the response was proportionate. We affirm the Chancellor’s rulings as clearly supported by the record.</w:t>
      </w:r>
    </w:p>
    <w:p w14:paraId="0AE8478C" w14:textId="77777777" w:rsidR="00E27303" w:rsidRDefault="00845189" w:rsidP="002B437E">
      <w:pPr>
        <w:pStyle w:val="CaseParagraph"/>
        <w:numPr>
          <w:ilvl w:val="0"/>
          <w:numId w:val="0"/>
        </w:numPr>
      </w:pPr>
      <w:r>
        <w:t>Conclusion</w:t>
      </w:r>
    </w:p>
    <w:p w14:paraId="0C0D797D" w14:textId="77777777" w:rsidR="00E27303" w:rsidRDefault="00845189" w:rsidP="00E3418D">
      <w:pPr>
        <w:pStyle w:val="CaseParagraph"/>
        <w:numPr>
          <w:ilvl w:val="0"/>
          <w:numId w:val="30"/>
        </w:numPr>
        <w:ind w:left="0" w:firstLine="0"/>
      </w:pPr>
      <w:r>
        <w:t>Applying the test for grant or denial of preliminary injunctive relief, we find plaintiffs failed to establish a reasonable likelihood of ultimate success on the merits.</w:t>
      </w:r>
    </w:p>
    <w:p w14:paraId="7BFA7527" w14:textId="77777777" w:rsidR="00E27303" w:rsidRDefault="00845189" w:rsidP="00E3418D">
      <w:pPr>
        <w:pStyle w:val="CaseParagraph"/>
        <w:numPr>
          <w:ilvl w:val="0"/>
          <w:numId w:val="30"/>
        </w:numPr>
        <w:ind w:left="0" w:firstLine="0"/>
      </w:pPr>
      <w:r>
        <w:t>Therefore, we affirm.</w:t>
      </w:r>
    </w:p>
    <w:p w14:paraId="526D5F54" w14:textId="77777777" w:rsidR="007E4F16" w:rsidRDefault="002D2B47">
      <w:pPr>
        <w:pStyle w:val="Heading2"/>
      </w:pPr>
      <w:r>
        <w:lastRenderedPageBreak/>
        <w:t>The Duty to Sell</w:t>
      </w:r>
    </w:p>
    <w:p w14:paraId="48EEE8DD" w14:textId="77777777" w:rsidR="007E4F16" w:rsidRDefault="002D2B47">
      <w:r>
        <w:t xml:space="preserve">The previous section established that a board of directors has significant power to defend the corporation against a hostile takeover. Under the </w:t>
      </w:r>
      <w:r>
        <w:rPr>
          <w:i/>
        </w:rPr>
        <w:t>Unocal</w:t>
      </w:r>
      <w:r>
        <w:t xml:space="preserve"> standard, directors can block a bid if they reasonably perceive a threat to corporate policy. However, this defensive power is not absolute. There is a specific point in time when the board loses the right to defend the corporate bastion and must instead focus entirely on selling it to the highest bidder.</w:t>
      </w:r>
    </w:p>
    <w:p w14:paraId="10684DD7" w14:textId="77777777" w:rsidR="007E4F16" w:rsidRDefault="002D2B47">
      <w:r>
        <w:t>This shift in fiduciary duty is triggered when the breakup of the company becomes inevitable. From a public choice perspective, this doctrine acts as a strict limitation on managerial discretion during the final period of the firm. When a company is being sold, managers have a strong incentive to favor a friendly buyer—a white knight—who might promise to retain current management or offer side benefits, rather than a hostile bidder who offers more cash to shareholders but plans to fire the executives.</w:t>
      </w:r>
    </w:p>
    <w:p w14:paraId="0C7EE5A2" w14:textId="77777777" w:rsidR="007E4F16" w:rsidRDefault="002D2B47">
      <w:r>
        <w:t>To prevent this agency cost, the Delaware Supreme Court ruled that once the sale of the company is inevitable, the board’s role changes. They can no longer consider the interests of other constituencies or long-term corporate strategy. They become auctioneers charged with a single task: maximizing the immediate cash value for the shareholders.</w:t>
      </w:r>
    </w:p>
    <w:p w14:paraId="7B3C37FD" w14:textId="77777777" w:rsidR="00E27303" w:rsidRDefault="00845189">
      <w:pPr>
        <w:pStyle w:val="GuidingQuestions"/>
      </w:pPr>
      <w:r>
        <w:t>Revlon’s board began by defending the corporation against a hostile takeover—conduct that Unocal permits. But the court held that at some point during Revlon’s negotiations, the board’s duty shifted from protection to maximizing sale value for shareholders. As you read the case, identify the precise moment the court says triggered that shift, and ask yourself whether that trigger can be applied predictably in future cases. The board granted Forstmann Little a lock-up option on Revlon’s most valuable divisio</w:t>
      </w:r>
      <w:r>
        <w:t>ns—the court distinguishes between lock-ups that invite bidders into a contest and lock-ups that end one; which was this? And does the outcome turn on the board’s expressed hostility toward Pantry Pride, or would the result have been the same if the board had acted in complete good faith but still preferred Forstmann Little?</w:t>
      </w:r>
    </w:p>
    <w:p w14:paraId="503CD155" w14:textId="77777777" w:rsidR="007E4F16" w:rsidRDefault="002D2B47" w:rsidP="00230600">
      <w:pPr>
        <w:pStyle w:val="CaseInternalHeading"/>
      </w:pPr>
      <w:r>
        <w:t>Revlon, Inc. v. MacAndrews &amp; Forbes Holdings, Inc., 506 A.2d 173 (1986)</w:t>
      </w:r>
    </w:p>
    <w:p w14:paraId="48377D6C" w14:textId="77777777" w:rsidR="007E4F16" w:rsidRDefault="002D2B47" w:rsidP="00230600">
      <w:pPr>
        <w:pStyle w:val="CaseParagraph"/>
        <w:numPr>
          <w:ilvl w:val="0"/>
          <w:numId w:val="24"/>
        </w:numPr>
        <w:ind w:left="0" w:firstLine="0"/>
      </w:pPr>
      <w:r>
        <w:t>In this fast moving story of corporate takeovers, the Delaware Supreme Court is again required to determine the validity of a provision in a merger agreement which effectively ends the bidding for a company, the target of a hostile tender offer. ...</w:t>
      </w:r>
    </w:p>
    <w:p w14:paraId="13D38662" w14:textId="77777777" w:rsidR="007E4F16" w:rsidRDefault="002D2B47" w:rsidP="00230600">
      <w:pPr>
        <w:pStyle w:val="CaseParagraph"/>
        <w:numPr>
          <w:ilvl w:val="0"/>
          <w:numId w:val="24"/>
        </w:numPr>
        <w:ind w:left="0" w:firstLine="0"/>
      </w:pPr>
      <w:r>
        <w:lastRenderedPageBreak/>
        <w:t>The facts may be briefly stated. ... Pantry Pride, Inc. and its affiliate, MacAndrews &amp; Forbes Holdings, Inc., commenced a hostile tender offer for Revlon, Inc. ...</w:t>
      </w:r>
    </w:p>
    <w:p w14:paraId="34D71187" w14:textId="77777777" w:rsidR="007E4F16" w:rsidRDefault="002D2B47" w:rsidP="00230600">
      <w:pPr>
        <w:pStyle w:val="CaseParagraph"/>
        <w:numPr>
          <w:ilvl w:val="0"/>
          <w:numId w:val="24"/>
        </w:numPr>
        <w:ind w:left="0" w:firstLine="0"/>
      </w:pPr>
      <w:r>
        <w:t>Revlon’s board of directors met and ... adopted a Note Purchase Rights Plan [a poison pill] ... and authorized the company to purchase up to 10 million shares of its common stock. ...</w:t>
      </w:r>
    </w:p>
    <w:p w14:paraId="39C83D2A" w14:textId="77777777" w:rsidR="007E4F16" w:rsidRDefault="002D2B47" w:rsidP="00230600">
      <w:pPr>
        <w:pStyle w:val="CaseParagraph"/>
        <w:numPr>
          <w:ilvl w:val="0"/>
          <w:numId w:val="24"/>
        </w:numPr>
        <w:ind w:left="0" w:firstLine="0"/>
      </w:pPr>
      <w:r>
        <w:t>Pantry Pride ... increased its tender offer price to $47.50 per share. ... The Revlon board ... rejected Pantry Pride’s offer as grossly inadequate. ...</w:t>
      </w:r>
    </w:p>
    <w:p w14:paraId="51DF34EC" w14:textId="77777777" w:rsidR="007E4F16" w:rsidRDefault="002D2B47" w:rsidP="00230600">
      <w:pPr>
        <w:pStyle w:val="CaseParagraph"/>
        <w:numPr>
          <w:ilvl w:val="0"/>
          <w:numId w:val="24"/>
        </w:numPr>
        <w:ind w:left="0" w:firstLine="0"/>
      </w:pPr>
      <w:r>
        <w:t>[Revlon then sought a white knight, Forstmann Little &amp; Co. Forstmann agreed to buy Revlon for $56 per share, but demanded a “lock-up” option to purchase two of Revlon’s most valuable divisions—Vision Care and National Health Laboratories—at a steep discount if another bidder acquired 40% of Revlon’s shares. Revlon also agreed to a “no-shop” provision.]</w:t>
      </w:r>
    </w:p>
    <w:p w14:paraId="7AFE1234" w14:textId="77777777" w:rsidR="007E4F16" w:rsidRDefault="002D2B47" w:rsidP="00230600">
      <w:pPr>
        <w:pStyle w:val="CaseParagraph"/>
        <w:numPr>
          <w:ilvl w:val="0"/>
          <w:numId w:val="24"/>
        </w:numPr>
        <w:ind w:left="0" w:firstLine="0"/>
      </w:pPr>
      <w:r>
        <w:t>Pantry Pride ... sought a preliminary injunction ... [which] raised the issue of the validity of the lock-up option...</w:t>
      </w:r>
    </w:p>
    <w:p w14:paraId="000D583F" w14:textId="77777777" w:rsidR="007E4F16" w:rsidRDefault="002D2B47" w:rsidP="00230600">
      <w:pPr>
        <w:pStyle w:val="CaseParagraph"/>
        <w:numPr>
          <w:ilvl w:val="0"/>
          <w:numId w:val="0"/>
        </w:numPr>
      </w:pPr>
      <w:r>
        <w:rPr>
          <w:b/>
        </w:rPr>
        <w:t>IV. A.</w:t>
      </w:r>
    </w:p>
    <w:p w14:paraId="1AFF0609" w14:textId="77777777" w:rsidR="007E4F16" w:rsidRDefault="002D2B47" w:rsidP="00230600">
      <w:pPr>
        <w:pStyle w:val="CaseParagraph"/>
        <w:numPr>
          <w:ilvl w:val="0"/>
          <w:numId w:val="24"/>
        </w:numPr>
        <w:ind w:left="0" w:firstLine="0"/>
      </w:pPr>
      <w:r>
        <w:t xml:space="preserve">... The Revlon board’s authorization permitting management to negotiate a merger or buyout with a third party was a recognition that the company was for sale. The duty of the board had thus changed from the preservation of Revlon as a corporate entity to the maximization of the company’s value at a sale for the stockholders’ benefit. This significantly altered the board’s responsibilities under the </w:t>
      </w:r>
      <w:r>
        <w:rPr>
          <w:i/>
        </w:rPr>
        <w:t>Unocal</w:t>
      </w:r>
      <w:r>
        <w:t xml:space="preserve"> standards. It no longer faced threats to corporate policy and effectiveness, or to the stockholders’ interests, from a grossly inadequate bid. The whole question of defensive measures became moot. The directors’ role changed from defenders of the corporate bastion to auctioneers charged with getting the best price for the stockholders at a sale of the company.</w:t>
      </w:r>
    </w:p>
    <w:p w14:paraId="449753FF" w14:textId="77777777" w:rsidR="007E4F16" w:rsidRDefault="002D2B47" w:rsidP="00230600">
      <w:pPr>
        <w:pStyle w:val="CaseParagraph"/>
        <w:numPr>
          <w:ilvl w:val="0"/>
          <w:numId w:val="0"/>
        </w:numPr>
      </w:pPr>
      <w:r>
        <w:rPr>
          <w:b/>
        </w:rPr>
        <w:t>B.</w:t>
      </w:r>
    </w:p>
    <w:p w14:paraId="7C7E451C" w14:textId="77777777" w:rsidR="007E4F16" w:rsidRDefault="002D2B47" w:rsidP="00230600">
      <w:pPr>
        <w:pStyle w:val="CaseParagraph"/>
        <w:numPr>
          <w:ilvl w:val="0"/>
          <w:numId w:val="24"/>
        </w:numPr>
        <w:ind w:left="0" w:firstLine="0"/>
      </w:pPr>
      <w:r>
        <w:t>This brings us to the lock-up with Forstmann. ... A lock-up is not per se illegal under Delaware law. ... Such options can entice other bidders to enter a contest for control of the corporation, creating an auction for the company where otherwise none would exist. ...</w:t>
      </w:r>
    </w:p>
    <w:p w14:paraId="132E3D75" w14:textId="77777777" w:rsidR="007E4F16" w:rsidRDefault="002D2B47" w:rsidP="00230600">
      <w:pPr>
        <w:pStyle w:val="CaseParagraph"/>
        <w:numPr>
          <w:ilvl w:val="0"/>
          <w:numId w:val="24"/>
        </w:numPr>
        <w:ind w:left="0" w:firstLine="0"/>
      </w:pPr>
      <w:r>
        <w:t xml:space="preserve">However, while those lock-ups which draw bidders into the battle benefit shareholders, similar measures which end an active auction and foreclose further bidding operate to the shareholders’ detriment. ... The Forstmann option had a ... destructive effect on the auction process. Pantry Pride had found a white knight [Forstmann] and then announced it would equal the white knight’s offer. ... The Revlon board ended the auction in return for very little actual improvement in the final bid. The principal benefit went to the directors, who avoided personal liability </w:t>
      </w:r>
      <w:r>
        <w:lastRenderedPageBreak/>
        <w:t>to a class of creditors to whom the board owed no further duty under the circumstances. ...</w:t>
      </w:r>
    </w:p>
    <w:p w14:paraId="6FF875C3" w14:textId="77777777" w:rsidR="007E4F16" w:rsidRDefault="002D2B47" w:rsidP="00230600">
      <w:pPr>
        <w:pStyle w:val="CaseParagraph"/>
        <w:numPr>
          <w:ilvl w:val="0"/>
          <w:numId w:val="0"/>
        </w:numPr>
      </w:pPr>
      <w:r>
        <w:rPr>
          <w:b/>
        </w:rPr>
        <w:t>C.</w:t>
      </w:r>
    </w:p>
    <w:p w14:paraId="29CAA5E3" w14:textId="77777777" w:rsidR="007E4F16" w:rsidRDefault="002D2B47" w:rsidP="00230600">
      <w:pPr>
        <w:pStyle w:val="CaseParagraph"/>
        <w:numPr>
          <w:ilvl w:val="0"/>
          <w:numId w:val="24"/>
        </w:numPr>
        <w:ind w:left="0" w:firstLine="0"/>
      </w:pPr>
      <w:r>
        <w:t>The directors’ role remains an active one, changed only in the respect that they are charged with the duty of selling the company at the highest price attainable for the stockholders’ benefit. To this end the directors are said to have an obligation ... to act as a faithful fiduciary. ...</w:t>
      </w:r>
    </w:p>
    <w:p w14:paraId="5E4ACC74" w14:textId="77777777" w:rsidR="007E4F16" w:rsidRDefault="002D2B47" w:rsidP="00230600">
      <w:pPr>
        <w:pStyle w:val="CaseParagraph"/>
        <w:numPr>
          <w:ilvl w:val="0"/>
          <w:numId w:val="24"/>
        </w:numPr>
        <w:ind w:left="0" w:firstLine="0"/>
      </w:pPr>
      <w:r>
        <w:t xml:space="preserve">In the context of a hostile tender offer, we expressly recognized that a board may have regard for various constituencies in discharging its responsibilities, provided there are rationally related benefits accruing to the stockholders. </w:t>
      </w:r>
      <w:r>
        <w:rPr>
          <w:i/>
        </w:rPr>
        <w:t>Unocal</w:t>
      </w:r>
      <w:r>
        <w:t>, 493 A.2d at 955. However, such concern for non-stockholder interests is inappropriate when an auction among active bidders is in progress, and the object no longer is to protect or maintain the corporate enterprise but to sell it to the highest bidder. ...</w:t>
      </w:r>
    </w:p>
    <w:p w14:paraId="769279EB" w14:textId="77777777" w:rsidR="007E4F16" w:rsidRDefault="002D2B47" w:rsidP="00230600">
      <w:pPr>
        <w:pStyle w:val="CaseParagraph"/>
        <w:numPr>
          <w:ilvl w:val="0"/>
          <w:numId w:val="24"/>
        </w:numPr>
        <w:ind w:left="0" w:firstLine="0"/>
      </w:pPr>
      <w:r>
        <w:t>The judgment of the Court of Chancery ... is AFFIRMED.</w:t>
      </w:r>
    </w:p>
    <w:p w14:paraId="6C5C2F45" w14:textId="77777777" w:rsidR="007E4F16" w:rsidRDefault="00230600" w:rsidP="00230600">
      <w:pPr>
        <w:pStyle w:val="CaseInternalHeading"/>
      </w:pPr>
      <w:r>
        <w:rPr>
          <w:i/>
          <w:iCs/>
        </w:rPr>
        <w:t>Revlon</w:t>
      </w:r>
      <w:r>
        <w:t xml:space="preserve"> Notes and Questions</w:t>
      </w:r>
    </w:p>
    <w:p w14:paraId="278E507F" w14:textId="77777777" w:rsidR="007E4F16" w:rsidRDefault="002D2B47">
      <w:pPr>
        <w:numPr>
          <w:ilvl w:val="0"/>
          <w:numId w:val="4"/>
        </w:numPr>
        <w:spacing w:after="0"/>
      </w:pPr>
      <w:r>
        <w:rPr>
          <w:b/>
        </w:rPr>
        <w:t>The Trigger.</w:t>
      </w:r>
      <w:r>
        <w:t xml:space="preserve"> The central holding of </w:t>
      </w:r>
      <w:r>
        <w:rPr>
          <w:i/>
        </w:rPr>
        <w:t>Revlon</w:t>
      </w:r>
      <w:r>
        <w:t xml:space="preserve"> is that the board’s duty shifts from defense to auctioneering. But what triggers this shift? In </w:t>
      </w:r>
      <w:r>
        <w:rPr>
          <w:i/>
        </w:rPr>
        <w:t>Revlon</w:t>
      </w:r>
      <w:r>
        <w:t xml:space="preserve">, it was the board’s decision to negotiate a bust-up of the company or a cash sale. This distinction is critical. If a company agrees to a stock-for-stock merger with another widely held public company, </w:t>
      </w:r>
      <w:r>
        <w:rPr>
          <w:i/>
        </w:rPr>
        <w:t>Revlon</w:t>
      </w:r>
      <w:r>
        <w:t xml:space="preserve"> duties generally do not apply because the shareholders are not being cashed out; they are simply trading their equity in one large firm for equity in another. The duty to maximize immediate value is triggered only when there is a sale of control or a cash-out transaction that represents the final period for the shareholders.</w:t>
      </w:r>
    </w:p>
    <w:p w14:paraId="19B2D74E" w14:textId="77777777" w:rsidR="007E4F16" w:rsidRDefault="002D2B47">
      <w:pPr>
        <w:numPr>
          <w:ilvl w:val="0"/>
          <w:numId w:val="4"/>
        </w:numPr>
        <w:spacing w:after="0"/>
      </w:pPr>
      <w:r>
        <w:rPr>
          <w:b/>
        </w:rPr>
        <w:t>White Knights and Rent Seeking.</w:t>
      </w:r>
      <w:r>
        <w:t xml:space="preserve"> Revlon’s management vehemently preferred Forstmann Little over Pantry Pride, even though both were offering cash. Why? The court noted that the board was motivated by a desire to resolve a dispute with noteholders that could have resulted in personal liability for the directors. By granting a lock-up option to Forstmann to protect themselves, the directors engaged in rent seeking—extracting value from the shareholders to pay for their own safety. </w:t>
      </w:r>
      <w:r>
        <w:rPr>
          <w:i/>
        </w:rPr>
        <w:t>Revlon</w:t>
      </w:r>
      <w:r>
        <w:t xml:space="preserve"> prohibits this by stripping the board of the discretion to prefer one bidder over another once the auction has begun.</w:t>
      </w:r>
    </w:p>
    <w:p w14:paraId="7CFA8387" w14:textId="77777777" w:rsidR="007E4F16" w:rsidRDefault="002D2B47">
      <w:pPr>
        <w:numPr>
          <w:ilvl w:val="0"/>
          <w:numId w:val="4"/>
        </w:numPr>
        <w:spacing w:after="0"/>
      </w:pPr>
      <w:r>
        <w:rPr>
          <w:b/>
        </w:rPr>
        <w:t>The Logic of Lock-Ups.</w:t>
      </w:r>
      <w:r>
        <w:t xml:space="preserve"> The court distinguishes between lock-ups that start an auction and lock-ups that end one. A lock-up option can be a useful tool to entice a bidder to make an initial offer (investing time and money in due diligence) by guaranteeing them a profit if they are outbid. This increases competition. However, once an auction is active, giving a lock-up to one </w:t>
      </w:r>
      <w:r>
        <w:lastRenderedPageBreak/>
        <w:t>bidder to shut out another destroys competition. The court’s economic analysis focuses on whether the defensive measure enhances or inhibits the market process.</w:t>
      </w:r>
    </w:p>
    <w:p w14:paraId="3194DB17" w14:textId="77777777" w:rsidR="00E27303" w:rsidRDefault="00845189">
      <w:pPr>
        <w:pStyle w:val="GuidingQuestions"/>
      </w:pPr>
      <w:r>
        <w:t>Paramount v. QVC asks whether the Revlon duty to maximize sale value is triggered when a transaction will result in a single stockholder acquiring a controlling block of shares—even if the company itself is not being “broken up.” The Paramount board favored Viacom over QVC’s higher offer and erected defensive devices—a no-shop clause, a termination fee, and a stock option agreement—that the court calls “draconian.” As you read the case, consider precisely why the court treats this transaction differently fr</w:t>
      </w:r>
      <w:r>
        <w:t>om the Time-Warner deal: what factual difference is legally dispositive? Why does the court conclude that these defensive devices were impermissible under Revlon, when similar lock-up devices in Revlon itself were found objectionable only because they terminated an auction that was already in progress? And does Paramount v. QVC require a formal auction once Revlon duties are triggered, or only that the board act reasonably and in good faith to identify the best available transaction?</w:t>
      </w:r>
    </w:p>
    <w:p w14:paraId="36A5BD60" w14:textId="77777777" w:rsidR="00E27303" w:rsidRDefault="00845189">
      <w:pPr>
        <w:pStyle w:val="CaseInternalHeading"/>
      </w:pPr>
      <w:r>
        <w:t>Paramount Communications, Inc. v. QVC Network, Inc., 637 A.2d 34 (Del. 1994)</w:t>
      </w:r>
    </w:p>
    <w:p w14:paraId="0F5ED250" w14:textId="77777777" w:rsidR="00E27303" w:rsidRDefault="00845189" w:rsidP="005D7669">
      <w:pPr>
        <w:pStyle w:val="CaseParagraph"/>
        <w:numPr>
          <w:ilvl w:val="0"/>
          <w:numId w:val="0"/>
        </w:numPr>
      </w:pPr>
      <w:r>
        <w:t>VEASEY, Chief Justice:</w:t>
      </w:r>
    </w:p>
    <w:p w14:paraId="43B6F0A6" w14:textId="77777777" w:rsidR="00E27303" w:rsidRDefault="00845189" w:rsidP="00696F3F">
      <w:pPr>
        <w:pStyle w:val="CaseParagraph"/>
        <w:ind w:left="0" w:firstLine="0"/>
      </w:pPr>
      <w:r>
        <w:t>In this appeal we review an order of the Court of Chancery dated November 24, 1993, preliminarily enjoining certain defensive measures designed to facilitate a so-called strategic alliance between Viacom Inc. (“Viacom”) and Paramount Communications Inc. (“Paramount”) approved by the board of directors of Paramount (the “Paramount Board” or the “Paramount directors”) and to thwart an unsolicited, more valuable, tender offer by QVC Network Inc. (“QVC”).</w:t>
      </w:r>
    </w:p>
    <w:p w14:paraId="5A1E8BA8" w14:textId="76E94824" w:rsidR="00E27303" w:rsidRDefault="00845189" w:rsidP="005D7669">
      <w:pPr>
        <w:pStyle w:val="CaseParagraph"/>
        <w:ind w:left="0" w:firstLine="0"/>
      </w:pPr>
      <w:r>
        <w:t>In affirming, we hold that the sale of control in this case, which is at the heart of the proposed strategic alliance, implicates enhanced judicial scrutiny of the conduct of the Paramount Board under Unocal Corp. v. Mesa Petroleum Co. and Revlon, Inc. v. MacAndrews &amp; Forbes Holdings, Inc. We further hold that the conduct of the Paramount Board was not reasonable as to process or result.…</w:t>
      </w:r>
    </w:p>
    <w:p w14:paraId="60E09587" w14:textId="77777777" w:rsidR="00E27303" w:rsidRDefault="00845189" w:rsidP="00696F3F">
      <w:pPr>
        <w:pStyle w:val="CaseParagraph"/>
        <w:ind w:left="0" w:firstLine="0"/>
      </w:pPr>
      <w:r>
        <w:t>Under the circumstances of this case, the pending sale of control implicated in the Paramount-Viacom transaction required the Paramount Board to act on an informed basis to secure the best value reasonably available to the stockholders. When information subsequently emerged that QVC was prepared to pay more for Paramount than Viacom, it became apparent that the Paramount Board was not obtaining the best value reasonably available to the Paramount stockholders. This information should have caused the Paramou</w:t>
      </w:r>
      <w:r>
        <w:t>nt Board to reexamine its transaction with Viacom in light of this competing bid.</w:t>
      </w:r>
    </w:p>
    <w:p w14:paraId="22D552A8" w14:textId="77777777" w:rsidR="00E27303" w:rsidRDefault="00845189" w:rsidP="005D7669">
      <w:pPr>
        <w:pStyle w:val="CaseParagraph"/>
        <w:numPr>
          <w:ilvl w:val="0"/>
          <w:numId w:val="0"/>
        </w:numPr>
      </w:pPr>
      <w:r>
        <w:lastRenderedPageBreak/>
        <w:t>I. FACTS</w:t>
      </w:r>
    </w:p>
    <w:p w14:paraId="6CD0BF1C" w14:textId="77777777" w:rsidR="00E27303" w:rsidRDefault="00845189" w:rsidP="00696F3F">
      <w:pPr>
        <w:pStyle w:val="CaseParagraph"/>
        <w:ind w:left="0" w:firstLine="0"/>
      </w:pPr>
      <w:r>
        <w:t>Paramount is a Delaware corporation with its principal offices in New York City. Approximately 118 million shares of Paramount’s common stock are outstanding and traded on the New York Stock Exchange. The majority of Paramount’s stock is publicly held by numerous unaffiliated investors. There are 15 persons serving on the Paramount Board. Four directors are officer-employees of Paramount: Martin S. Davis (“Davis”), Paramount’s Chairman and CEO; Donald Oresman (“Oresman”), Executive Vice-President, Chief Adm</w:t>
      </w:r>
      <w:r>
        <w:t>inistrative Officer, and General Counsel; Stanley Jaffe, President and Chief Operating Officer; and Ronald Mineo, Executive Vice President-Finance. Eleven directors are outside, nonmanagement directors, some of whom are affiliated with entities that have various business relationships with Paramount.</w:t>
      </w:r>
    </w:p>
    <w:p w14:paraId="1F408B56" w14:textId="77777777" w:rsidR="00E27303" w:rsidRDefault="00845189" w:rsidP="00696F3F">
      <w:pPr>
        <w:pStyle w:val="CaseParagraph"/>
        <w:ind w:left="0" w:firstLine="0"/>
      </w:pPr>
      <w:r>
        <w:t>Viacom is a Delaware corporation with its headquarters in Massachusetts. Viacom is controlled by Sumner M. Redstone (“Redstone”), its Chairman and CEO, who owns approximately 85.1% of Viacom’s voting Class A stock and approximately 69.2% of Viacom’s total equity. Viacom has a wide range of entertainment operations, including MTV Networks. Upon acquisition of Paramount, Redstone would own approximately 70% of the resulting combined company.</w:t>
      </w:r>
    </w:p>
    <w:p w14:paraId="279927C6" w14:textId="7BCC7475" w:rsidR="00E27303" w:rsidRDefault="00845189" w:rsidP="005D7669">
      <w:pPr>
        <w:pStyle w:val="CaseParagraph"/>
        <w:ind w:left="0" w:firstLine="0"/>
      </w:pPr>
      <w:r>
        <w:t>QVC is a Delaware corporation with its headquarters in West Chester, Pennsylvania. QVC has several large stockholders, including Liberty Media Corporation and BellSouth Corporation. Barry Diller (“Diller”), the Chairman and CEO of QVC, is also a shareholder.…</w:t>
      </w:r>
    </w:p>
    <w:p w14:paraId="39979532" w14:textId="77777777" w:rsidR="00E27303" w:rsidRDefault="00845189" w:rsidP="00696F3F">
      <w:pPr>
        <w:pStyle w:val="CaseParagraph"/>
        <w:ind w:left="0" w:firstLine="0"/>
      </w:pPr>
      <w:r>
        <w:t>On September 12, 1993, the Paramount Board met again and unanimously approved the Original Merger Agreement whereby Paramount would merge with and into Viacom. The Paramount Board also unanimously approved the Stock Option Agreement.</w:t>
      </w:r>
    </w:p>
    <w:p w14:paraId="074376D5" w14:textId="77777777" w:rsidR="00E27303" w:rsidRDefault="00845189" w:rsidP="00696F3F">
      <w:pPr>
        <w:pStyle w:val="CaseParagraph"/>
        <w:ind w:left="0" w:firstLine="0"/>
      </w:pPr>
      <w:r>
        <w:t>The Original Merger Agreement also contained several provisions designed to make it more difficult for a potential competing bid for Paramount to succeed. We focus, as did the Court of Chancery, on three of these defensive provisions:</w:t>
      </w:r>
    </w:p>
    <w:p w14:paraId="423290C9" w14:textId="77777777" w:rsidR="00E27303" w:rsidRDefault="00845189" w:rsidP="00696F3F">
      <w:pPr>
        <w:pStyle w:val="CaseParagraph"/>
        <w:ind w:left="0" w:firstLine="0"/>
      </w:pPr>
      <w:r>
        <w:t>First, under the No-Shop Provision, the Paramount Board agreed that Paramount would not solicit, encourage, discuss, negotiate, or endorse any competing transaction unless: (a) a third party “makes an unsolicited written, bona fide proposal, which is not subject to any material contingencies relating to financing”; and (b) the Paramount Board determines that discussions or negotiations with the third party are necessary for the Paramount Board to comply with its fiduciary duties.</w:t>
      </w:r>
    </w:p>
    <w:p w14:paraId="28E94CD5" w14:textId="77777777" w:rsidR="00E27303" w:rsidRDefault="00845189" w:rsidP="00696F3F">
      <w:pPr>
        <w:pStyle w:val="CaseParagraph"/>
        <w:ind w:left="0" w:firstLine="0"/>
      </w:pPr>
      <w:r>
        <w:t>Second, under the Termination Fee provision, Viacom would receive a $100 million termination fee if: (a) Paramount terminated the Original Merger Agreement; or (b) Paramount’s stockholders did not approve it.</w:t>
      </w:r>
    </w:p>
    <w:p w14:paraId="2C8119D1" w14:textId="68C0B455" w:rsidR="00E27303" w:rsidRDefault="00845189" w:rsidP="005D7669">
      <w:pPr>
        <w:pStyle w:val="CaseParagraph"/>
        <w:ind w:left="0" w:firstLine="0"/>
      </w:pPr>
      <w:r>
        <w:lastRenderedPageBreak/>
        <w:t>The third and most significant deterrent device was the Stock Option Agreement, which granted to Viacom an option to purchase approximately 19.9% of Paramount’s outstanding common stock at $69.14 per share if any of certain triggering events occurred, most of which were just different ways of saying that the Paramount-Viacom merger was not consummated.…</w:t>
      </w:r>
    </w:p>
    <w:p w14:paraId="6FC822A4" w14:textId="77777777" w:rsidR="00E27303" w:rsidRDefault="00845189" w:rsidP="00696F3F">
      <w:pPr>
        <w:pStyle w:val="CaseParagraph"/>
        <w:ind w:left="0" w:firstLine="0"/>
      </w:pPr>
      <w:r>
        <w:t>On October 21, 1993, QVC filed this action and publicly announced an $80 cash tender offer for 51 percent of Paramount’s outstanding shares at $80 per share. The tender offer also contemplated a second-step merger at a slightly lower price.</w:t>
      </w:r>
    </w:p>
    <w:p w14:paraId="6D89D2B7" w14:textId="67FFC121" w:rsidR="00E27303" w:rsidRDefault="00845189" w:rsidP="005D7669">
      <w:pPr>
        <w:pStyle w:val="CaseParagraph"/>
        <w:ind w:left="0" w:firstLine="0"/>
      </w:pPr>
      <w:r>
        <w:t>Confronted by QVC’s hostile bid, which on its face offered over $10 per share more than the consideration provided by the Viacom agreement, the Paramount Board met on October 23-24, 1993, and approved an Amended Merger Agreement with Viacom. The terms of the Amended Merger Agreement were more favorable to Paramount stockholders than the Original Merger Agreement, but the defensive features of the Original Merger Agreement essentially remained intact.…</w:t>
      </w:r>
    </w:p>
    <w:p w14:paraId="66D0B852" w14:textId="5B9A1AE0" w:rsidR="00E27303" w:rsidRDefault="00845189" w:rsidP="005D7669">
      <w:pPr>
        <w:pStyle w:val="CaseParagraph"/>
        <w:ind w:left="0" w:firstLine="0"/>
      </w:pPr>
      <w:r>
        <w:t>By November 12, 1993, the value of the revised QVC offer on its face exceeded that of the Viacom offer by over $1 billion at then-current stock prices.…</w:t>
      </w:r>
    </w:p>
    <w:p w14:paraId="703C13D4" w14:textId="77777777" w:rsidR="00E27303" w:rsidRDefault="00845189" w:rsidP="00696F3F">
      <w:pPr>
        <w:pStyle w:val="CaseParagraph"/>
        <w:ind w:left="0" w:firstLine="0"/>
      </w:pPr>
      <w:r>
        <w:t>On November 24, 1993, the Court of Chancery issued its decision granting a preliminary injunction in favor of QVC and the shareholder plaintiffs. Among other things, the Court of Chancery enjoined Paramount from exercising the Stock Option Agreement and from terminating the Original Merger Agreement with Viacom pursuant to its terms (including paying the $100 million termination fee), unless and until the Paramount Board had complied with its obligations under Revlon and Unocal.</w:t>
      </w:r>
    </w:p>
    <w:p w14:paraId="4BD19763" w14:textId="77777777" w:rsidR="00E27303" w:rsidRDefault="00845189" w:rsidP="005D7669">
      <w:pPr>
        <w:pStyle w:val="CaseParagraph"/>
        <w:numPr>
          <w:ilvl w:val="0"/>
          <w:numId w:val="0"/>
        </w:numPr>
      </w:pPr>
      <w:r>
        <w:t>II. APPLICABLE PRINCIPLES OF ESTABLISHED DELAWARE LAW</w:t>
      </w:r>
    </w:p>
    <w:p w14:paraId="42A9960B" w14:textId="77777777" w:rsidR="00E27303" w:rsidRDefault="00845189" w:rsidP="00696F3F">
      <w:pPr>
        <w:pStyle w:val="CaseParagraph"/>
        <w:ind w:left="0" w:firstLine="0"/>
      </w:pPr>
      <w:r>
        <w:t>The General Corporation Law of the State of Delaware (the “General Corporation Law”) and the decisions of this Court have repeatedly recognized the fundamental principle that the management of the business and affairs of a Delaware corporation is entrusted to its board of directors. In discharging this function, the directors owe fiduciary duties of care and loyalty to the corporation and its stockholders.</w:t>
      </w:r>
    </w:p>
    <w:p w14:paraId="7EEDFF1B" w14:textId="77777777" w:rsidR="00E27303" w:rsidRDefault="00845189" w:rsidP="00696F3F">
      <w:pPr>
        <w:pStyle w:val="CaseParagraph"/>
        <w:ind w:left="0" w:firstLine="0"/>
      </w:pPr>
      <w:r>
        <w:t>Under normal circumstances, neither the courts nor the stockholders should interfere with the managerial decisions of the directors. The business judgment rule embodies the deference Delaware courts show to the informed business decisions of the directors.</w:t>
      </w:r>
    </w:p>
    <w:p w14:paraId="0B60AA38" w14:textId="77777777" w:rsidR="00E27303" w:rsidRDefault="00845189" w:rsidP="005D7669">
      <w:pPr>
        <w:pStyle w:val="CaseParagraph"/>
        <w:numPr>
          <w:ilvl w:val="0"/>
          <w:numId w:val="0"/>
        </w:numPr>
      </w:pPr>
      <w:r>
        <w:t>A. The Significance of a Sale or Change of Control</w:t>
      </w:r>
    </w:p>
    <w:p w14:paraId="166EE01E" w14:textId="77777777" w:rsidR="00E27303" w:rsidRDefault="00845189" w:rsidP="00696F3F">
      <w:pPr>
        <w:pStyle w:val="CaseParagraph"/>
        <w:ind w:left="0" w:firstLine="0"/>
      </w:pPr>
      <w:r>
        <w:t xml:space="preserve">When a majority of a corporation’s voting shares are acquired by a single person or entity, or by a cohesive group acting together, there is a significant diminution in the voting power of those who thereby become minority stockholders. </w:t>
      </w:r>
      <w:r>
        <w:lastRenderedPageBreak/>
        <w:t>Under the statutory framework of the General Corporation Law, the loss of the majority stockholder position has important implications.</w:t>
      </w:r>
    </w:p>
    <w:p w14:paraId="36989419" w14:textId="77777777" w:rsidR="00E27303" w:rsidRDefault="00845189" w:rsidP="00696F3F">
      <w:pPr>
        <w:pStyle w:val="CaseParagraph"/>
        <w:ind w:left="0" w:firstLine="0"/>
      </w:pPr>
      <w:r>
        <w:t>In the absence of devices protecting the minority stockholders, stockholder votes are likely to become mere formalities where there is a majority stockholder. For example, minority stockholders can no longer freely place the corporation up for sale.</w:t>
      </w:r>
    </w:p>
    <w:p w14:paraId="16765B93" w14:textId="77777777" w:rsidR="00E27303" w:rsidRDefault="00845189" w:rsidP="00696F3F">
      <w:pPr>
        <w:pStyle w:val="CaseParagraph"/>
        <w:ind w:left="0" w:firstLine="0"/>
      </w:pPr>
      <w:r>
        <w:t>The acquisition of majority status and the consequent privilege of exerting the powers of majority ownership come at a price. That price is usually a control premium which recognizes not only the value of a control block of shares, but also compensates the minority stockholders for their resulting loss of voting power.</w:t>
      </w:r>
    </w:p>
    <w:p w14:paraId="55A3DDBC" w14:textId="77777777" w:rsidR="00E27303" w:rsidRDefault="00845189" w:rsidP="00696F3F">
      <w:pPr>
        <w:pStyle w:val="CaseParagraph"/>
        <w:ind w:left="0" w:firstLine="0"/>
      </w:pPr>
      <w:r>
        <w:t>In the case before us, the public stockholders (in the aggregate) currently own a majority of Paramount’s voting stock. Control of the corporation is not vested in a single person, entity, or group whose shares have a market premium attached to them. After the Paramount-Viacom transaction, control of the resulting combined company will be vested in Redstone who will own approximately 70% of the voting power of the combined company. … Viacom is, and after the proposed merger with Paramount, will be, controll</w:t>
      </w:r>
      <w:r>
        <w:t>ed by Redstone.</w:t>
      </w:r>
    </w:p>
    <w:p w14:paraId="0A7E4C24" w14:textId="77777777" w:rsidR="00E27303" w:rsidRDefault="00845189" w:rsidP="00696F3F">
      <w:pPr>
        <w:pStyle w:val="CaseParagraph"/>
        <w:ind w:left="0" w:firstLine="0"/>
      </w:pPr>
      <w:r>
        <w:t>Irrespective of the present Paramount Board’s vision of a long-term strategic alliance with Viacom, the proposed sale of control would provide the Paramount stockholders with a final opportunity to realize a control premium. As future minority stockholders, they would have no right to block any subsequent transaction between Viacom and Paramount, and they would have no right to receive any future control premium.</w:t>
      </w:r>
    </w:p>
    <w:p w14:paraId="2A3BC890" w14:textId="77777777" w:rsidR="00E27303" w:rsidRDefault="00845189" w:rsidP="005D7669">
      <w:pPr>
        <w:pStyle w:val="CaseParagraph"/>
        <w:numPr>
          <w:ilvl w:val="0"/>
          <w:numId w:val="0"/>
        </w:numPr>
      </w:pPr>
      <w:r>
        <w:t>B. The Obligations of Directors in a Sale or Change of Control Transaction</w:t>
      </w:r>
    </w:p>
    <w:p w14:paraId="5289FABA" w14:textId="77777777" w:rsidR="00E27303" w:rsidRDefault="00845189" w:rsidP="00696F3F">
      <w:pPr>
        <w:pStyle w:val="CaseParagraph"/>
        <w:ind w:left="0" w:firstLine="0"/>
      </w:pPr>
      <w:r>
        <w:t>The consequences of a sale of control impose special obligations on the directors of a corporation. In particular, they must recognize that in the specific context of a sale of control, the duty of the board ‘no longer [is] to just say no, but rather to say when, at what price and to whom.’</w:t>
      </w:r>
    </w:p>
    <w:p w14:paraId="1264972D" w14:textId="77777777" w:rsidR="00E27303" w:rsidRDefault="00845189" w:rsidP="00696F3F">
      <w:pPr>
        <w:pStyle w:val="CaseParagraph"/>
        <w:ind w:left="0" w:firstLine="0"/>
      </w:pPr>
      <w:r>
        <w:t>In the sale of control context, the directors must focus on one primary objective—to secure the transaction offering the best value reasonably available for the stockholders—and they must exercise their fiduciary duties to further that end.</w:t>
      </w:r>
    </w:p>
    <w:p w14:paraId="38085883" w14:textId="77777777" w:rsidR="00E27303" w:rsidRDefault="00845189" w:rsidP="00696F3F">
      <w:pPr>
        <w:pStyle w:val="CaseParagraph"/>
        <w:ind w:left="0" w:firstLine="0"/>
      </w:pPr>
      <w:r>
        <w:t>… [T]he directors are not obligated to follow any prescribed formula or methodology in reaching their decision. There is no single blueprint that directors must follow.</w:t>
      </w:r>
    </w:p>
    <w:p w14:paraId="33387827" w14:textId="77777777" w:rsidR="00E27303" w:rsidRDefault="00845189" w:rsidP="00696F3F">
      <w:pPr>
        <w:pStyle w:val="CaseParagraph"/>
        <w:ind w:left="0" w:firstLine="0"/>
      </w:pPr>
      <w:r>
        <w:t xml:space="preserve">In determining which alternative provides the best value for the stockholders, a board of directors is not limited to considering only the amount of cash involved, and is not required to ignore totally its view of the future value of a strategic alliance. … [T]he board may also consider, when evaluating the total consideration to be received by the stockholders in a sale or change of control </w:t>
      </w:r>
      <w:r>
        <w:lastRenderedPageBreak/>
        <w:t>transaction: the offer’s fairness and feasibility; the proposed or actual financing for the offer, and the consequences of that financing; questions of illegality; the risk of non-consummation; the bidder’s identity, prior background and other business venture experiences; and the bidder’s business plans for the corporation and their effects on stockholder interests.</w:t>
      </w:r>
    </w:p>
    <w:p w14:paraId="18662C7D" w14:textId="77777777" w:rsidR="00E27303" w:rsidRDefault="00845189" w:rsidP="005D7669">
      <w:pPr>
        <w:pStyle w:val="CaseParagraph"/>
        <w:numPr>
          <w:ilvl w:val="0"/>
          <w:numId w:val="0"/>
        </w:numPr>
      </w:pPr>
      <w:r>
        <w:t>C. Enhanced Judicial Scrutiny of a Sale or Change of Control Transaction</w:t>
      </w:r>
    </w:p>
    <w:p w14:paraId="22C5735B" w14:textId="77777777" w:rsidR="00E27303" w:rsidRDefault="00845189" w:rsidP="00696F3F">
      <w:pPr>
        <w:pStyle w:val="CaseParagraph"/>
        <w:ind w:left="0" w:firstLine="0"/>
      </w:pPr>
      <w:r>
        <w:t>Board action in the circumstances presented here is subject to enhanced scrutiny. Such scrutiny is mandated by: (a) the threatened diminution of the current stockholders’ voting power; (b) the special vulnerability of minority interests after a change in majority control; and (c) the fact that the directors may be inclined to protect their own interests. … The key features of an enhanced scrutiny test are: (a) a judicial determination regarding the adequacy of the decisionmaking process employed by the dire</w:t>
      </w:r>
      <w:r>
        <w:t>ctors, including the information on which the directors based their decision; and (b) a judicial examination of the reasonableness of the directors’ action in light of the circumstances then existing.</w:t>
      </w:r>
    </w:p>
    <w:p w14:paraId="0BE72987" w14:textId="77777777" w:rsidR="00E27303" w:rsidRDefault="00845189" w:rsidP="00696F3F">
      <w:pPr>
        <w:pStyle w:val="CaseParagraph"/>
        <w:ind w:left="0" w:firstLine="0"/>
      </w:pPr>
      <w:r>
        <w:t>D. Revlon and Time-Warner Distinguished</w:t>
      </w:r>
    </w:p>
    <w:p w14:paraId="3E30CDC0" w14:textId="77777777" w:rsidR="00E27303" w:rsidRDefault="00845189" w:rsidP="00696F3F">
      <w:pPr>
        <w:pStyle w:val="CaseParagraph"/>
        <w:ind w:left="0" w:firstLine="0"/>
      </w:pPr>
      <w:r>
        <w:t>The Paramount defendants and Viacom assert that the fiduciary obligations and the enhanced judicial scrutiny discussed above are not implicated in this case in the light of this Court’s holding in Paramount Communications, Inc. v. Time, Inc. In Time-Warner, the Chancellor held that there was no change of control in the original stock-for-stock merger between Time and Warner because Time would be owned by a fluid aggregation of unaffiliated stockholders both before and after the merger.</w:t>
      </w:r>
    </w:p>
    <w:p w14:paraId="715210F2" w14:textId="77777777" w:rsidR="00E27303" w:rsidRDefault="00845189" w:rsidP="00696F3F">
      <w:pPr>
        <w:pStyle w:val="CaseParagraph"/>
        <w:ind w:left="0" w:firstLine="0"/>
      </w:pPr>
      <w:r>
        <w:t>The Paramount defendants have misread the holding of Time-Warner. Contrary to their argument, our decision in Time-Warner expressly states that “[w]henever one corporation merges into another and one of the parties owns a large block of shares, there is a risk that the exchange ratio may not be entirely fair to the shareholders of the target.”</w:t>
      </w:r>
    </w:p>
    <w:p w14:paraId="7460F7B7" w14:textId="77777777" w:rsidR="00E27303" w:rsidRDefault="00845189" w:rsidP="00696F3F">
      <w:pPr>
        <w:pStyle w:val="CaseParagraph"/>
        <w:ind w:left="0" w:firstLine="0"/>
      </w:pPr>
      <w:r>
        <w:t>… [T]he instant case is clearly within the first general scenario set forth in Time-Warner. The Paramount Board, albeit unintentionally, had “initiate[d] an active bidding process seeking to sell itself or to effect a business reorganization involving a clear break-up of the company.”</w:t>
      </w:r>
    </w:p>
    <w:p w14:paraId="470C2596" w14:textId="77777777" w:rsidR="00E27303" w:rsidRDefault="00845189" w:rsidP="00696F3F">
      <w:pPr>
        <w:pStyle w:val="CaseParagraph"/>
        <w:ind w:left="0" w:firstLine="0"/>
      </w:pPr>
      <w:r>
        <w:t>Accordingly, when a corporation undertakes a transaction which will cause: (a) a change in corporate control; or (b) a break-up of the corporate entity, the directors must focus on one primary objective—to secure the transaction offering the best value reasonably available for the stockholders. Under such circumstances we must apply enhanced scrutiny to ensure that the board has acted reasonably.</w:t>
      </w:r>
    </w:p>
    <w:p w14:paraId="380AB9F1" w14:textId="77777777" w:rsidR="00E27303" w:rsidRDefault="00845189" w:rsidP="005D7669">
      <w:pPr>
        <w:pStyle w:val="CaseParagraph"/>
        <w:numPr>
          <w:ilvl w:val="0"/>
          <w:numId w:val="0"/>
        </w:numPr>
      </w:pPr>
      <w:r>
        <w:t>III. BREACH OF FIDUCIARY DUTIES BY PARAMOUNT BOARD</w:t>
      </w:r>
    </w:p>
    <w:p w14:paraId="0E8C3336" w14:textId="77777777" w:rsidR="00E27303" w:rsidRDefault="00845189" w:rsidP="005D7669">
      <w:pPr>
        <w:pStyle w:val="CaseParagraph"/>
        <w:numPr>
          <w:ilvl w:val="0"/>
          <w:numId w:val="0"/>
        </w:numPr>
      </w:pPr>
      <w:r>
        <w:t>A. The Specific Obligations of the Paramount Board</w:t>
      </w:r>
    </w:p>
    <w:p w14:paraId="33955E3B" w14:textId="77777777" w:rsidR="00E27303" w:rsidRDefault="00845189" w:rsidP="00696F3F">
      <w:pPr>
        <w:pStyle w:val="CaseParagraph"/>
        <w:ind w:left="0" w:firstLine="0"/>
      </w:pPr>
      <w:r>
        <w:lastRenderedPageBreak/>
        <w:t>Under the facts of this case, the Paramount directors had the obligation: (a) to be diligent and vigilant in examining critically the Viacom transaction and the QVC transaction; (b) to act in good faith; (c) to obtain, and act with due care on, all material information reasonably available, including information necessary to compare the two offers to determine which of these transactions, or an alternative course of action, would provide the best value reasonably available to the stockholders; and (d) to ne</w:t>
      </w:r>
      <w:r>
        <w:t>gotiate actively and in good faith with both Viacom and QVC to that end.</w:t>
      </w:r>
    </w:p>
    <w:p w14:paraId="044CDF72" w14:textId="77777777" w:rsidR="00E27303" w:rsidRDefault="00845189" w:rsidP="00696F3F">
      <w:pPr>
        <w:pStyle w:val="CaseParagraph"/>
        <w:ind w:left="0" w:firstLine="0"/>
      </w:pPr>
      <w:r>
        <w:t xml:space="preserve">Having decided to sell control of the corporation, the Paramount directors were required to evaluate critically whether or not all material aspects of the Paramount-Viacom transaction (separately and in the aggregate) were reasonable and in the best interests of the Paramount stockholders in light of current circumstances, including: the change in the makeup of the Paramount Board and the fact that Paramount was for sale. The duty of the Paramount Board was not simply to “consider” QVC’s offer, but to give </w:t>
      </w:r>
      <w:r>
        <w:t>it adequate consideration.</w:t>
      </w:r>
    </w:p>
    <w:p w14:paraId="1424BC02" w14:textId="77777777" w:rsidR="00E27303" w:rsidRDefault="00845189" w:rsidP="00696F3F">
      <w:pPr>
        <w:pStyle w:val="CaseParagraph"/>
        <w:ind w:left="0" w:firstLine="0"/>
      </w:pPr>
      <w:r>
        <w:t>The Paramount defendants contend that they were precluded by certain contractual provisions including the No-Shop Provision from negotiating with QVC or seeking a better deal. … Since the Paramount directors had already decided to sell control, they had an obligation to continue their search for the best value reasonably available to the stockholders. This continuing obligation included the duty to negotiate with QVC (and others) to obtain for the stockholders the best reasonably available alternative. This</w:t>
      </w:r>
      <w:r>
        <w:t xml:space="preserve"> continuing obligation is not limited by concepts of “locking up” the transaction. A no-shop provision could not validly limit the fiduciary duties of the Paramount directors.</w:t>
      </w:r>
    </w:p>
    <w:p w14:paraId="604D56EA" w14:textId="77777777" w:rsidR="00E27303" w:rsidRDefault="00845189" w:rsidP="005D7669">
      <w:pPr>
        <w:pStyle w:val="CaseParagraph"/>
        <w:numPr>
          <w:ilvl w:val="0"/>
          <w:numId w:val="0"/>
        </w:numPr>
      </w:pPr>
      <w:r>
        <w:t>B. The Breaches of Fiduciary Duty by the Paramount Board</w:t>
      </w:r>
    </w:p>
    <w:p w14:paraId="120C4612" w14:textId="77777777" w:rsidR="00E27303" w:rsidRDefault="00845189" w:rsidP="00696F3F">
      <w:pPr>
        <w:pStyle w:val="CaseParagraph"/>
        <w:ind w:left="0" w:firstLine="0"/>
      </w:pPr>
      <w:r>
        <w:t>The Paramount directors made the decision on September 12, 1993, that, in their judgment, a strategic merger with Viacom on the announced terms was in the best interests of Paramount and its stockholders. …</w:t>
      </w:r>
    </w:p>
    <w:p w14:paraId="7BE8EC10" w14:textId="77777777" w:rsidR="00E27303" w:rsidRDefault="00845189" w:rsidP="00696F3F">
      <w:pPr>
        <w:pStyle w:val="CaseParagraph"/>
        <w:ind w:left="0" w:firstLine="0"/>
      </w:pPr>
      <w:r>
        <w:t>We conclude that the Paramount directors’ process was not reasonable, and the result achieved for the stockholders was not reasonable under the circumstances.</w:t>
      </w:r>
    </w:p>
    <w:p w14:paraId="0D70BEFF" w14:textId="57705660" w:rsidR="00E27303" w:rsidRDefault="00845189" w:rsidP="005D7669">
      <w:pPr>
        <w:pStyle w:val="CaseParagraph"/>
        <w:ind w:left="0" w:firstLine="0"/>
      </w:pPr>
      <w:r>
        <w:t xml:space="preserve">When entering into the Original Merger Agreement, and thereafter, the Paramount Board clearly gave insufficient attention to the potential consequences of the defensive measures demanded by Viacom. The Stock Option Agreement had a number of unusual and potentially “draconian” aspects, not the least of which was that exercise of the option would give Viacom several hundred million dollars in value. The No-Shop Provision was inconsistent with the Paramount Board’s responsibilities in the context of a pending </w:t>
      </w:r>
      <w:r>
        <w:t xml:space="preserve">sale of control. These defensive measures were, at the very least, highly problematic under Unocal when Viacom was </w:t>
      </w:r>
      <w:r>
        <w:lastRenderedPageBreak/>
        <w:t>preferred over QVC for reasons unrelated to the long-term value of the enterprise or the well-being of its stockholders.…</w:t>
      </w:r>
    </w:p>
    <w:p w14:paraId="395BF0A3" w14:textId="77777777" w:rsidR="00E27303" w:rsidRDefault="00845189" w:rsidP="00696F3F">
      <w:pPr>
        <w:pStyle w:val="CaseParagraph"/>
        <w:ind w:left="0" w:firstLine="0"/>
      </w:pPr>
      <w:r>
        <w:t>By November 12, 1993, the value of the revised QVC offer on its face exceeded that of the Viacom offer by over $1 billion at then-current stock prices. The Paramount Board had the obligation to negotiate actively and in good faith with QVC as well as Viacom to determine whether the QVC offer could be improved and to ensure that the stockholders were receiving the best value reasonably available under the circumstances.</w:t>
      </w:r>
    </w:p>
    <w:p w14:paraId="172B794E" w14:textId="77777777" w:rsidR="00E27303" w:rsidRDefault="00845189" w:rsidP="00696F3F">
      <w:pPr>
        <w:pStyle w:val="CaseParagraph"/>
        <w:ind w:left="0" w:firstLine="0"/>
      </w:pPr>
      <w:r>
        <w:t>When the Paramount directors met on November 15 to consider QVC’s increased tender offer, they remained prisoners of their own misconceptions and missed opportunities to evaluate fairly the QVC offer. Instead, the Paramount Board “stayed the course” with Viacom, &lt;even though the Paramount Board was then required to reconsider its course of action reasonably and in good faith.&gt;</w:t>
      </w:r>
    </w:p>
    <w:p w14:paraId="79D961E0" w14:textId="77777777" w:rsidR="00E27303" w:rsidRDefault="00845189" w:rsidP="005D7669">
      <w:pPr>
        <w:pStyle w:val="CaseParagraph"/>
        <w:numPr>
          <w:ilvl w:val="0"/>
          <w:numId w:val="0"/>
        </w:numPr>
      </w:pPr>
      <w:r>
        <w:t>V. CONCLUSION</w:t>
      </w:r>
    </w:p>
    <w:p w14:paraId="238CC597" w14:textId="77777777" w:rsidR="00E27303" w:rsidRDefault="00845189" w:rsidP="00696F3F">
      <w:pPr>
        <w:pStyle w:val="CaseParagraph"/>
        <w:ind w:left="0" w:firstLine="0"/>
      </w:pPr>
      <w:r>
        <w:t xml:space="preserve">The realization of the best value reasonably available to the stockholders became the Paramount directors’ primary obligation under these facts when Paramount undertook a transaction which would result in a change of corporate control. The Paramount Board failed to satisfy that obligation. Therefore, we AFFIRM the November 24, 1993, Order of the Court of Chancery, PRELIMINARILY ENJOINING: (a) the Paramount Board from exercising the Viacom Stock Option Agreement; (b) the Paramount Board from terminating the </w:t>
      </w:r>
      <w:r>
        <w:t>Original Merger Agreement pursuant to Section 7.3(d) or Section 7.3(e) thereof without prior Court of Chancery approval; and (c) the Paramount defendants from interfering with QVC’s ability to conduct and consummate a business combination with Paramount. …</w:t>
      </w:r>
    </w:p>
    <w:p w14:paraId="6A84E507" w14:textId="77777777" w:rsidR="00E27303" w:rsidRDefault="00845189" w:rsidP="00696F3F">
      <w:pPr>
        <w:pStyle w:val="CaseParagraph"/>
        <w:ind w:left="0" w:firstLine="0"/>
      </w:pPr>
      <w:r>
        <w:t>The directors’ initial hope and expectation for a strategic alliance with Viacom was allowed to dominate their decisionmaking process to the point where the arsenal of defensive measures established at the outset was perpetuated (not modified or eliminated) when the situation was drastically altered by QVC’s emergence as a more valuable alternative. This outcome was caused by a failure to restart the Revlon analysis and to apply it to the new facts as they developed.</w:t>
      </w:r>
    </w:p>
    <w:p w14:paraId="07534012" w14:textId="77777777" w:rsidR="00E27303" w:rsidRDefault="00845189" w:rsidP="00696F3F">
      <w:pPr>
        <w:pStyle w:val="CaseParagraph"/>
        <w:ind w:left="0" w:firstLine="0"/>
      </w:pPr>
      <w:r>
        <w:t>For the reasons set forth herein, the November 24, 1993, Order of the Court of Chancery has been AFFIRMED, and this matter has been REMANDED for proceedings consistent herewith.</w:t>
      </w:r>
    </w:p>
    <w:p w14:paraId="1FCDB60D" w14:textId="77777777" w:rsidR="007E4F16" w:rsidRDefault="002D2B47">
      <w:pPr>
        <w:pStyle w:val="Heading2"/>
      </w:pPr>
      <w:r>
        <w:t>The Limits of Revlon</w:t>
      </w:r>
    </w:p>
    <w:p w14:paraId="31CDDD73" w14:textId="77777777" w:rsidR="007E4F16" w:rsidRDefault="002D2B47">
      <w:r>
        <w:t xml:space="preserve">For two decades after </w:t>
      </w:r>
      <w:r>
        <w:rPr>
          <w:i/>
        </w:rPr>
        <w:t>Revlon</w:t>
      </w:r>
      <w:r>
        <w:t xml:space="preserve">, plaintiffs and practitioners treated the case as a rigid command. They believed it required boards to conduct a formal auction with a </w:t>
      </w:r>
      <w:r>
        <w:lastRenderedPageBreak/>
        <w:t>specific set of procedures every time a company was sold. This interpretation led to a check-the-box mentality where boards focused on procedure rather than substance.</w:t>
      </w:r>
    </w:p>
    <w:p w14:paraId="41B55E9E" w14:textId="77777777" w:rsidR="007E4F16" w:rsidRDefault="002D2B47">
      <w:r>
        <w:t xml:space="preserve">In 2009, the Delaware Supreme Court clarified the doctrine in </w:t>
      </w:r>
      <w:r>
        <w:rPr>
          <w:i/>
        </w:rPr>
        <w:t>Lyondell Chemical Co. v. Ryan</w:t>
      </w:r>
      <w:r>
        <w:t xml:space="preserve">. The court explained that </w:t>
      </w:r>
      <w:r>
        <w:rPr>
          <w:i/>
        </w:rPr>
        <w:t>Revlon</w:t>
      </w:r>
      <w:r>
        <w:t xml:space="preserve"> is a standard of review, not a code of conduct. There is no single blueprint for selling a company. More importantly, the court addressed the interaction between </w:t>
      </w:r>
      <w:r>
        <w:rPr>
          <w:i/>
        </w:rPr>
        <w:t>Revlon</w:t>
      </w:r>
      <w:r>
        <w:t xml:space="preserve"> duties and the exculpatory provisions in corporate charters. Because most directors are protected from liability for negligence, a plaintiff cannot win money damages merely by proving the board ran a flawed auction. They must prove the board acted in bad faith.</w:t>
      </w:r>
    </w:p>
    <w:p w14:paraId="65FBA511" w14:textId="77777777" w:rsidR="00E27303" w:rsidRDefault="00845189">
      <w:pPr>
        <w:pStyle w:val="GuidingQuestions"/>
      </w:pPr>
      <w:r>
        <w:t>Lyondell accepted a 45-percent premium acquisition offer without conducting a pre-signing market check or running a formal auction. As you read the case, consider whether the absence of a process step is the same thing as indifference to shareholder value—and how much process, if any, Revlon actually requires. The court distinguishes between a “flawed but good-faith” effort and a “conscious disregard” of the duty to maximize value: where does that line fall in the Lyondell facts, and does the standard effec</w:t>
      </w:r>
      <w:r>
        <w:t>tively insulate directors from liability for all but the most deliberate failures? And how does the availability of a Section 102(b)(7) exculpatory charter provision change the analysis of which fiduciary duties can give rise to personal liability for damages?</w:t>
      </w:r>
    </w:p>
    <w:p w14:paraId="01F87CEF" w14:textId="77777777" w:rsidR="007E4F16" w:rsidRDefault="002D2B47" w:rsidP="00230600">
      <w:pPr>
        <w:pStyle w:val="CaseInternalHeading"/>
      </w:pPr>
      <w:r>
        <w:t>Lyondell Chemical Co. v. Ryan, 970 A.2d 235 (2009)</w:t>
      </w:r>
    </w:p>
    <w:p w14:paraId="34DD84B0" w14:textId="77777777" w:rsidR="007E4F16" w:rsidRDefault="002D2B47" w:rsidP="00230600">
      <w:pPr>
        <w:pStyle w:val="CaseParagraph"/>
        <w:numPr>
          <w:ilvl w:val="0"/>
          <w:numId w:val="25"/>
        </w:numPr>
        <w:ind w:left="0" w:firstLine="0"/>
      </w:pPr>
      <w:r>
        <w:t>[Basell AF proposed to acquire Lyondell Chemical Company for $48 per share in cash. The price represented a significant premium over Lyondell’s trading price. The Lyondell board approved the merger agreement after less than a week of negotiations and without conducting a pre-signing market check to solicit other bids. A shareholder lawsuit alleged that the directors breached their fiduciary duties of loyalty and care by failing to obtain the best price available.]</w:t>
      </w:r>
    </w:p>
    <w:p w14:paraId="31381FB2" w14:textId="77777777" w:rsidR="007E4F16" w:rsidRDefault="002D2B47" w:rsidP="00230600">
      <w:pPr>
        <w:pStyle w:val="CaseParagraph"/>
        <w:numPr>
          <w:ilvl w:val="0"/>
          <w:numId w:val="25"/>
        </w:numPr>
        <w:ind w:left="0" w:firstLine="0"/>
      </w:pPr>
      <w:r>
        <w:t xml:space="preserve">The trial court decided that the </w:t>
      </w:r>
      <w:r>
        <w:rPr>
          <w:i/>
        </w:rPr>
        <w:t>Revlon</w:t>
      </w:r>
      <w:r>
        <w:t xml:space="preserve"> claim was not barred by the exculpatory provision in Lyondell’s charter because, if the directors failed to do all that they should have under </w:t>
      </w:r>
      <w:r>
        <w:rPr>
          <w:i/>
        </w:rPr>
        <w:t>Revlon</w:t>
      </w:r>
      <w:r>
        <w:t>, they may have breached their duty of loyalty by acting in bad faith. ...</w:t>
      </w:r>
    </w:p>
    <w:p w14:paraId="5124AC48" w14:textId="77777777" w:rsidR="007E4F16" w:rsidRDefault="002D2B47" w:rsidP="00230600">
      <w:pPr>
        <w:pStyle w:val="CaseParagraph"/>
        <w:numPr>
          <w:ilvl w:val="0"/>
          <w:numId w:val="0"/>
        </w:numPr>
      </w:pPr>
      <w:r>
        <w:rPr>
          <w:b/>
        </w:rPr>
        <w:t>II.</w:t>
      </w:r>
    </w:p>
    <w:p w14:paraId="06F21DFA" w14:textId="77777777" w:rsidR="007E4F16" w:rsidRDefault="002D2B47" w:rsidP="00230600">
      <w:pPr>
        <w:pStyle w:val="CaseParagraph"/>
        <w:numPr>
          <w:ilvl w:val="0"/>
          <w:numId w:val="25"/>
        </w:numPr>
        <w:ind w:left="0" w:firstLine="0"/>
      </w:pPr>
      <w:r>
        <w:t>The duty to seek the best available price applies only when a company embarks on a transaction—on its own initiative or in response to an unsolicited offer—that will result in a change of control. ...</w:t>
      </w:r>
    </w:p>
    <w:p w14:paraId="1174AECE" w14:textId="77777777" w:rsidR="007E4F16" w:rsidRDefault="002D2B47" w:rsidP="00230600">
      <w:pPr>
        <w:pStyle w:val="CaseParagraph"/>
        <w:numPr>
          <w:ilvl w:val="0"/>
          <w:numId w:val="25"/>
        </w:numPr>
        <w:ind w:left="0" w:firstLine="0"/>
      </w:pPr>
      <w:r>
        <w:t xml:space="preserve">The Vice Chancellor identified the </w:t>
      </w:r>
      <w:r>
        <w:rPr>
          <w:i/>
        </w:rPr>
        <w:t>Revlon</w:t>
      </w:r>
      <w:r>
        <w:t xml:space="preserve"> trigger as the time when the directors began to negotiate the sale of Lyondell. ... [But] the trial court focused on </w:t>
      </w:r>
      <w:r>
        <w:lastRenderedPageBreak/>
        <w:t xml:space="preserve">the filing of the Schedule 13D... We assume, for present purposes, that the Board’s </w:t>
      </w:r>
      <w:r>
        <w:rPr>
          <w:i/>
        </w:rPr>
        <w:t>Revlon</w:t>
      </w:r>
      <w:r>
        <w:t xml:space="preserve"> duties began [at that time]. ...</w:t>
      </w:r>
    </w:p>
    <w:p w14:paraId="4462C40A" w14:textId="77777777" w:rsidR="007E4F16" w:rsidRDefault="002D2B47" w:rsidP="00230600">
      <w:pPr>
        <w:pStyle w:val="CaseParagraph"/>
        <w:numPr>
          <w:ilvl w:val="0"/>
          <w:numId w:val="0"/>
        </w:numPr>
      </w:pPr>
      <w:r>
        <w:rPr>
          <w:b/>
        </w:rPr>
        <w:t>III.</w:t>
      </w:r>
    </w:p>
    <w:p w14:paraId="1C079E1C" w14:textId="77777777" w:rsidR="007E4F16" w:rsidRDefault="002D2B47" w:rsidP="00230600">
      <w:pPr>
        <w:pStyle w:val="CaseParagraph"/>
        <w:numPr>
          <w:ilvl w:val="0"/>
          <w:numId w:val="25"/>
        </w:numPr>
        <w:ind w:left="0" w:firstLine="0"/>
      </w:pPr>
      <w:r>
        <w:t xml:space="preserve">The problem with the trial court’s analysis is that </w:t>
      </w:r>
      <w:r>
        <w:rPr>
          <w:i/>
        </w:rPr>
        <w:t>Revlon</w:t>
      </w:r>
      <w:r>
        <w:t xml:space="preserve"> duties do not exist in a vacuum. ... [T]here are no legally prescribed steps that directors must follow to satisfy their </w:t>
      </w:r>
      <w:r>
        <w:rPr>
          <w:i/>
        </w:rPr>
        <w:t>Revlon</w:t>
      </w:r>
      <w:r>
        <w:t xml:space="preserve"> duties. ... Thus, the directors’ failure to take any specific steps during the sale process could not have demonstrated a conscious disregard of their duties. ...</w:t>
      </w:r>
    </w:p>
    <w:p w14:paraId="6B494FEB" w14:textId="77777777" w:rsidR="007E4F16" w:rsidRDefault="002D2B47" w:rsidP="00230600">
      <w:pPr>
        <w:pStyle w:val="CaseParagraph"/>
        <w:numPr>
          <w:ilvl w:val="0"/>
          <w:numId w:val="25"/>
        </w:numPr>
        <w:ind w:left="0" w:firstLine="0"/>
      </w:pPr>
      <w:r>
        <w:t xml:space="preserve">[T]he trial court ... concluded that directors must follow one of several courses of action to satisfy their </w:t>
      </w:r>
      <w:r>
        <w:rPr>
          <w:i/>
        </w:rPr>
        <w:t>Revlon</w:t>
      </w:r>
      <w:r>
        <w:t xml:space="preserve"> duties. ... [But] there is only one </w:t>
      </w:r>
      <w:r>
        <w:rPr>
          <w:i/>
        </w:rPr>
        <w:t>Revlon</w:t>
      </w:r>
      <w:r>
        <w:t xml:space="preserve"> duty—to [get] the best price for the stockholders at a sale of the company. No court can tell directors exactly how to accomplish that goal, because they will be facing a unique combination of circumstances...</w:t>
      </w:r>
    </w:p>
    <w:p w14:paraId="768BC99A" w14:textId="77777777" w:rsidR="007E4F16" w:rsidRDefault="002D2B47" w:rsidP="00230600">
      <w:pPr>
        <w:pStyle w:val="CaseParagraph"/>
        <w:numPr>
          <w:ilvl w:val="0"/>
          <w:numId w:val="0"/>
        </w:numPr>
      </w:pPr>
      <w:r>
        <w:rPr>
          <w:b/>
        </w:rPr>
        <w:t>IV.</w:t>
      </w:r>
    </w:p>
    <w:p w14:paraId="6BC2140D" w14:textId="77777777" w:rsidR="007E4F16" w:rsidRDefault="002D2B47" w:rsidP="00230600">
      <w:pPr>
        <w:pStyle w:val="CaseParagraph"/>
        <w:numPr>
          <w:ilvl w:val="0"/>
          <w:numId w:val="25"/>
        </w:numPr>
        <w:ind w:left="0" w:firstLine="0"/>
      </w:pPr>
      <w:r>
        <w:t>The trial court denied summary judgment because the Lyondell directors’ failure to engage in a more proactive sale process might constitute a breach of the good faith component of the duty of loyalty. ...</w:t>
      </w:r>
    </w:p>
    <w:p w14:paraId="0F882159" w14:textId="77777777" w:rsidR="007E4F16" w:rsidRDefault="002D2B47" w:rsidP="00230600">
      <w:pPr>
        <w:pStyle w:val="CaseParagraph"/>
        <w:numPr>
          <w:ilvl w:val="0"/>
          <w:numId w:val="25"/>
        </w:numPr>
        <w:ind w:left="0" w:firstLine="0"/>
      </w:pPr>
      <w:r>
        <w:t>[B]ad faith will be found if a fiduciary intentionally fails to act in the face of a known duty to act, demonstrating a conscious disregard for his duties. ...</w:t>
      </w:r>
    </w:p>
    <w:p w14:paraId="74741916" w14:textId="77777777" w:rsidR="007E4F16" w:rsidRDefault="002D2B47" w:rsidP="00230600">
      <w:pPr>
        <w:pStyle w:val="CaseParagraph"/>
        <w:numPr>
          <w:ilvl w:val="0"/>
          <w:numId w:val="25"/>
        </w:numPr>
        <w:ind w:left="0" w:firstLine="0"/>
      </w:pPr>
      <w:r>
        <w:t>[T]here is a vast difference between an inadequate or flawed effort to carry out fiduciary duties and a conscious disregard for those duties. ... The trial court’s approach was that if the directors failed to do all that they should have ..., they breached their duty of loyalty [bad faith]. ...</w:t>
      </w:r>
    </w:p>
    <w:p w14:paraId="24F36551" w14:textId="77777777" w:rsidR="007E4F16" w:rsidRDefault="002D2B47" w:rsidP="00230600">
      <w:pPr>
        <w:pStyle w:val="CaseParagraph"/>
        <w:numPr>
          <w:ilvl w:val="0"/>
          <w:numId w:val="25"/>
        </w:numPr>
        <w:ind w:left="0" w:firstLine="0"/>
      </w:pPr>
      <w:r>
        <w:t>[But] the inquiry should have been whether those directors utterly failed to attempt to obtain the best sale price. ... The record establishes that the Lyondell directors were active, sophisticated, and generally aware of the value of the company and the market for the company. ... [They] attempted to negotiate a higher offer even though all the evidence indicates that Basell’s offer was a “blowout” price. ...</w:t>
      </w:r>
    </w:p>
    <w:p w14:paraId="2882A5BA" w14:textId="77777777" w:rsidR="007E4F16" w:rsidRDefault="002D2B47" w:rsidP="00230600">
      <w:pPr>
        <w:pStyle w:val="CaseParagraph"/>
        <w:numPr>
          <w:ilvl w:val="0"/>
          <w:numId w:val="25"/>
        </w:numPr>
        <w:ind w:left="0" w:firstLine="0"/>
      </w:pPr>
      <w:r>
        <w:t>The trial court REVERSED.</w:t>
      </w:r>
    </w:p>
    <w:p w14:paraId="371C871E" w14:textId="77777777" w:rsidR="007E4F16" w:rsidRDefault="00230600" w:rsidP="00230600">
      <w:pPr>
        <w:pStyle w:val="CaseInternalHeading"/>
      </w:pPr>
      <w:r>
        <w:rPr>
          <w:i/>
          <w:iCs/>
        </w:rPr>
        <w:t>Lyondell</w:t>
      </w:r>
      <w:r>
        <w:t xml:space="preserve"> Notes and Questions</w:t>
      </w:r>
    </w:p>
    <w:p w14:paraId="5C786CBA" w14:textId="77777777" w:rsidR="007E4F16" w:rsidRDefault="002D2B47">
      <w:pPr>
        <w:numPr>
          <w:ilvl w:val="0"/>
          <w:numId w:val="5"/>
        </w:numPr>
        <w:spacing w:after="0"/>
      </w:pPr>
      <w:r>
        <w:rPr>
          <w:b/>
        </w:rPr>
        <w:t>The Blueprint Fallacy.</w:t>
      </w:r>
      <w:r>
        <w:t xml:space="preserve"> </w:t>
      </w:r>
      <w:r>
        <w:rPr>
          <w:i/>
        </w:rPr>
        <w:t>Lyondell</w:t>
      </w:r>
      <w:r>
        <w:t xml:space="preserve"> explicitly rejects the idea that there is a specific set of steps—such as an active auction or a market check—that directors must follow to satisfy </w:t>
      </w:r>
      <w:r>
        <w:rPr>
          <w:i/>
        </w:rPr>
        <w:t>Revlon</w:t>
      </w:r>
      <w:r>
        <w:t xml:space="preserve">. This aligns with the public choice view that rigid judicial rules often fail to account for the complexity of business negotiations. Sometimes the best price is obtained by seizing a blowout offer immediately rather than risking the deal by soliciting other </w:t>
      </w:r>
      <w:r>
        <w:lastRenderedPageBreak/>
        <w:t>bids. The court grants directors the flexibility to choose their strategy, provided their goal is value maximization.</w:t>
      </w:r>
    </w:p>
    <w:p w14:paraId="12F00BD1" w14:textId="77777777" w:rsidR="007E4F16" w:rsidRDefault="002D2B47">
      <w:pPr>
        <w:numPr>
          <w:ilvl w:val="0"/>
          <w:numId w:val="5"/>
        </w:numPr>
        <w:spacing w:after="0"/>
      </w:pPr>
      <w:r>
        <w:t>The Section 102(b)(7) Shield. The most important aspect of Lyondell is its interaction with Section 102(b)(7) of the Delaware General Corporation Law, which allows corporations to exculpate directors from personal liability for breaches of the duty of care. In 2022 the Delaware legislature amended § 102(b)(7) to extend exculpation to certain senior officers—specifically the president, chief executive officer, chief operating officer, chief financial officer, chief legal officer, controller, treasurer, and chief accounting officer—effective for acts or omissions occurring on or after August 1, 2022. See 8 Del. C. § 102(b)(7) (2022). Officers who hold such positions for multiple companies within a corporate group are subject to additional limitations. This amendment was adopted in part in response to In re McDonald’s Corp. Stockholder Derivative Litig., 289 A.3d 343 (Del. Ch. 2023), and the risk that senior officers could face personal duty-of-care claims that directors could not. Because Lyondell had such a provision, the plaintiffs could not win by proving the directors were negligent or even grossly negligent in their process. They had to prove bad faith, which requires a conscious disregard of duty. This extremely high bar protects directors from hindsight bias, ensuring that they are not punished personally for making difficult decisions that maximize shareholder value, even if the process was imperfect.</w:t>
      </w:r>
    </w:p>
    <w:p w14:paraId="1E020826" w14:textId="77777777" w:rsidR="007E4F16" w:rsidRDefault="002D2B47">
      <w:pPr>
        <w:numPr>
          <w:ilvl w:val="0"/>
          <w:numId w:val="5"/>
        </w:numPr>
        <w:spacing w:after="0"/>
      </w:pPr>
      <w:r>
        <w:rPr>
          <w:b/>
        </w:rPr>
        <w:t>Conscious Disregard.</w:t>
      </w:r>
      <w:r>
        <w:t xml:space="preserve"> The court defines bad faith as an intentional failure to act in the face of a known duty. In the M&amp;A context, this means a plaintiff must show that the directors essentially abandoned their post and did not even attempt to get a good price. If the directors are active, meet, and negotiate—even if they do a poor job—they have not acted in bad faith. This standard effectively creates a safe harbor for all but the most egregious conduct, reinforcing the stability of the Delaware corporate law ecosystem.</w:t>
      </w:r>
    </w:p>
    <w:p w14:paraId="4EFF6E9F" w14:textId="77777777" w:rsidR="007E4F16" w:rsidRDefault="002D2B47">
      <w:pPr>
        <w:pStyle w:val="Heading2"/>
      </w:pPr>
      <w:r>
        <w:t>Judicial Solutions to Excessive Litigation</w:t>
      </w:r>
    </w:p>
    <w:p w14:paraId="3843BB47" w14:textId="77777777" w:rsidR="007E4F16" w:rsidRDefault="002D2B47">
      <w:r>
        <w:t>By the mid-2010s, the Delaware courts faced a new public choice problem: the “merger tax.” Almost every public company merger was attracting shareholder litigation. Plaintiffs’ lawyers would file suit immediately after a deal was announced, alleging disclosure violations or process flaws. They would then settle for “supplemental disclosures” (often meaningless additional sentences in the proxy statement) and a hefty fee for themselves, while the shareholders got nothing.</w:t>
      </w:r>
    </w:p>
    <w:p w14:paraId="197473C1" w14:textId="77777777" w:rsidR="007E4F16" w:rsidRDefault="002D2B47">
      <w:r>
        <w:lastRenderedPageBreak/>
        <w:t xml:space="preserve">Simultaneously, “appraisal arbitrage” had become a booming industry. Hedge funds were buying into deals solely to sue for a higher price, using the </w:t>
      </w:r>
      <w:r>
        <w:rPr>
          <w:i/>
        </w:rPr>
        <w:t>Weinberger</w:t>
      </w:r>
      <w:r>
        <w:t xml:space="preserve"> rule to battle over DCF models.</w:t>
      </w:r>
    </w:p>
    <w:p w14:paraId="2389683D" w14:textId="77777777" w:rsidR="007E4F16" w:rsidRDefault="002D2B47">
      <w:r>
        <w:t>This excessive litigation threatened Delaware’s competitive position. If doing a deal in Delaware meant paying a “tax” to lawyers and arbitrageurs, companies might reincorporate elsewhere. In response, the Delaware Supreme Court issued a series of decisions that created powerful “safe harbors.” These cases—</w:t>
      </w:r>
      <w:r>
        <w:rPr>
          <w:i/>
        </w:rPr>
        <w:t>Corwin</w:t>
      </w:r>
      <w:r>
        <w:t xml:space="preserve">, </w:t>
      </w:r>
      <w:r>
        <w:rPr>
          <w:i/>
        </w:rPr>
        <w:t>Dell</w:t>
      </w:r>
      <w:r>
        <w:t xml:space="preserve">, and </w:t>
      </w:r>
      <w:r>
        <w:rPr>
          <w:i/>
        </w:rPr>
        <w:t>Match Group</w:t>
      </w:r>
      <w:r>
        <w:t>—allow defendants to dismiss lawsuits early if they follow specific procedures that mimic market mechanisms.</w:t>
      </w:r>
    </w:p>
    <w:p w14:paraId="6970BDAE" w14:textId="77777777" w:rsidR="007E4F16" w:rsidRDefault="002D2B47">
      <w:pPr>
        <w:pStyle w:val="Heading3"/>
      </w:pPr>
      <w:r>
        <w:t>Cleansing by Vote</w:t>
      </w:r>
    </w:p>
    <w:p w14:paraId="2529AE07" w14:textId="77777777" w:rsidR="007E4F16" w:rsidRDefault="002D2B47">
      <w:r>
        <w:t xml:space="preserve">The first major reform addressed the standard of review. As we have seen, </w:t>
      </w:r>
      <w:r>
        <w:rPr>
          <w:i/>
        </w:rPr>
        <w:t>Revlon</w:t>
      </w:r>
      <w:r>
        <w:t xml:space="preserve"> and </w:t>
      </w:r>
      <w:r>
        <w:rPr>
          <w:i/>
        </w:rPr>
        <w:t>Unocal</w:t>
      </w:r>
      <w:r>
        <w:t xml:space="preserve"> impose “enhanced scrutiny,” which places the burden on directors to prove their actions were reasonable. This makes it hard to dismiss a case before discovery.</w:t>
      </w:r>
    </w:p>
    <w:p w14:paraId="4B061903" w14:textId="77777777" w:rsidR="007E4F16" w:rsidRDefault="002D2B47">
      <w:r>
        <w:t xml:space="preserve">In </w:t>
      </w:r>
      <w:r>
        <w:rPr>
          <w:i/>
        </w:rPr>
        <w:t>Corwin</w:t>
      </w:r>
      <w:r>
        <w:t>, the Court held that if a transaction is approved by a fully informed, uncoerced vote of the disinterested stockholders, the standard of review shifts back to the business judgment rule. This effectively “cleanses” the transaction of almost all claims except waste (which is nearly impossible to prove).</w:t>
      </w:r>
    </w:p>
    <w:p w14:paraId="43FA5318" w14:textId="77777777" w:rsidR="00E27303" w:rsidRDefault="00845189">
      <w:pPr>
        <w:pStyle w:val="GuidingQuestions"/>
      </w:pPr>
      <w:r>
        <w:t xml:space="preserve">Corwin holds that when a transaction not subject to entire fairness is approved by a fully informed, uncoerced vote of the disinterested stockholders, the standard of review shifts back to the business judgment rule—even if the transaction would otherwise have been subject to Revlon or Unocal scrutiny. As you read the case, consider what this holding assumes about shareholder rationality and the adequacy of proxy disclosures. Does the doctrine create an incentive for boards to seek stockholder approval not </w:t>
      </w:r>
      <w:r>
        <w:t>because they genuinely value shareholders’ judgment, but because approval eliminates judicial scrutiny? And if a fully informed, uncoerced vote effectively ends review of a transaction, what does that tell us about the original purpose of enhanced scrutiny under Revlon and Unocal?</w:t>
      </w:r>
    </w:p>
    <w:p w14:paraId="755292BD" w14:textId="77777777" w:rsidR="007E4F16" w:rsidRDefault="002D2B47" w:rsidP="00230600">
      <w:pPr>
        <w:pStyle w:val="CaseInternalHeading"/>
      </w:pPr>
      <w:r>
        <w:t>Corwin v. KKR Financial Holdings LLC, 125 A.3d 304 (2015)</w:t>
      </w:r>
    </w:p>
    <w:p w14:paraId="7BD44063" w14:textId="77777777" w:rsidR="007E4F16" w:rsidRDefault="002D2B47" w:rsidP="00230600">
      <w:pPr>
        <w:pStyle w:val="CaseParagraph"/>
        <w:numPr>
          <w:ilvl w:val="0"/>
          <w:numId w:val="26"/>
        </w:numPr>
        <w:ind w:left="0" w:firstLine="0"/>
      </w:pPr>
      <w:r>
        <w:t>This is an appeal from a final judgment of the Court of Chancery ... dismissing a post-closing challenge to a stock-for-stock merger between KKR Financial Holdings LLC (“KFN”) and KKR &amp; Co. L.P. (“KKR”). ...</w:t>
      </w:r>
    </w:p>
    <w:p w14:paraId="18B70D2E" w14:textId="77777777" w:rsidR="007E4F16" w:rsidRDefault="002D2B47" w:rsidP="00230600">
      <w:pPr>
        <w:pStyle w:val="CaseParagraph"/>
        <w:numPr>
          <w:ilvl w:val="0"/>
          <w:numId w:val="26"/>
        </w:numPr>
        <w:ind w:left="0" w:firstLine="0"/>
      </w:pPr>
      <w:r>
        <w:t xml:space="preserve">[KFN was a financial holding company managed by KKR. KKR proposed to acquire KFN in a stock-for-stock merger. The deal was approved by a majority of KFN’s minority stockholders. The plaintiffs argued that because KKR managed </w:t>
      </w:r>
      <w:r>
        <w:lastRenderedPageBreak/>
        <w:t xml:space="preserve">KFN, the deal should be subject to entire fairness review, or at least enhanced scrutiny under </w:t>
      </w:r>
      <w:r>
        <w:rPr>
          <w:i/>
        </w:rPr>
        <w:t>Revlon</w:t>
      </w:r>
      <w:r>
        <w:t>.]</w:t>
      </w:r>
    </w:p>
    <w:p w14:paraId="418150E3" w14:textId="77777777" w:rsidR="007E4F16" w:rsidRDefault="002D2B47" w:rsidP="00230600">
      <w:pPr>
        <w:pStyle w:val="CaseParagraph"/>
        <w:numPr>
          <w:ilvl w:val="0"/>
          <w:numId w:val="0"/>
        </w:numPr>
      </w:pPr>
      <w:r>
        <w:rPr>
          <w:b/>
        </w:rPr>
        <w:t>II.</w:t>
      </w:r>
      <w:r>
        <w:t xml:space="preserve"> </w:t>
      </w:r>
      <w:r>
        <w:rPr>
          <w:b/>
        </w:rPr>
        <w:t>A.</w:t>
      </w:r>
    </w:p>
    <w:p w14:paraId="1908F0A1" w14:textId="77777777" w:rsidR="007E4F16" w:rsidRDefault="002D2B47" w:rsidP="00230600">
      <w:pPr>
        <w:pStyle w:val="CaseParagraph"/>
        <w:numPr>
          <w:ilvl w:val="0"/>
          <w:numId w:val="26"/>
        </w:numPr>
        <w:ind w:left="0" w:firstLine="0"/>
      </w:pPr>
      <w:r>
        <w:t>... [W]e have held that when a transaction not subject to the entire fairness standard is approved by a fully informed, uncoerced vote of the disinterested stockholders, the business judgment rule applies. ...</w:t>
      </w:r>
    </w:p>
    <w:p w14:paraId="07041401" w14:textId="77777777" w:rsidR="007E4F16" w:rsidRDefault="002D2B47" w:rsidP="00230600">
      <w:pPr>
        <w:pStyle w:val="CaseParagraph"/>
        <w:numPr>
          <w:ilvl w:val="0"/>
          <w:numId w:val="26"/>
        </w:numPr>
        <w:ind w:left="0" w:firstLine="0"/>
      </w:pPr>
      <w:r>
        <w:t xml:space="preserve">The plaintiffs argue that ... the vote of the disinterested stockholders should only shift the standard of review from </w:t>
      </w:r>
      <w:r>
        <w:rPr>
          <w:i/>
        </w:rPr>
        <w:t>Revlon</w:t>
      </w:r>
      <w:r>
        <w:t xml:space="preserve"> to entire fairness, not to the business judgment rule. ...</w:t>
      </w:r>
    </w:p>
    <w:p w14:paraId="428010BA" w14:textId="77777777" w:rsidR="007E4F16" w:rsidRDefault="002D2B47" w:rsidP="00230600">
      <w:pPr>
        <w:pStyle w:val="CaseParagraph"/>
        <w:numPr>
          <w:ilvl w:val="0"/>
          <w:numId w:val="0"/>
        </w:numPr>
      </w:pPr>
      <w:r>
        <w:rPr>
          <w:b/>
        </w:rPr>
        <w:t>B.</w:t>
      </w:r>
    </w:p>
    <w:p w14:paraId="460E8969" w14:textId="77777777" w:rsidR="007E4F16" w:rsidRDefault="002D2B47" w:rsidP="00230600">
      <w:pPr>
        <w:pStyle w:val="CaseParagraph"/>
        <w:numPr>
          <w:ilvl w:val="0"/>
          <w:numId w:val="26"/>
        </w:numPr>
        <w:ind w:left="0" w:firstLine="0"/>
      </w:pPr>
      <w:r>
        <w:t xml:space="preserve">[W]e reject the plaintiffs’ argument... [T]he doctrine applies to fully informed, uncoerced stockholder votes, and if mere approval of a transaction by a disinterested majority of stockholders was sufficient to invoke the business judgment rule, there would be no need for </w:t>
      </w:r>
      <w:r>
        <w:rPr>
          <w:i/>
        </w:rPr>
        <w:t>Revlon</w:t>
      </w:r>
      <w:r>
        <w:t xml:space="preserve"> or </w:t>
      </w:r>
      <w:r>
        <w:rPr>
          <w:i/>
        </w:rPr>
        <w:t>Unocal</w:t>
      </w:r>
      <w:r>
        <w:t xml:space="preserve"> in the first place. ...</w:t>
      </w:r>
    </w:p>
    <w:p w14:paraId="36BA52D1" w14:textId="77777777" w:rsidR="007E4F16" w:rsidRDefault="002D2B47" w:rsidP="00230600">
      <w:pPr>
        <w:pStyle w:val="CaseParagraph"/>
        <w:numPr>
          <w:ilvl w:val="0"/>
          <w:numId w:val="26"/>
        </w:numPr>
        <w:ind w:left="0" w:firstLine="0"/>
      </w:pPr>
      <w:r>
        <w:rPr>
          <w:i/>
        </w:rPr>
        <w:t>Revlon</w:t>
      </w:r>
      <w:r>
        <w:t xml:space="preserve"> and </w:t>
      </w:r>
      <w:r>
        <w:rPr>
          <w:i/>
        </w:rPr>
        <w:t>Unocal</w:t>
      </w:r>
      <w:r>
        <w:t xml:space="preserve"> were designed to address the specific agency problems that arise when a board is acting without shareholder approval... But when the stockholders themselves—who are the residual claimants—have voted to approve the transaction after a full and fair disclosure, the agency problem that motivated </w:t>
      </w:r>
      <w:r>
        <w:rPr>
          <w:i/>
        </w:rPr>
        <w:t>Revlon</w:t>
      </w:r>
      <w:r>
        <w:t xml:space="preserve"> and </w:t>
      </w:r>
      <w:r>
        <w:rPr>
          <w:i/>
        </w:rPr>
        <w:t>Unocal</w:t>
      </w:r>
      <w:r>
        <w:t xml:space="preserve"> disappears. ...</w:t>
      </w:r>
    </w:p>
    <w:p w14:paraId="2507F551" w14:textId="77777777" w:rsidR="007E4F16" w:rsidRDefault="002D2B47" w:rsidP="00230600">
      <w:pPr>
        <w:pStyle w:val="CaseParagraph"/>
        <w:numPr>
          <w:ilvl w:val="0"/>
          <w:numId w:val="26"/>
        </w:numPr>
        <w:ind w:left="0" w:firstLine="0"/>
      </w:pPr>
      <w:r>
        <w:t>[W]hen a transaction ... is approved by a fully informed, uncoerced vote of the disinterested stockholders, the business judgment rule applies. ... [T]he dismissal of the plaintiffs’ complaint is AFFIRMED.</w:t>
      </w:r>
    </w:p>
    <w:p w14:paraId="3D5AF2A7" w14:textId="77777777" w:rsidR="007E4F16" w:rsidRDefault="00230600" w:rsidP="00230600">
      <w:pPr>
        <w:pStyle w:val="CaseInternalHeading"/>
      </w:pPr>
      <w:r>
        <w:rPr>
          <w:i/>
          <w:iCs/>
        </w:rPr>
        <w:t>Corwin</w:t>
      </w:r>
      <w:r>
        <w:t xml:space="preserve"> Notes and Questions</w:t>
      </w:r>
    </w:p>
    <w:p w14:paraId="651BBC6B" w14:textId="77777777" w:rsidR="007E4F16" w:rsidRDefault="002D2B47">
      <w:pPr>
        <w:numPr>
          <w:ilvl w:val="0"/>
          <w:numId w:val="6"/>
        </w:numPr>
        <w:spacing w:after="0"/>
      </w:pPr>
      <w:r>
        <w:rPr>
          <w:b/>
        </w:rPr>
        <w:t>The Death of the Strike Suit.</w:t>
      </w:r>
      <w:r>
        <w:t xml:space="preserve"> </w:t>
      </w:r>
      <w:r>
        <w:rPr>
          <w:i/>
        </w:rPr>
        <w:t>Corwin</w:t>
      </w:r>
      <w:r>
        <w:t xml:space="preserve"> was a massive victory for defendants. Before </w:t>
      </w:r>
      <w:r>
        <w:rPr>
          <w:i/>
        </w:rPr>
        <w:t>Corwin</w:t>
      </w:r>
      <w:r>
        <w:t xml:space="preserve">, plaintiffs could almost always survive a motion to dismiss by alleging a </w:t>
      </w:r>
      <w:r>
        <w:rPr>
          <w:i/>
        </w:rPr>
        <w:t>Revlon</w:t>
      </w:r>
      <w:r>
        <w:t xml:space="preserve"> breach. After </w:t>
      </w:r>
      <w:r>
        <w:rPr>
          <w:i/>
        </w:rPr>
        <w:t>Corwin</w:t>
      </w:r>
      <w:r>
        <w:t xml:space="preserve">, if the shareholder vote was “fully informed,” the case is dead on arrival. This shifted the litigation battleground to “disclosure claims”—plaintiffs now try to prove that the vote wasn’t </w:t>
      </w:r>
      <w:r>
        <w:rPr>
          <w:i/>
        </w:rPr>
        <w:t>really</w:t>
      </w:r>
      <w:r>
        <w:t xml:space="preserve"> informed because the proxy statement omitted some detail.</w:t>
      </w:r>
    </w:p>
    <w:p w14:paraId="74184735" w14:textId="77777777" w:rsidR="007E4F16" w:rsidRDefault="002D2B47">
      <w:pPr>
        <w:numPr>
          <w:ilvl w:val="0"/>
          <w:numId w:val="6"/>
        </w:numPr>
        <w:spacing w:after="0"/>
      </w:pPr>
      <w:r>
        <w:rPr>
          <w:b/>
        </w:rPr>
        <w:t>Public Choice and “ shareholder democracy.”</w:t>
      </w:r>
      <w:r>
        <w:t xml:space="preserve"> </w:t>
      </w:r>
      <w:r>
        <w:rPr>
          <w:i/>
        </w:rPr>
        <w:t>Corwin</w:t>
      </w:r>
      <w:r>
        <w:t xml:space="preserve"> is framed as a tribute to shareholder democracy (“who better to decide than the owners?”). However, from a public choice perspective, it is a liability shield. It allows boards to “insulate” their decisions from judicial review by obtaining a ratifying vote. Does this actually protect shareholders, or does it just force them to vote on a “take it or leave it” deal without adequate legal recourse?</w:t>
      </w:r>
    </w:p>
    <w:p w14:paraId="6270C37F" w14:textId="77777777" w:rsidR="007E4F16" w:rsidRDefault="002D2B47">
      <w:pPr>
        <w:pStyle w:val="Heading3"/>
      </w:pPr>
      <w:r>
        <w:lastRenderedPageBreak/>
        <w:t>Cleansing by Market Price</w:t>
      </w:r>
    </w:p>
    <w:p w14:paraId="1B08DA19" w14:textId="77777777" w:rsidR="007E4F16" w:rsidRDefault="002D2B47">
      <w:r>
        <w:t xml:space="preserve">The second reform targeted appraisal arbitrage. In </w:t>
      </w:r>
      <w:r>
        <w:rPr>
          <w:i/>
        </w:rPr>
        <w:t>Weinberger</w:t>
      </w:r>
      <w:r>
        <w:t xml:space="preserve">, the Court opened the door to all valuation methods. In </w:t>
      </w:r>
      <w:r>
        <w:rPr>
          <w:i/>
        </w:rPr>
        <w:t>Dell</w:t>
      </w:r>
      <w:r>
        <w:t>, the Court began to shut that door, holding that when a company is sold in an efficient market, the deal price is often the best evidence of fair value.</w:t>
      </w:r>
    </w:p>
    <w:p w14:paraId="3DA3A755" w14:textId="77777777" w:rsidR="00E27303" w:rsidRDefault="00845189">
      <w:pPr>
        <w:pStyle w:val="GuidingQuestions"/>
      </w:pPr>
      <w:r>
        <w:t>In a statutory appraisal proceeding, dissenting shareholders seek a judicial determination of the “fair value” of their shares. Dell holds that when a company is sold through a robust, arm’s-length process, the deal price itself may be the best evidence of fair value—and expert DCF analyses that diverge significantly from the deal price deserve little weight. As you read the case, consider what assumptions about market efficiency that holding requires, and whether those assumptions hold when the buyer is th</w:t>
      </w:r>
      <w:r>
        <w:t>e company’s own management team. If the deal price in a management buyout already reflects the buyer’s private knowledge that the company is worth more than its trading price, does accepting that price as fair value systematically disadvantage dissenting shareholders? And what practical work remains for the appraisal remedy after Dell?</w:t>
      </w:r>
    </w:p>
    <w:p w14:paraId="4A572ED6" w14:textId="77777777" w:rsidR="007E4F16" w:rsidRDefault="002D2B47" w:rsidP="00230600">
      <w:pPr>
        <w:pStyle w:val="CaseInternalHeading"/>
      </w:pPr>
      <w:r>
        <w:rPr>
          <w:i/>
          <w:iCs/>
        </w:rPr>
        <w:t>Dell, Inc. v. Magnetar Global Event Driven Master Fund Ltd</w:t>
      </w:r>
      <w:r>
        <w:t>, 177 A.3d 1 (2017)</w:t>
      </w:r>
    </w:p>
    <w:p w14:paraId="0DACA21C" w14:textId="77777777" w:rsidR="007E4F16" w:rsidRDefault="002D2B47" w:rsidP="00230600">
      <w:pPr>
        <w:pStyle w:val="CaseParagraph"/>
        <w:numPr>
          <w:ilvl w:val="0"/>
          <w:numId w:val="27"/>
        </w:numPr>
        <w:ind w:left="0" w:firstLine="0"/>
      </w:pPr>
      <w:r>
        <w:t>[In 2013, Michael Dell partnered with Silver Lake Partners to take Dell, Inc. private in a Management Buyout (MBO) for $13.75 per share. The deal was approved by an independent committee and a majority of the minority shareholders. Petitioners, including the Magnetar hedge fund, sought appraisal. The trial court disregarded the deal price and used its own DCF model to value the shares at $17.62. The Company appealed.]</w:t>
      </w:r>
    </w:p>
    <w:p w14:paraId="32D3C1E6" w14:textId="77777777" w:rsidR="007E4F16" w:rsidRDefault="002D2B47" w:rsidP="00230600">
      <w:pPr>
        <w:pStyle w:val="CaseParagraph"/>
        <w:numPr>
          <w:ilvl w:val="0"/>
          <w:numId w:val="0"/>
        </w:numPr>
      </w:pPr>
      <w:r>
        <w:rPr>
          <w:b/>
        </w:rPr>
        <w:t>I.</w:t>
      </w:r>
      <w:r>
        <w:t xml:space="preserve"> </w:t>
      </w:r>
      <w:r>
        <w:rPr>
          <w:b/>
        </w:rPr>
        <w:t>A.</w:t>
      </w:r>
    </w:p>
    <w:p w14:paraId="00C2511A" w14:textId="77777777" w:rsidR="007E4F16" w:rsidRDefault="002D2B47" w:rsidP="00230600">
      <w:pPr>
        <w:pStyle w:val="CaseParagraph"/>
        <w:numPr>
          <w:ilvl w:val="0"/>
          <w:numId w:val="27"/>
        </w:numPr>
        <w:ind w:left="0" w:firstLine="0"/>
      </w:pPr>
      <w:r>
        <w:t>... The trial court gave no weight to Dell’s stock price because it found its market to be inefficient. But the evidence suggests that the market for Dell’s shares was actually efficient...</w:t>
      </w:r>
    </w:p>
    <w:p w14:paraId="39ADFCEE" w14:textId="77777777" w:rsidR="007E4F16" w:rsidRDefault="002D2B47" w:rsidP="00230600">
      <w:pPr>
        <w:pStyle w:val="CaseParagraph"/>
        <w:numPr>
          <w:ilvl w:val="0"/>
          <w:numId w:val="27"/>
        </w:numPr>
        <w:ind w:left="0" w:firstLine="0"/>
      </w:pPr>
      <w:r>
        <w:t>Dell’s market capitalization of more than $20 billion ranked it in the top third of the S&amp;P 500. ... The stock had a bid-ask spread of approximately 0.08%. ... Based on these metrics, the record suggests the market for Dell stock was semi-strong efficient, meaning that the market’s digestion and assessment of all publicly available information concerning Dell was quickly impounded into the Company’s stock price.</w:t>
      </w:r>
    </w:p>
    <w:p w14:paraId="62CD0FED" w14:textId="77777777" w:rsidR="007E4F16" w:rsidRDefault="002D2B47" w:rsidP="00230600">
      <w:pPr>
        <w:pStyle w:val="CaseParagraph"/>
        <w:numPr>
          <w:ilvl w:val="0"/>
          <w:numId w:val="0"/>
        </w:numPr>
      </w:pPr>
      <w:r>
        <w:rPr>
          <w:b/>
        </w:rPr>
        <w:t>B.</w:t>
      </w:r>
    </w:p>
    <w:p w14:paraId="6FE8D7C1" w14:textId="77777777" w:rsidR="007E4F16" w:rsidRDefault="002D2B47" w:rsidP="00230600">
      <w:pPr>
        <w:pStyle w:val="CaseParagraph"/>
        <w:numPr>
          <w:ilvl w:val="0"/>
          <w:numId w:val="27"/>
        </w:numPr>
        <w:ind w:left="0" w:firstLine="0"/>
      </w:pPr>
      <w:r>
        <w:lastRenderedPageBreak/>
        <w:t>[W]hen the evidence of market efficiency, fair play, outreach to all logical buyers, and the chance for any topping bidder ... is so compelling, then there is no rational factual basis for such a “valuation gap.” ...</w:t>
      </w:r>
    </w:p>
    <w:p w14:paraId="52A9ED17" w14:textId="77777777" w:rsidR="007E4F16" w:rsidRDefault="002D2B47" w:rsidP="00230600">
      <w:pPr>
        <w:pStyle w:val="CaseParagraph"/>
        <w:numPr>
          <w:ilvl w:val="0"/>
          <w:numId w:val="27"/>
        </w:numPr>
        <w:ind w:left="0" w:firstLine="0"/>
      </w:pPr>
      <w:r>
        <w:t>DCF models are widely considered the best tool for valuing companies when there is no observable market price... But like all valuation methods, they rely on the accuracy of their inputs. ... [W]hen an asset has few, or no, obstacles to being sold in a market, the best evidence of its fair value is the price at which it sells.</w:t>
      </w:r>
    </w:p>
    <w:p w14:paraId="5BF96D6F" w14:textId="77777777" w:rsidR="007E4F16" w:rsidRDefault="002D2B47" w:rsidP="00230600">
      <w:pPr>
        <w:pStyle w:val="CaseParagraph"/>
        <w:numPr>
          <w:ilvl w:val="0"/>
          <w:numId w:val="27"/>
        </w:numPr>
        <w:ind w:left="0" w:firstLine="0"/>
      </w:pPr>
      <w:r>
        <w:t>We REVERSE ... and REMAND...</w:t>
      </w:r>
    </w:p>
    <w:p w14:paraId="0AE8329D" w14:textId="77777777" w:rsidR="007E4F16" w:rsidRDefault="002D2B47" w:rsidP="00230600">
      <w:pPr>
        <w:pStyle w:val="CaseParagraph"/>
        <w:numPr>
          <w:ilvl w:val="0"/>
          <w:numId w:val="0"/>
        </w:numPr>
      </w:pPr>
      <w:r>
        <w:t>C. Cleansing the Controller</w:t>
      </w:r>
    </w:p>
    <w:p w14:paraId="08EA6B1C" w14:textId="77777777" w:rsidR="007E4F16" w:rsidRDefault="002D2B47" w:rsidP="00230600">
      <w:pPr>
        <w:pStyle w:val="CaseParagraph"/>
        <w:numPr>
          <w:ilvl w:val="0"/>
          <w:numId w:val="27"/>
        </w:numPr>
        <w:ind w:left="0" w:firstLine="0"/>
      </w:pPr>
      <w:r>
        <w:t xml:space="preserve">The final frontier was the “Controller Squeeze-out.” When a controlling stockholder buys the rest of the company (as in </w:t>
      </w:r>
      <w:r>
        <w:rPr>
          <w:i/>
        </w:rPr>
        <w:t>Weinberger</w:t>
      </w:r>
      <w:r>
        <w:t>), the risk of coercion is highest. For decades, these deals were always subject to entire fairness review.</w:t>
      </w:r>
    </w:p>
    <w:p w14:paraId="241BBBE2" w14:textId="77777777" w:rsidR="007E4F16" w:rsidRDefault="002D2B47" w:rsidP="00230600">
      <w:pPr>
        <w:pStyle w:val="CaseParagraph"/>
        <w:numPr>
          <w:ilvl w:val="0"/>
          <w:numId w:val="27"/>
        </w:numPr>
        <w:ind w:left="0" w:firstLine="0"/>
      </w:pPr>
      <w:r>
        <w:t xml:space="preserve">In </w:t>
      </w:r>
      <w:r>
        <w:rPr>
          <w:i/>
        </w:rPr>
        <w:t>Kahn v. M &amp; F Worldwide Corp.</w:t>
      </w:r>
      <w:r>
        <w:t xml:space="preserve"> (MFW) and confirmed in </w:t>
      </w:r>
      <w:r>
        <w:rPr>
          <w:i/>
        </w:rPr>
        <w:t>Match Group</w:t>
      </w:r>
      <w:r>
        <w:t xml:space="preserve">, the Court created a path to business judgment even for controllers. If the controller conditions the deal </w:t>
      </w:r>
      <w:r>
        <w:rPr>
          <w:i/>
        </w:rPr>
        <w:t>ab initio</w:t>
      </w:r>
      <w:r>
        <w:t xml:space="preserve"> (from the start) on approval by </w:t>
      </w:r>
      <w:r>
        <w:rPr>
          <w:i/>
        </w:rPr>
        <w:t>both</w:t>
      </w:r>
      <w:r>
        <w:t xml:space="preserve"> an independent special committee </w:t>
      </w:r>
      <w:r>
        <w:rPr>
          <w:i/>
        </w:rPr>
        <w:t>and</w:t>
      </w:r>
      <w:r>
        <w:t xml:space="preserve"> a majority of the minority stockholders, the court will wash its hands of the matter.</w:t>
      </w:r>
    </w:p>
    <w:p w14:paraId="5703951B" w14:textId="77777777" w:rsidR="00E27303" w:rsidRDefault="00845189">
      <w:pPr>
        <w:pStyle w:val="GuidingQuestions"/>
      </w:pPr>
      <w:r>
        <w:t>Match Group tests the limits of the MFW framework, which allows a controlling stockholder to access business judgment review for a squeeze-out by conditioning the deal ab initio on both an independent special committee’s approval and a majority-of-the-minority stockholder vote. As you read the case, consider why the court insists that those conditions be established before negotiations begin—rather than simply requiring that an independent committee and a minority vote occur at some point in the process. Th</w:t>
      </w:r>
      <w:r>
        <w:t>e court finds that the Special Committee in Match Group lacked full independence: how does that defect affect the standard of review, and what does “ab initio” conditioning require in practice? And if the MFW framework substitutes stockholder approval for judicial scrutiny of fairness, does that serve or undermine the original purpose of entire fairness review in controller transactions?</w:t>
      </w:r>
    </w:p>
    <w:p w14:paraId="3F7C1C01" w14:textId="77777777" w:rsidR="007E4F16" w:rsidRDefault="002D2B47" w:rsidP="00230600">
      <w:pPr>
        <w:pStyle w:val="CaseInternalHeading"/>
      </w:pPr>
      <w:r>
        <w:t>In re Match Group, Inc. Derivative Litigation, 315 A.3d 446 (2024)</w:t>
      </w:r>
    </w:p>
    <w:p w14:paraId="174B1B1F" w14:textId="77777777" w:rsidR="007E4F16" w:rsidRDefault="002D2B47" w:rsidP="00230600">
      <w:pPr>
        <w:pStyle w:val="CaseParagraph"/>
        <w:numPr>
          <w:ilvl w:val="0"/>
          <w:numId w:val="28"/>
        </w:numPr>
        <w:ind w:left="0" w:firstLine="0"/>
      </w:pPr>
      <w:r>
        <w:t xml:space="preserve">[IAC/InterActiveCorp was the controlling stockholder of Match Group, Inc. IAC proposed a complex transaction to separate Match Group from IAC. The deal was structured to look like a merger. The plaintiffs argued that because IAC was a controller standing on both sides of the transaction, entire fairness must apply unless the defendants satisfied the rigorous </w:t>
      </w:r>
      <w:r>
        <w:rPr>
          <w:i/>
        </w:rPr>
        <w:t>MFW</w:t>
      </w:r>
      <w:r>
        <w:t xml:space="preserve"> standard.]</w:t>
      </w:r>
    </w:p>
    <w:p w14:paraId="375C360D" w14:textId="77777777" w:rsidR="007E4F16" w:rsidRDefault="002D2B47" w:rsidP="00230600">
      <w:pPr>
        <w:pStyle w:val="CaseParagraph"/>
        <w:numPr>
          <w:ilvl w:val="0"/>
          <w:numId w:val="0"/>
        </w:numPr>
      </w:pPr>
      <w:r>
        <w:rPr>
          <w:b/>
        </w:rPr>
        <w:t>II.</w:t>
      </w:r>
      <w:r>
        <w:t xml:space="preserve"> </w:t>
      </w:r>
      <w:r>
        <w:rPr>
          <w:b/>
        </w:rPr>
        <w:t>A.</w:t>
      </w:r>
    </w:p>
    <w:p w14:paraId="679256A1" w14:textId="77777777" w:rsidR="007E4F16" w:rsidRDefault="002D2B47" w:rsidP="00230600">
      <w:pPr>
        <w:pStyle w:val="CaseParagraph"/>
        <w:numPr>
          <w:ilvl w:val="0"/>
          <w:numId w:val="27"/>
        </w:numPr>
        <w:ind w:left="0" w:firstLine="0"/>
      </w:pPr>
      <w:r>
        <w:t xml:space="preserve">... [In </w:t>
      </w:r>
      <w:r>
        <w:rPr>
          <w:i/>
        </w:rPr>
        <w:t>Kahn v. M &amp; F Worldwide Corp.</w:t>
      </w:r>
      <w:r>
        <w:t xml:space="preserve"> (</w:t>
      </w:r>
      <w:r>
        <w:rPr>
          <w:i/>
        </w:rPr>
        <w:t>MFW</w:t>
      </w:r>
      <w:r>
        <w:t xml:space="preserve">)], we held that the business judgment rule applies to a controller squeeze-out merger if the transaction is conditioned </w:t>
      </w:r>
      <w:r>
        <w:rPr>
          <w:i/>
        </w:rPr>
        <w:t>ab initio</w:t>
      </w:r>
      <w:r>
        <w:t xml:space="preserve"> on the approval of both an independent, empowered Special </w:t>
      </w:r>
      <w:r>
        <w:lastRenderedPageBreak/>
        <w:t>Committee that fulfills its duty of care; and the uncoerced, informed vote of a majority of the minority stockholders. ...</w:t>
      </w:r>
    </w:p>
    <w:p w14:paraId="74124A62" w14:textId="77777777" w:rsidR="007E4F16" w:rsidRDefault="002D2B47" w:rsidP="00230600">
      <w:pPr>
        <w:pStyle w:val="CaseParagraph"/>
        <w:numPr>
          <w:ilvl w:val="0"/>
          <w:numId w:val="27"/>
        </w:numPr>
        <w:ind w:left="0" w:firstLine="0"/>
      </w:pPr>
      <w:r>
        <w:t xml:space="preserve">The Court of Chancery held that </w:t>
      </w:r>
      <w:r>
        <w:rPr>
          <w:i/>
        </w:rPr>
        <w:t>MFW</w:t>
      </w:r>
      <w:r>
        <w:t xml:space="preserve"> was not the only path to business judgment... We disagree. ...</w:t>
      </w:r>
    </w:p>
    <w:p w14:paraId="7CBC8104" w14:textId="77777777" w:rsidR="007E4F16" w:rsidRDefault="002D2B47" w:rsidP="00230600">
      <w:pPr>
        <w:pStyle w:val="CaseParagraph"/>
        <w:numPr>
          <w:ilvl w:val="0"/>
          <w:numId w:val="27"/>
        </w:numPr>
        <w:ind w:left="0" w:firstLine="0"/>
      </w:pPr>
      <w:r>
        <w:t xml:space="preserve">[E]ntire fairness is the default standard of review in transactions where a controlling stockholder stands on both sides... To escape entire fairness and obtain business judgment review, the controller must replicate the arm’s-length bargaining process. This requires </w:t>
      </w:r>
      <w:r>
        <w:rPr>
          <w:i/>
        </w:rPr>
        <w:t>both</w:t>
      </w:r>
      <w:r>
        <w:t xml:space="preserve"> the independent committee (replicating the board) </w:t>
      </w:r>
      <w:r>
        <w:rPr>
          <w:i/>
        </w:rPr>
        <w:t>and</w:t>
      </w:r>
      <w:r>
        <w:t xml:space="preserve"> the majority-of-the-minority vote (replicating the stockholders). ...</w:t>
      </w:r>
    </w:p>
    <w:p w14:paraId="66AE7A8D" w14:textId="77777777" w:rsidR="007E4F16" w:rsidRDefault="002D2B47" w:rsidP="00230600">
      <w:pPr>
        <w:pStyle w:val="CaseParagraph"/>
        <w:numPr>
          <w:ilvl w:val="0"/>
          <w:numId w:val="27"/>
        </w:numPr>
        <w:ind w:left="0" w:firstLine="0"/>
      </w:pPr>
      <w:r>
        <w:t xml:space="preserve">Because the defendants in this case did not satisfy all the requirements of </w:t>
      </w:r>
      <w:r>
        <w:rPr>
          <w:i/>
        </w:rPr>
        <w:t>MFW</w:t>
      </w:r>
      <w:r>
        <w:t>—specifically, the Special Committee was not fully independent—the standard of review remains entire fairness. ...</w:t>
      </w:r>
    </w:p>
    <w:p w14:paraId="4EA0560D" w14:textId="77777777" w:rsidR="007E4F16" w:rsidRDefault="002D2B47" w:rsidP="00230600">
      <w:pPr>
        <w:pStyle w:val="CaseParagraph"/>
        <w:numPr>
          <w:ilvl w:val="0"/>
          <w:numId w:val="27"/>
        </w:numPr>
        <w:ind w:left="0" w:firstLine="0"/>
      </w:pPr>
      <w:r>
        <w:t>REVERSED and REMANDED.</w:t>
      </w:r>
    </w:p>
    <w:p w14:paraId="781220F6" w14:textId="77777777" w:rsidR="007E4F16" w:rsidRDefault="00230600" w:rsidP="00230600">
      <w:pPr>
        <w:pStyle w:val="CaseInternalHeading"/>
      </w:pPr>
      <w:r>
        <w:rPr>
          <w:i/>
          <w:iCs/>
        </w:rPr>
        <w:t>Magnetar</w:t>
      </w:r>
      <w:r>
        <w:t xml:space="preserve"> and </w:t>
      </w:r>
      <w:r>
        <w:rPr>
          <w:i/>
          <w:iCs/>
        </w:rPr>
        <w:t>Match Group</w:t>
      </w:r>
      <w:r>
        <w:t xml:space="preserve"> Notes and Questions</w:t>
      </w:r>
    </w:p>
    <w:p w14:paraId="6A878150" w14:textId="77777777" w:rsidR="007E4F16" w:rsidRDefault="002D2B47">
      <w:pPr>
        <w:numPr>
          <w:ilvl w:val="0"/>
          <w:numId w:val="7"/>
        </w:numPr>
        <w:spacing w:after="0"/>
      </w:pPr>
      <w:r>
        <w:rPr>
          <w:b/>
        </w:rPr>
        <w:t>The “MFW” Roadmap.</w:t>
      </w:r>
      <w:r>
        <w:t xml:space="preserve"> </w:t>
      </w:r>
      <w:r>
        <w:rPr>
          <w:i/>
        </w:rPr>
        <w:t>Match Group</w:t>
      </w:r>
      <w:r>
        <w:t xml:space="preserve"> confirms that there is a “roadmap” for controllers to avoid litigation. They must disable their influence twice: once at the board level (Special Committee) and once at the ballot box (Majority of Minority vote). If they do this, they get the Business Judgment Rule.</w:t>
      </w:r>
    </w:p>
    <w:p w14:paraId="6B78D551" w14:textId="77777777" w:rsidR="007E4F16" w:rsidRDefault="002D2B47">
      <w:pPr>
        <w:numPr>
          <w:ilvl w:val="1"/>
          <w:numId w:val="7"/>
        </w:numPr>
        <w:spacing w:after="0"/>
      </w:pPr>
      <w:r>
        <w:t>This effectively privatizes the fairness inquiry. Instead of a judge deciding if the price is fair, the minority shareholders decide. If they vote yes, the court assumes the price was fair.</w:t>
      </w:r>
    </w:p>
    <w:p w14:paraId="159C7CEA" w14:textId="77777777" w:rsidR="007E4F16" w:rsidRDefault="002D2B47">
      <w:pPr>
        <w:numPr>
          <w:ilvl w:val="0"/>
          <w:numId w:val="7"/>
        </w:numPr>
        <w:spacing w:after="0"/>
      </w:pPr>
      <w:r>
        <w:rPr>
          <w:b/>
        </w:rPr>
        <w:t>The End of the Story.</w:t>
      </w:r>
      <w:r>
        <w:t xml:space="preserve"> We started this chapter with </w:t>
      </w:r>
      <w:r>
        <w:rPr>
          <w:i/>
        </w:rPr>
        <w:t>Weinberger</w:t>
      </w:r>
      <w:r>
        <w:t xml:space="preserve">, where a controller (Signal) froze out the minority using a secret report and a fake negotiation. We end with </w:t>
      </w:r>
      <w:r>
        <w:rPr>
          <w:i/>
        </w:rPr>
        <w:t>Match Group</w:t>
      </w:r>
      <w:r>
        <w:t xml:space="preserve">, where the law now explicitly demands the opposite: a fully empowered committee and an informed vote. The evolution from </w:t>
      </w:r>
      <w:r>
        <w:rPr>
          <w:i/>
        </w:rPr>
        <w:t>Weinberger</w:t>
      </w:r>
      <w:r>
        <w:t xml:space="preserve"> to </w:t>
      </w:r>
      <w:r>
        <w:rPr>
          <w:i/>
        </w:rPr>
        <w:t>Match Group</w:t>
      </w:r>
      <w:r>
        <w:t xml:space="preserve"> traces the arc of Delaware law—from judicial intervention to market-based procedural safeguards.</w:t>
      </w:r>
    </w:p>
    <w:p w14:paraId="2F70D37B" w14:textId="77777777" w:rsidR="007E4F16" w:rsidRDefault="002D2B47">
      <w:pPr>
        <w:pStyle w:val="Heading2"/>
      </w:pPr>
      <w:r>
        <w:t>Conclusion: The Market for Corporate Law</w:t>
      </w:r>
    </w:p>
    <w:p w14:paraId="166DF18C" w14:textId="77777777" w:rsidR="007E4F16" w:rsidRDefault="002D2B47">
      <w:r>
        <w:t>We began this chapter by identifying the unique agency costs of the end game. When a corporation is sold, the natural disciplinary mechanisms of the market—selling stock and voting—lose their power. The divergence of interests between managers seeking to protect their tenure and shareholders seeking to maximize their premium creates a volatile political environment.</w:t>
      </w:r>
    </w:p>
    <w:p w14:paraId="12D855DD" w14:textId="77777777" w:rsidR="007E4F16" w:rsidRDefault="002D2B47">
      <w:r>
        <w:t xml:space="preserve">The evolution of Delaware law from </w:t>
      </w:r>
      <w:r>
        <w:rPr>
          <w:i/>
        </w:rPr>
        <w:t>Weinberger</w:t>
      </w:r>
      <w:r>
        <w:t xml:space="preserve"> to </w:t>
      </w:r>
      <w:r>
        <w:rPr>
          <w:i/>
        </w:rPr>
        <w:t>Match Group</w:t>
      </w:r>
      <w:r>
        <w:t xml:space="preserve"> represents a sustained effort to manage this conflict without inviting federal intervention. In the </w:t>
      </w:r>
      <w:r>
        <w:lastRenderedPageBreak/>
        <w:t xml:space="preserve">early era, the court attempted to solve these problems directly. In </w:t>
      </w:r>
      <w:r>
        <w:rPr>
          <w:i/>
        </w:rPr>
        <w:t>Weinberger</w:t>
      </w:r>
      <w:r>
        <w:t xml:space="preserve">, it modernized valuation. In </w:t>
      </w:r>
      <w:r>
        <w:rPr>
          <w:i/>
        </w:rPr>
        <w:t>Unocal</w:t>
      </w:r>
      <w:r>
        <w:t xml:space="preserve">, it empowered boards to block raiders. In </w:t>
      </w:r>
      <w:r>
        <w:rPr>
          <w:i/>
        </w:rPr>
        <w:t>Revlon</w:t>
      </w:r>
      <w:r>
        <w:t>, it ordered boards to conduct auctions. These doctrines relied heavily on judicial intuition to determine what was fair or reasonable.</w:t>
      </w:r>
    </w:p>
    <w:p w14:paraId="1062B623" w14:textId="77777777" w:rsidR="007E4F16" w:rsidRDefault="002D2B47">
      <w:r>
        <w:t>However, as the market for corporate control matured, so did the rent seeking behavior of the participants. Plaintiffs’ lawyers and arbitrageurs learned to exploit these open-ended standards to extract settlements, creating a litigation tax on Delaware corporations.</w:t>
      </w:r>
    </w:p>
    <w:p w14:paraId="35F20EB1" w14:textId="77777777" w:rsidR="007E4F16" w:rsidRDefault="002D2B47">
      <w:r>
        <w:t xml:space="preserve">The modern era of M&amp;A law, characterized by </w:t>
      </w:r>
      <w:r>
        <w:rPr>
          <w:i/>
        </w:rPr>
        <w:t>Corwin</w:t>
      </w:r>
      <w:r>
        <w:t xml:space="preserve">, </w:t>
      </w:r>
      <w:r>
        <w:rPr>
          <w:i/>
        </w:rPr>
        <w:t>Dell</w:t>
      </w:r>
      <w:r>
        <w:t xml:space="preserve">, and </w:t>
      </w:r>
      <w:r>
        <w:rPr>
          <w:i/>
        </w:rPr>
        <w:t>Match Group</w:t>
      </w:r>
      <w:r>
        <w:t>, marks a retreat from substantive judicial review. The court has constructed a series of safe harbors that encourage companies to replicate market mechanisms. If a board empowers an independent committee and secures an informed shareholder vote, the court will no longer second-guess the price or the process.</w:t>
      </w:r>
    </w:p>
    <w:p w14:paraId="222A7C10" w14:textId="77777777" w:rsidR="007E4F16" w:rsidRDefault="002D2B47">
      <w:r>
        <w:t>From a public choice perspective, this is a rational equilibrium. It allows Delaware to protect managers from nuisance litigation while ensuring that shareholders ultimately retain the final say. The law does not guarantee a perfect price, but it ensures that the transaction is subjected to the cleansing fire of the market before it ever reaches the courthouse.</w:t>
      </w:r>
    </w:p>
    <w:sectPr w:rsidR="007E4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A08C23"/>
    <w:multiLevelType w:val="hybridMultilevel"/>
    <w:tmpl w:val="D402ED6C"/>
    <w:lvl w:ilvl="0" w:tplc="FB58E418">
      <w:start w:val="1"/>
      <w:numFmt w:val="bullet"/>
      <w:lvlText w:val=""/>
      <w:lvlJc w:val="left"/>
      <w:pPr>
        <w:ind w:left="720" w:hanging="360"/>
      </w:pPr>
      <w:rPr>
        <w:rFonts w:ascii="Symbol" w:hAnsi="Symbol" w:hint="default"/>
      </w:rPr>
    </w:lvl>
    <w:lvl w:ilvl="1" w:tplc="2D9AE04E">
      <w:start w:val="1"/>
      <w:numFmt w:val="bullet"/>
      <w:lvlText w:val=""/>
      <w:lvlJc w:val="left"/>
      <w:pPr>
        <w:ind w:left="1440" w:hanging="360"/>
      </w:pPr>
      <w:rPr>
        <w:rFonts w:ascii="Symbol" w:hAnsi="Symbol" w:hint="default"/>
      </w:rPr>
    </w:lvl>
    <w:lvl w:ilvl="2" w:tplc="8BCEF598">
      <w:start w:val="1"/>
      <w:numFmt w:val="bullet"/>
      <w:lvlText w:val=""/>
      <w:lvlJc w:val="left"/>
      <w:pPr>
        <w:ind w:left="2160" w:hanging="360"/>
      </w:pPr>
      <w:rPr>
        <w:rFonts w:ascii="Symbol" w:hAnsi="Symbol" w:hint="default"/>
      </w:rPr>
    </w:lvl>
    <w:lvl w:ilvl="3" w:tplc="7F1606E2">
      <w:start w:val="1"/>
      <w:numFmt w:val="bullet"/>
      <w:lvlText w:val=""/>
      <w:lvlJc w:val="left"/>
      <w:pPr>
        <w:ind w:left="2880" w:hanging="360"/>
      </w:pPr>
      <w:rPr>
        <w:rFonts w:ascii="Symbol" w:hAnsi="Symbol" w:hint="default"/>
      </w:rPr>
    </w:lvl>
    <w:lvl w:ilvl="4" w:tplc="769CE036">
      <w:start w:val="1"/>
      <w:numFmt w:val="bullet"/>
      <w:lvlText w:val=""/>
      <w:lvlJc w:val="left"/>
      <w:pPr>
        <w:ind w:left="3600" w:hanging="360"/>
      </w:pPr>
      <w:rPr>
        <w:rFonts w:ascii="Symbol" w:hAnsi="Symbol" w:hint="default"/>
      </w:rPr>
    </w:lvl>
    <w:lvl w:ilvl="5" w:tplc="01AC99C4">
      <w:start w:val="1"/>
      <w:numFmt w:val="bullet"/>
      <w:lvlText w:val=""/>
      <w:lvlJc w:val="left"/>
      <w:pPr>
        <w:ind w:left="4320" w:hanging="360"/>
      </w:pPr>
      <w:rPr>
        <w:rFonts w:ascii="Symbol" w:hAnsi="Symbol" w:hint="default"/>
      </w:rPr>
    </w:lvl>
    <w:lvl w:ilvl="6" w:tplc="8A126366">
      <w:numFmt w:val="decimal"/>
      <w:lvlText w:val=""/>
      <w:lvlJc w:val="left"/>
    </w:lvl>
    <w:lvl w:ilvl="7" w:tplc="B266A3E2">
      <w:numFmt w:val="decimal"/>
      <w:lvlText w:val=""/>
      <w:lvlJc w:val="left"/>
    </w:lvl>
    <w:lvl w:ilvl="8" w:tplc="A76C5D46">
      <w:numFmt w:val="decimal"/>
      <w:lvlText w:val=""/>
      <w:lvlJc w:val="left"/>
    </w:lvl>
  </w:abstractNum>
  <w:abstractNum w:abstractNumId="1" w15:restartNumberingAfterBreak="0">
    <w:nsid w:val="99A08C32"/>
    <w:multiLevelType w:val="hybridMultilevel"/>
    <w:tmpl w:val="C4D01242"/>
    <w:lvl w:ilvl="0" w:tplc="F32681CC">
      <w:start w:val="1"/>
      <w:numFmt w:val="decimal"/>
      <w:lvlText w:val="%1."/>
      <w:lvlJc w:val="left"/>
      <w:pPr>
        <w:ind w:left="720" w:hanging="360"/>
      </w:pPr>
    </w:lvl>
    <w:lvl w:ilvl="1" w:tplc="0AD29E68">
      <w:start w:val="1"/>
      <w:numFmt w:val="decimal"/>
      <w:lvlText w:val="%2."/>
      <w:lvlJc w:val="left"/>
      <w:pPr>
        <w:ind w:left="1440" w:hanging="360"/>
      </w:pPr>
    </w:lvl>
    <w:lvl w:ilvl="2" w:tplc="A9C433FA">
      <w:start w:val="1"/>
      <w:numFmt w:val="decimal"/>
      <w:lvlText w:val="%3."/>
      <w:lvlJc w:val="left"/>
      <w:pPr>
        <w:ind w:left="2160" w:hanging="360"/>
      </w:pPr>
    </w:lvl>
    <w:lvl w:ilvl="3" w:tplc="671E4954">
      <w:start w:val="1"/>
      <w:numFmt w:val="decimal"/>
      <w:lvlText w:val="%4."/>
      <w:lvlJc w:val="left"/>
      <w:pPr>
        <w:ind w:left="2880" w:hanging="360"/>
      </w:pPr>
    </w:lvl>
    <w:lvl w:ilvl="4" w:tplc="8A100702">
      <w:start w:val="1"/>
      <w:numFmt w:val="decimal"/>
      <w:lvlText w:val="%5."/>
      <w:lvlJc w:val="left"/>
      <w:pPr>
        <w:ind w:left="3600" w:hanging="360"/>
      </w:pPr>
    </w:lvl>
    <w:lvl w:ilvl="5" w:tplc="530E9DF4">
      <w:start w:val="1"/>
      <w:numFmt w:val="decimal"/>
      <w:lvlText w:val="%6."/>
      <w:lvlJc w:val="left"/>
      <w:pPr>
        <w:ind w:left="4320" w:hanging="360"/>
      </w:pPr>
    </w:lvl>
    <w:lvl w:ilvl="6" w:tplc="036E0348">
      <w:numFmt w:val="decimal"/>
      <w:lvlText w:val=""/>
      <w:lvlJc w:val="left"/>
    </w:lvl>
    <w:lvl w:ilvl="7" w:tplc="59DC9F98">
      <w:numFmt w:val="decimal"/>
      <w:lvlText w:val=""/>
      <w:lvlJc w:val="left"/>
    </w:lvl>
    <w:lvl w:ilvl="8" w:tplc="2F8C7776">
      <w:numFmt w:val="decimal"/>
      <w:lvlText w:val=""/>
      <w:lvlJc w:val="left"/>
    </w:lvl>
  </w:abstractNum>
  <w:abstractNum w:abstractNumId="2" w15:restartNumberingAfterBreak="0">
    <w:nsid w:val="099A08C1"/>
    <w:multiLevelType w:val="hybridMultilevel"/>
    <w:tmpl w:val="FAA67460"/>
    <w:lvl w:ilvl="0" w:tplc="02503992">
      <w:start w:val="1"/>
      <w:numFmt w:val="bullet"/>
      <w:lvlText w:val=""/>
      <w:lvlJc w:val="left"/>
      <w:pPr>
        <w:ind w:left="720" w:hanging="360"/>
      </w:pPr>
      <w:rPr>
        <w:rFonts w:ascii="Symbol" w:hAnsi="Symbol" w:hint="default"/>
      </w:rPr>
    </w:lvl>
    <w:lvl w:ilvl="1" w:tplc="00BCA156">
      <w:start w:val="1"/>
      <w:numFmt w:val="bullet"/>
      <w:lvlText w:val=""/>
      <w:lvlJc w:val="left"/>
      <w:pPr>
        <w:ind w:left="1440" w:hanging="360"/>
      </w:pPr>
      <w:rPr>
        <w:rFonts w:ascii="Symbol" w:hAnsi="Symbol" w:hint="default"/>
      </w:rPr>
    </w:lvl>
    <w:lvl w:ilvl="2" w:tplc="106EC9D6">
      <w:start w:val="1"/>
      <w:numFmt w:val="bullet"/>
      <w:lvlText w:val=""/>
      <w:lvlJc w:val="left"/>
      <w:pPr>
        <w:ind w:left="2160" w:hanging="360"/>
      </w:pPr>
      <w:rPr>
        <w:rFonts w:ascii="Symbol" w:hAnsi="Symbol" w:hint="default"/>
      </w:rPr>
    </w:lvl>
    <w:lvl w:ilvl="3" w:tplc="BEFE8BBE">
      <w:start w:val="1"/>
      <w:numFmt w:val="bullet"/>
      <w:lvlText w:val=""/>
      <w:lvlJc w:val="left"/>
      <w:pPr>
        <w:ind w:left="2880" w:hanging="360"/>
      </w:pPr>
      <w:rPr>
        <w:rFonts w:ascii="Symbol" w:hAnsi="Symbol" w:hint="default"/>
      </w:rPr>
    </w:lvl>
    <w:lvl w:ilvl="4" w:tplc="6B18F62E">
      <w:start w:val="1"/>
      <w:numFmt w:val="bullet"/>
      <w:lvlText w:val=""/>
      <w:lvlJc w:val="left"/>
      <w:pPr>
        <w:ind w:left="3600" w:hanging="360"/>
      </w:pPr>
      <w:rPr>
        <w:rFonts w:ascii="Symbol" w:hAnsi="Symbol" w:hint="default"/>
      </w:rPr>
    </w:lvl>
    <w:lvl w:ilvl="5" w:tplc="D44C080E">
      <w:start w:val="1"/>
      <w:numFmt w:val="bullet"/>
      <w:lvlText w:val=""/>
      <w:lvlJc w:val="left"/>
      <w:pPr>
        <w:ind w:left="4320" w:hanging="360"/>
      </w:pPr>
      <w:rPr>
        <w:rFonts w:ascii="Symbol" w:hAnsi="Symbol" w:hint="default"/>
      </w:rPr>
    </w:lvl>
    <w:lvl w:ilvl="6" w:tplc="58FAC01C">
      <w:numFmt w:val="decimal"/>
      <w:lvlText w:val=""/>
      <w:lvlJc w:val="left"/>
    </w:lvl>
    <w:lvl w:ilvl="7" w:tplc="973C675A">
      <w:numFmt w:val="decimal"/>
      <w:lvlText w:val=""/>
      <w:lvlJc w:val="left"/>
    </w:lvl>
    <w:lvl w:ilvl="8" w:tplc="3F4A4DF0">
      <w:numFmt w:val="decimal"/>
      <w:lvlText w:val=""/>
      <w:lvlJc w:val="left"/>
    </w:lvl>
  </w:abstractNum>
  <w:abstractNum w:abstractNumId="3" w15:restartNumberingAfterBreak="0">
    <w:nsid w:val="099A08C2"/>
    <w:multiLevelType w:val="hybridMultilevel"/>
    <w:tmpl w:val="8D22D274"/>
    <w:lvl w:ilvl="0" w:tplc="243EE6F0">
      <w:start w:val="1"/>
      <w:numFmt w:val="decimal"/>
      <w:lvlText w:val="%1."/>
      <w:lvlJc w:val="left"/>
      <w:pPr>
        <w:ind w:left="720" w:hanging="360"/>
      </w:pPr>
    </w:lvl>
    <w:lvl w:ilvl="1" w:tplc="3BFEF8F2">
      <w:start w:val="1"/>
      <w:numFmt w:val="decimal"/>
      <w:lvlText w:val="%2."/>
      <w:lvlJc w:val="left"/>
      <w:pPr>
        <w:ind w:left="1440" w:hanging="360"/>
      </w:pPr>
    </w:lvl>
    <w:lvl w:ilvl="2" w:tplc="2562634E">
      <w:start w:val="1"/>
      <w:numFmt w:val="decimal"/>
      <w:lvlText w:val="%3."/>
      <w:lvlJc w:val="left"/>
      <w:pPr>
        <w:ind w:left="2160" w:hanging="360"/>
      </w:pPr>
    </w:lvl>
    <w:lvl w:ilvl="3" w:tplc="0428CC06">
      <w:start w:val="1"/>
      <w:numFmt w:val="decimal"/>
      <w:lvlText w:val="%4."/>
      <w:lvlJc w:val="left"/>
      <w:pPr>
        <w:ind w:left="2880" w:hanging="360"/>
      </w:pPr>
    </w:lvl>
    <w:lvl w:ilvl="4" w:tplc="912E2FB4">
      <w:start w:val="1"/>
      <w:numFmt w:val="decimal"/>
      <w:lvlText w:val="%5."/>
      <w:lvlJc w:val="left"/>
      <w:pPr>
        <w:ind w:left="3600" w:hanging="360"/>
      </w:pPr>
    </w:lvl>
    <w:lvl w:ilvl="5" w:tplc="6068D47A">
      <w:start w:val="1"/>
      <w:numFmt w:val="decimal"/>
      <w:lvlText w:val="%6."/>
      <w:lvlJc w:val="left"/>
      <w:pPr>
        <w:ind w:left="4320" w:hanging="360"/>
      </w:pPr>
    </w:lvl>
    <w:lvl w:ilvl="6" w:tplc="C4AA5516">
      <w:numFmt w:val="decimal"/>
      <w:lvlText w:val=""/>
      <w:lvlJc w:val="left"/>
    </w:lvl>
    <w:lvl w:ilvl="7" w:tplc="B7968A7C">
      <w:numFmt w:val="decimal"/>
      <w:lvlText w:val=""/>
      <w:lvlJc w:val="left"/>
    </w:lvl>
    <w:lvl w:ilvl="8" w:tplc="53DC7A78">
      <w:numFmt w:val="decimal"/>
      <w:lvlText w:val=""/>
      <w:lvlJc w:val="left"/>
    </w:lvl>
  </w:abstractNum>
  <w:abstractNum w:abstractNumId="4" w15:restartNumberingAfterBreak="0">
    <w:nsid w:val="099A08C3"/>
    <w:multiLevelType w:val="hybridMultilevel"/>
    <w:tmpl w:val="59F0C5DC"/>
    <w:lvl w:ilvl="0" w:tplc="1090E8AA">
      <w:start w:val="1"/>
      <w:numFmt w:val="decimal"/>
      <w:lvlText w:val="%1."/>
      <w:lvlJc w:val="left"/>
      <w:pPr>
        <w:ind w:left="720" w:hanging="360"/>
      </w:pPr>
    </w:lvl>
    <w:lvl w:ilvl="1" w:tplc="4F44760C">
      <w:start w:val="1"/>
      <w:numFmt w:val="decimal"/>
      <w:lvlText w:val="%2."/>
      <w:lvlJc w:val="left"/>
      <w:pPr>
        <w:ind w:left="1440" w:hanging="360"/>
      </w:pPr>
    </w:lvl>
    <w:lvl w:ilvl="2" w:tplc="4836D1F0">
      <w:start w:val="1"/>
      <w:numFmt w:val="decimal"/>
      <w:lvlText w:val="%3."/>
      <w:lvlJc w:val="left"/>
      <w:pPr>
        <w:ind w:left="2160" w:hanging="360"/>
      </w:pPr>
    </w:lvl>
    <w:lvl w:ilvl="3" w:tplc="9C5AD4CC">
      <w:start w:val="1"/>
      <w:numFmt w:val="decimal"/>
      <w:lvlText w:val="%4."/>
      <w:lvlJc w:val="left"/>
      <w:pPr>
        <w:ind w:left="2880" w:hanging="360"/>
      </w:pPr>
    </w:lvl>
    <w:lvl w:ilvl="4" w:tplc="4FA6EDAC">
      <w:start w:val="1"/>
      <w:numFmt w:val="decimal"/>
      <w:lvlText w:val="%5."/>
      <w:lvlJc w:val="left"/>
      <w:pPr>
        <w:ind w:left="3600" w:hanging="360"/>
      </w:pPr>
    </w:lvl>
    <w:lvl w:ilvl="5" w:tplc="8AB6E3DA">
      <w:start w:val="1"/>
      <w:numFmt w:val="decimal"/>
      <w:lvlText w:val="%6."/>
      <w:lvlJc w:val="left"/>
      <w:pPr>
        <w:ind w:left="4320" w:hanging="360"/>
      </w:pPr>
    </w:lvl>
    <w:lvl w:ilvl="6" w:tplc="CF2C458C">
      <w:numFmt w:val="decimal"/>
      <w:lvlText w:val=""/>
      <w:lvlJc w:val="left"/>
    </w:lvl>
    <w:lvl w:ilvl="7" w:tplc="77E4E8D8">
      <w:numFmt w:val="decimal"/>
      <w:lvlText w:val=""/>
      <w:lvlJc w:val="left"/>
    </w:lvl>
    <w:lvl w:ilvl="8" w:tplc="4CB8AB38">
      <w:numFmt w:val="decimal"/>
      <w:lvlText w:val=""/>
      <w:lvlJc w:val="left"/>
    </w:lvl>
  </w:abstractNum>
  <w:abstractNum w:abstractNumId="5" w15:restartNumberingAfterBreak="0">
    <w:nsid w:val="099A08C4"/>
    <w:multiLevelType w:val="hybridMultilevel"/>
    <w:tmpl w:val="8700B0B6"/>
    <w:lvl w:ilvl="0" w:tplc="CEFAE858">
      <w:start w:val="1"/>
      <w:numFmt w:val="decimal"/>
      <w:lvlText w:val="%1."/>
      <w:lvlJc w:val="left"/>
      <w:pPr>
        <w:ind w:left="720" w:hanging="360"/>
      </w:pPr>
    </w:lvl>
    <w:lvl w:ilvl="1" w:tplc="064048AE">
      <w:start w:val="1"/>
      <w:numFmt w:val="decimal"/>
      <w:lvlText w:val="%2."/>
      <w:lvlJc w:val="left"/>
      <w:pPr>
        <w:ind w:left="1440" w:hanging="360"/>
      </w:pPr>
    </w:lvl>
    <w:lvl w:ilvl="2" w:tplc="9300E63C">
      <w:start w:val="1"/>
      <w:numFmt w:val="decimal"/>
      <w:lvlText w:val="%3."/>
      <w:lvlJc w:val="left"/>
      <w:pPr>
        <w:ind w:left="2160" w:hanging="360"/>
      </w:pPr>
    </w:lvl>
    <w:lvl w:ilvl="3" w:tplc="1D3E4DF6">
      <w:start w:val="1"/>
      <w:numFmt w:val="decimal"/>
      <w:lvlText w:val="%4."/>
      <w:lvlJc w:val="left"/>
      <w:pPr>
        <w:ind w:left="2880" w:hanging="360"/>
      </w:pPr>
    </w:lvl>
    <w:lvl w:ilvl="4" w:tplc="6B7C05C6">
      <w:start w:val="1"/>
      <w:numFmt w:val="decimal"/>
      <w:lvlText w:val="%5."/>
      <w:lvlJc w:val="left"/>
      <w:pPr>
        <w:ind w:left="3600" w:hanging="360"/>
      </w:pPr>
    </w:lvl>
    <w:lvl w:ilvl="5" w:tplc="E2B6219E">
      <w:start w:val="1"/>
      <w:numFmt w:val="decimal"/>
      <w:lvlText w:val="%6."/>
      <w:lvlJc w:val="left"/>
      <w:pPr>
        <w:ind w:left="4320" w:hanging="360"/>
      </w:pPr>
    </w:lvl>
    <w:lvl w:ilvl="6" w:tplc="3516DF20">
      <w:numFmt w:val="decimal"/>
      <w:lvlText w:val=""/>
      <w:lvlJc w:val="left"/>
    </w:lvl>
    <w:lvl w:ilvl="7" w:tplc="6EAADE20">
      <w:numFmt w:val="decimal"/>
      <w:lvlText w:val=""/>
      <w:lvlJc w:val="left"/>
    </w:lvl>
    <w:lvl w:ilvl="8" w:tplc="0F5CA568">
      <w:numFmt w:val="decimal"/>
      <w:lvlText w:val=""/>
      <w:lvlJc w:val="left"/>
    </w:lvl>
  </w:abstractNum>
  <w:abstractNum w:abstractNumId="6" w15:restartNumberingAfterBreak="0">
    <w:nsid w:val="099A08C5"/>
    <w:multiLevelType w:val="hybridMultilevel"/>
    <w:tmpl w:val="2ABA8928"/>
    <w:lvl w:ilvl="0" w:tplc="524A49EE">
      <w:start w:val="1"/>
      <w:numFmt w:val="decimal"/>
      <w:lvlText w:val="%1."/>
      <w:lvlJc w:val="left"/>
      <w:pPr>
        <w:ind w:left="720" w:hanging="360"/>
      </w:pPr>
    </w:lvl>
    <w:lvl w:ilvl="1" w:tplc="B20AA6D8">
      <w:start w:val="1"/>
      <w:numFmt w:val="decimal"/>
      <w:lvlText w:val="%2."/>
      <w:lvlJc w:val="left"/>
      <w:pPr>
        <w:ind w:left="1440" w:hanging="360"/>
      </w:pPr>
    </w:lvl>
    <w:lvl w:ilvl="2" w:tplc="387EA350">
      <w:start w:val="1"/>
      <w:numFmt w:val="decimal"/>
      <w:lvlText w:val="%3."/>
      <w:lvlJc w:val="left"/>
      <w:pPr>
        <w:ind w:left="2160" w:hanging="360"/>
      </w:pPr>
    </w:lvl>
    <w:lvl w:ilvl="3" w:tplc="E3B08D9A">
      <w:start w:val="1"/>
      <w:numFmt w:val="decimal"/>
      <w:lvlText w:val="%4."/>
      <w:lvlJc w:val="left"/>
      <w:pPr>
        <w:ind w:left="2880" w:hanging="360"/>
      </w:pPr>
    </w:lvl>
    <w:lvl w:ilvl="4" w:tplc="E2100262">
      <w:start w:val="1"/>
      <w:numFmt w:val="decimal"/>
      <w:lvlText w:val="%5."/>
      <w:lvlJc w:val="left"/>
      <w:pPr>
        <w:ind w:left="3600" w:hanging="360"/>
      </w:pPr>
    </w:lvl>
    <w:lvl w:ilvl="5" w:tplc="B998AE12">
      <w:start w:val="1"/>
      <w:numFmt w:val="decimal"/>
      <w:lvlText w:val="%6."/>
      <w:lvlJc w:val="left"/>
      <w:pPr>
        <w:ind w:left="4320" w:hanging="360"/>
      </w:pPr>
    </w:lvl>
    <w:lvl w:ilvl="6" w:tplc="9BB8876A">
      <w:numFmt w:val="decimal"/>
      <w:lvlText w:val=""/>
      <w:lvlJc w:val="left"/>
    </w:lvl>
    <w:lvl w:ilvl="7" w:tplc="86F877CA">
      <w:numFmt w:val="decimal"/>
      <w:lvlText w:val=""/>
      <w:lvlJc w:val="left"/>
    </w:lvl>
    <w:lvl w:ilvl="8" w:tplc="0F045AFE">
      <w:numFmt w:val="decimal"/>
      <w:lvlText w:val=""/>
      <w:lvlJc w:val="left"/>
    </w:lvl>
  </w:abstractNum>
  <w:abstractNum w:abstractNumId="7" w15:restartNumberingAfterBreak="0">
    <w:nsid w:val="099A08C6"/>
    <w:multiLevelType w:val="hybridMultilevel"/>
    <w:tmpl w:val="35ECE8D4"/>
    <w:lvl w:ilvl="0" w:tplc="938E5652">
      <w:start w:val="1"/>
      <w:numFmt w:val="decimal"/>
      <w:lvlText w:val="%1."/>
      <w:lvlJc w:val="left"/>
      <w:pPr>
        <w:ind w:left="720" w:hanging="360"/>
      </w:pPr>
    </w:lvl>
    <w:lvl w:ilvl="1" w:tplc="2436AB4C">
      <w:start w:val="1"/>
      <w:numFmt w:val="decimal"/>
      <w:lvlText w:val="%2."/>
      <w:lvlJc w:val="left"/>
      <w:pPr>
        <w:ind w:left="1440" w:hanging="360"/>
      </w:pPr>
    </w:lvl>
    <w:lvl w:ilvl="2" w:tplc="29A293B8">
      <w:start w:val="1"/>
      <w:numFmt w:val="decimal"/>
      <w:lvlText w:val="%3."/>
      <w:lvlJc w:val="left"/>
      <w:pPr>
        <w:ind w:left="2160" w:hanging="360"/>
      </w:pPr>
    </w:lvl>
    <w:lvl w:ilvl="3" w:tplc="5C98A440">
      <w:start w:val="1"/>
      <w:numFmt w:val="decimal"/>
      <w:lvlText w:val="%4."/>
      <w:lvlJc w:val="left"/>
      <w:pPr>
        <w:ind w:left="2880" w:hanging="360"/>
      </w:pPr>
    </w:lvl>
    <w:lvl w:ilvl="4" w:tplc="DC02C8A6">
      <w:start w:val="1"/>
      <w:numFmt w:val="decimal"/>
      <w:lvlText w:val="%5."/>
      <w:lvlJc w:val="left"/>
      <w:pPr>
        <w:ind w:left="3600" w:hanging="360"/>
      </w:pPr>
    </w:lvl>
    <w:lvl w:ilvl="5" w:tplc="3872BE56">
      <w:start w:val="1"/>
      <w:numFmt w:val="decimal"/>
      <w:lvlText w:val="%6."/>
      <w:lvlJc w:val="left"/>
      <w:pPr>
        <w:ind w:left="4320" w:hanging="360"/>
      </w:pPr>
    </w:lvl>
    <w:lvl w:ilvl="6" w:tplc="6B08905E">
      <w:numFmt w:val="decimal"/>
      <w:lvlText w:val=""/>
      <w:lvlJc w:val="left"/>
    </w:lvl>
    <w:lvl w:ilvl="7" w:tplc="EC369188">
      <w:numFmt w:val="decimal"/>
      <w:lvlText w:val=""/>
      <w:lvlJc w:val="left"/>
    </w:lvl>
    <w:lvl w:ilvl="8" w:tplc="A40E60AE">
      <w:numFmt w:val="decimal"/>
      <w:lvlText w:val=""/>
      <w:lvlJc w:val="left"/>
    </w:lvl>
  </w:abstractNum>
  <w:abstractNum w:abstractNumId="8" w15:restartNumberingAfterBreak="0">
    <w:nsid w:val="099A08C7"/>
    <w:multiLevelType w:val="hybridMultilevel"/>
    <w:tmpl w:val="E06421CE"/>
    <w:lvl w:ilvl="0" w:tplc="5D085EB2">
      <w:start w:val="1"/>
      <w:numFmt w:val="decimal"/>
      <w:lvlText w:val="%1."/>
      <w:lvlJc w:val="left"/>
      <w:pPr>
        <w:ind w:left="720" w:hanging="360"/>
      </w:pPr>
    </w:lvl>
    <w:lvl w:ilvl="1" w:tplc="3612C220">
      <w:start w:val="1"/>
      <w:numFmt w:val="bullet"/>
      <w:lvlText w:val="o"/>
      <w:lvlJc w:val="left"/>
      <w:pPr>
        <w:ind w:left="1440" w:hanging="360"/>
      </w:pPr>
      <w:rPr>
        <w:rFonts w:ascii="Courier New" w:hAnsi="Courier New" w:cs="Courier New" w:hint="default"/>
      </w:rPr>
    </w:lvl>
    <w:lvl w:ilvl="2" w:tplc="D9EA86CA">
      <w:start w:val="1"/>
      <w:numFmt w:val="decimal"/>
      <w:lvlText w:val="%3."/>
      <w:lvlJc w:val="left"/>
      <w:pPr>
        <w:ind w:left="2160" w:hanging="360"/>
      </w:pPr>
    </w:lvl>
    <w:lvl w:ilvl="3" w:tplc="92149908">
      <w:start w:val="1"/>
      <w:numFmt w:val="decimal"/>
      <w:lvlText w:val="%4."/>
      <w:lvlJc w:val="left"/>
      <w:pPr>
        <w:ind w:left="2880" w:hanging="360"/>
      </w:pPr>
    </w:lvl>
    <w:lvl w:ilvl="4" w:tplc="6ED0A0B0">
      <w:start w:val="1"/>
      <w:numFmt w:val="decimal"/>
      <w:lvlText w:val="%5."/>
      <w:lvlJc w:val="left"/>
      <w:pPr>
        <w:ind w:left="3600" w:hanging="360"/>
      </w:pPr>
    </w:lvl>
    <w:lvl w:ilvl="5" w:tplc="2EC48FDE">
      <w:start w:val="1"/>
      <w:numFmt w:val="decimal"/>
      <w:lvlText w:val="%6."/>
      <w:lvlJc w:val="left"/>
      <w:pPr>
        <w:ind w:left="4320" w:hanging="360"/>
      </w:pPr>
    </w:lvl>
    <w:lvl w:ilvl="6" w:tplc="CEC63C02">
      <w:numFmt w:val="decimal"/>
      <w:lvlText w:val=""/>
      <w:lvlJc w:val="left"/>
    </w:lvl>
    <w:lvl w:ilvl="7" w:tplc="62A02E3C">
      <w:numFmt w:val="decimal"/>
      <w:lvlText w:val=""/>
      <w:lvlJc w:val="left"/>
    </w:lvl>
    <w:lvl w:ilvl="8" w:tplc="F88A913E">
      <w:numFmt w:val="decimal"/>
      <w:lvlText w:val=""/>
      <w:lvlJc w:val="left"/>
    </w:lvl>
  </w:abstractNum>
  <w:abstractNum w:abstractNumId="9" w15:restartNumberingAfterBreak="0">
    <w:nsid w:val="12824A7D"/>
    <w:multiLevelType w:val="multilevel"/>
    <w:tmpl w:val="4B3A7ACE"/>
    <w:styleLink w:val="CurrentList1"/>
    <w:lvl w:ilvl="0">
      <w:start w:val="1"/>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2EA3320"/>
    <w:multiLevelType w:val="hybridMultilevel"/>
    <w:tmpl w:val="A0A0A294"/>
    <w:lvl w:ilvl="0" w:tplc="954608B2">
      <w:start w:val="1"/>
      <w:numFmt w:val="decimal"/>
      <w:pStyle w:val="CaseParagraph"/>
      <w:lvlText w:val="¶ %1"/>
      <w:lvlJc w:val="left"/>
      <w:pPr>
        <w:ind w:left="72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E10ED"/>
    <w:multiLevelType w:val="hybridMultilevel"/>
    <w:tmpl w:val="2CBA64F0"/>
    <w:lvl w:ilvl="0" w:tplc="730AA6CC">
      <w:start w:val="1"/>
      <w:numFmt w:val="decimal"/>
      <w:pStyle w:val="NotesandQuestions"/>
      <w:lvlText w:val="%1."/>
      <w:lvlJc w:val="left"/>
      <w:pPr>
        <w:ind w:left="360" w:hanging="360"/>
      </w:pPr>
      <w:rPr>
        <w:rFonts w:hint="default"/>
        <w:color w:val="auto"/>
      </w:rPr>
    </w:lvl>
    <w:lvl w:ilvl="1" w:tplc="BCE2C8D8">
      <w:start w:val="5"/>
      <w:numFmt w:val="bullet"/>
      <w:lvlText w:val="•"/>
      <w:lvlJc w:val="left"/>
      <w:pPr>
        <w:ind w:left="1440" w:hanging="360"/>
      </w:pPr>
      <w:rPr>
        <w:rFonts w:ascii="Century Schoolbook" w:eastAsiaTheme="minorEastAsia" w:hAnsi="Century Schoolbook"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0637D5"/>
    <w:multiLevelType w:val="multilevel"/>
    <w:tmpl w:val="FBCED438"/>
    <w:styleLink w:val="CurrentList4"/>
    <w:lvl w:ilvl="0">
      <w:start w:val="7"/>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FDE77EC"/>
    <w:multiLevelType w:val="multilevel"/>
    <w:tmpl w:val="F3801D62"/>
    <w:styleLink w:val="CurrentList2"/>
    <w:lvl w:ilvl="0">
      <w:start w:val="4"/>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A601B86"/>
    <w:multiLevelType w:val="multilevel"/>
    <w:tmpl w:val="FBCED438"/>
    <w:styleLink w:val="CurrentList3"/>
    <w:lvl w:ilvl="0">
      <w:start w:val="7"/>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2DD040A"/>
    <w:multiLevelType w:val="hybridMultilevel"/>
    <w:tmpl w:val="AFC819C8"/>
    <w:lvl w:ilvl="0" w:tplc="8C866EA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21161"/>
    <w:multiLevelType w:val="multilevel"/>
    <w:tmpl w:val="500660CC"/>
    <w:lvl w:ilvl="0">
      <w:start w:val="11"/>
      <w:numFmt w:val="decimal"/>
      <w:pStyle w:val="Heading1"/>
      <w:suff w:val="space"/>
      <w:lvlText w:val="Chapter %1:"/>
      <w:lvlJc w:val="left"/>
      <w:pPr>
        <w:ind w:left="360" w:hanging="360"/>
      </w:pPr>
      <w:rPr>
        <w:rFonts w:hint="default"/>
      </w:rPr>
    </w:lvl>
    <w:lvl w:ilvl="1">
      <w:start w:val="1"/>
      <w:numFmt w:val="upperRoman"/>
      <w:pStyle w:val="Heading2"/>
      <w:suff w:val="space"/>
      <w:lvlText w:val="Part %2."/>
      <w:lvlJc w:val="left"/>
      <w:pPr>
        <w:ind w:left="720" w:hanging="360"/>
      </w:pPr>
      <w:rPr>
        <w:rFonts w:hint="default"/>
      </w:rPr>
    </w:lvl>
    <w:lvl w:ilvl="2">
      <w:start w:val="1"/>
      <w:numFmt w:val="upperLetter"/>
      <w:pStyle w:val="Heading3"/>
      <w:suff w:val="space"/>
      <w:lvlText w:val="%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pStyle w:val="Heading6"/>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76248675">
    <w:abstractNumId w:val="2"/>
  </w:num>
  <w:num w:numId="2" w16cid:durableId="2019038557">
    <w:abstractNumId w:val="3"/>
  </w:num>
  <w:num w:numId="3" w16cid:durableId="630210054">
    <w:abstractNumId w:val="4"/>
  </w:num>
  <w:num w:numId="4" w16cid:durableId="10760626">
    <w:abstractNumId w:val="5"/>
  </w:num>
  <w:num w:numId="5" w16cid:durableId="969164635">
    <w:abstractNumId w:val="6"/>
  </w:num>
  <w:num w:numId="6" w16cid:durableId="1469202241">
    <w:abstractNumId w:val="7"/>
  </w:num>
  <w:num w:numId="7" w16cid:durableId="1886329655">
    <w:abstractNumId w:val="8"/>
  </w:num>
  <w:num w:numId="8" w16cid:durableId="1040545771">
    <w:abstractNumId w:val="15"/>
  </w:num>
  <w:num w:numId="9" w16cid:durableId="971710432">
    <w:abstractNumId w:val="10"/>
  </w:num>
  <w:num w:numId="10" w16cid:durableId="333461884">
    <w:abstractNumId w:val="9"/>
  </w:num>
  <w:num w:numId="11" w16cid:durableId="200678775">
    <w:abstractNumId w:val="13"/>
  </w:num>
  <w:num w:numId="12" w16cid:durableId="594288362">
    <w:abstractNumId w:val="14"/>
  </w:num>
  <w:num w:numId="13" w16cid:durableId="1021976271">
    <w:abstractNumId w:val="16"/>
  </w:num>
  <w:num w:numId="14" w16cid:durableId="490871154">
    <w:abstractNumId w:val="16"/>
  </w:num>
  <w:num w:numId="15" w16cid:durableId="1867980446">
    <w:abstractNumId w:val="16"/>
  </w:num>
  <w:num w:numId="16" w16cid:durableId="982082678">
    <w:abstractNumId w:val="16"/>
  </w:num>
  <w:num w:numId="17" w16cid:durableId="1138957935">
    <w:abstractNumId w:val="16"/>
  </w:num>
  <w:num w:numId="18" w16cid:durableId="1006901940">
    <w:abstractNumId w:val="11"/>
  </w:num>
  <w:num w:numId="19" w16cid:durableId="819544799">
    <w:abstractNumId w:val="11"/>
  </w:num>
  <w:num w:numId="20" w16cid:durableId="2080472978">
    <w:abstractNumId w:val="0"/>
  </w:num>
  <w:num w:numId="21" w16cid:durableId="2137332653">
    <w:abstractNumId w:val="1"/>
  </w:num>
  <w:num w:numId="22" w16cid:durableId="1928270377">
    <w:abstractNumId w:val="10"/>
    <w:lvlOverride w:ilvl="0">
      <w:startOverride w:val="1"/>
    </w:lvlOverride>
  </w:num>
  <w:num w:numId="23" w16cid:durableId="1678389565">
    <w:abstractNumId w:val="10"/>
    <w:lvlOverride w:ilvl="0">
      <w:startOverride w:val="1"/>
    </w:lvlOverride>
  </w:num>
  <w:num w:numId="24" w16cid:durableId="666053419">
    <w:abstractNumId w:val="10"/>
    <w:lvlOverride w:ilvl="0">
      <w:startOverride w:val="1"/>
    </w:lvlOverride>
  </w:num>
  <w:num w:numId="25" w16cid:durableId="608515388">
    <w:abstractNumId w:val="10"/>
    <w:lvlOverride w:ilvl="0">
      <w:startOverride w:val="1"/>
    </w:lvlOverride>
  </w:num>
  <w:num w:numId="26" w16cid:durableId="1352759601">
    <w:abstractNumId w:val="10"/>
    <w:lvlOverride w:ilvl="0">
      <w:startOverride w:val="1"/>
    </w:lvlOverride>
  </w:num>
  <w:num w:numId="27" w16cid:durableId="2019455779">
    <w:abstractNumId w:val="10"/>
    <w:lvlOverride w:ilvl="0">
      <w:startOverride w:val="1"/>
    </w:lvlOverride>
  </w:num>
  <w:num w:numId="28" w16cid:durableId="475689504">
    <w:abstractNumId w:val="10"/>
    <w:lvlOverride w:ilvl="0">
      <w:startOverride w:val="1"/>
    </w:lvlOverride>
  </w:num>
  <w:num w:numId="29" w16cid:durableId="485628803">
    <w:abstractNumId w:val="12"/>
  </w:num>
  <w:num w:numId="30" w16cid:durableId="1836728262">
    <w:abstractNumId w:val="10"/>
    <w:lvlOverride w:ilvl="0">
      <w:startOverride w:val="1"/>
    </w:lvlOverride>
  </w:num>
  <w:num w:numId="31" w16cid:durableId="70406323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1F10E4"/>
    <w:rsid w:val="00230600"/>
    <w:rsid w:val="002371BF"/>
    <w:rsid w:val="002543E7"/>
    <w:rsid w:val="002B437E"/>
    <w:rsid w:val="002D2B47"/>
    <w:rsid w:val="004C49EA"/>
    <w:rsid w:val="005D7669"/>
    <w:rsid w:val="00696F3F"/>
    <w:rsid w:val="006E248C"/>
    <w:rsid w:val="006E5FB8"/>
    <w:rsid w:val="006F74C3"/>
    <w:rsid w:val="007765AB"/>
    <w:rsid w:val="007B501F"/>
    <w:rsid w:val="007D5F0C"/>
    <w:rsid w:val="007E4F16"/>
    <w:rsid w:val="007E6A5D"/>
    <w:rsid w:val="00824EA3"/>
    <w:rsid w:val="00845189"/>
    <w:rsid w:val="00E27303"/>
    <w:rsid w:val="00E341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7469F0"/>
  <w14:defaultImageDpi w14:val="300"/>
  <w15:docId w15:val="{DC5A2541-58BA-E140-8DEF-B9CA315B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1BF"/>
    <w:pPr>
      <w:spacing w:after="40" w:line="264" w:lineRule="auto"/>
      <w:ind w:firstLine="360"/>
    </w:pPr>
    <w:rPr>
      <w:rFonts w:ascii="Century Schoolbook" w:hAnsi="Century Schoolbook" w:cs="Times New Roman"/>
      <w:sz w:val="24"/>
      <w:szCs w:val="24"/>
    </w:rPr>
  </w:style>
  <w:style w:type="paragraph" w:styleId="Heading1">
    <w:name w:val="heading 1"/>
    <w:basedOn w:val="Normal"/>
    <w:next w:val="Normal"/>
    <w:link w:val="Heading1Char"/>
    <w:uiPriority w:val="9"/>
    <w:qFormat/>
    <w:rsid w:val="002371BF"/>
    <w:pPr>
      <w:numPr>
        <w:numId w:val="13"/>
      </w:num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qFormat/>
    <w:rsid w:val="002371BF"/>
    <w:pPr>
      <w:keepNext/>
      <w:numPr>
        <w:ilvl w:val="1"/>
        <w:numId w:val="13"/>
      </w:numPr>
      <w:spacing w:before="100" w:beforeAutospacing="1" w:after="100" w:afterAutospacing="1"/>
      <w:outlineLvl w:val="1"/>
    </w:pPr>
    <w:rPr>
      <w:rFonts w:eastAsia="Times New Roman"/>
      <w:b/>
      <w:bCs/>
      <w:i/>
      <w:iCs/>
      <w:sz w:val="36"/>
      <w:szCs w:val="36"/>
    </w:rPr>
  </w:style>
  <w:style w:type="paragraph" w:styleId="Heading3">
    <w:name w:val="heading 3"/>
    <w:basedOn w:val="Normal"/>
    <w:next w:val="Normal"/>
    <w:link w:val="Heading3Char"/>
    <w:uiPriority w:val="9"/>
    <w:qFormat/>
    <w:rsid w:val="002371BF"/>
    <w:pPr>
      <w:keepNext/>
      <w:numPr>
        <w:ilvl w:val="2"/>
        <w:numId w:val="13"/>
      </w:num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Heading3"/>
    <w:next w:val="Normal"/>
    <w:link w:val="Heading4Char"/>
    <w:uiPriority w:val="9"/>
    <w:unhideWhenUsed/>
    <w:qFormat/>
    <w:rsid w:val="002371BF"/>
    <w:pPr>
      <w:numPr>
        <w:ilvl w:val="3"/>
      </w:numPr>
      <w:outlineLvl w:val="3"/>
    </w:pPr>
  </w:style>
  <w:style w:type="paragraph" w:styleId="Heading5">
    <w:name w:val="heading 5"/>
    <w:basedOn w:val="Normal"/>
    <w:next w:val="Normal"/>
    <w:link w:val="Heading5Char"/>
    <w:uiPriority w:val="9"/>
    <w:unhideWhenUsed/>
    <w:qFormat/>
    <w:rsid w:val="002371BF"/>
    <w:pPr>
      <w:keepNext/>
      <w:spacing w:before="100" w:beforeAutospacing="1" w:after="100" w:afterAutospacing="1"/>
      <w:ind w:firstLine="0"/>
      <w:outlineLvl w:val="4"/>
    </w:pPr>
    <w:rPr>
      <w:rFonts w:ascii="Times New Roman" w:hAnsi="Times New Roman"/>
      <w:b/>
      <w:bCs/>
    </w:rPr>
  </w:style>
  <w:style w:type="paragraph" w:styleId="Heading6">
    <w:name w:val="heading 6"/>
    <w:basedOn w:val="Normal"/>
    <w:next w:val="Normal"/>
    <w:link w:val="Heading6Char"/>
    <w:uiPriority w:val="9"/>
    <w:unhideWhenUsed/>
    <w:qFormat/>
    <w:rsid w:val="002371BF"/>
    <w:pPr>
      <w:keepNext/>
      <w:keepLines/>
      <w:numPr>
        <w:ilvl w:val="5"/>
        <w:numId w:val="13"/>
      </w:numPr>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rsid w:val="002371BF"/>
    <w:pPr>
      <w:spacing w:before="120" w:after="120"/>
      <w:ind w:left="720" w:right="720" w:firstLine="0"/>
    </w:pPr>
  </w:style>
  <w:style w:type="character" w:customStyle="1" w:styleId="Heading1Char">
    <w:name w:val="Heading 1 Char"/>
    <w:basedOn w:val="DefaultParagraphFont"/>
    <w:link w:val="Heading1"/>
    <w:uiPriority w:val="9"/>
    <w:rsid w:val="002371BF"/>
    <w:rPr>
      <w:rFonts w:ascii="Century Schoolbook" w:eastAsia="Times New Roman" w:hAnsi="Century Schoolbook" w:cs="Times New Roman"/>
      <w:b/>
      <w:bCs/>
      <w:kern w:val="36"/>
      <w:sz w:val="48"/>
      <w:szCs w:val="48"/>
    </w:rPr>
  </w:style>
  <w:style w:type="character" w:customStyle="1" w:styleId="Heading2Char">
    <w:name w:val="Heading 2 Char"/>
    <w:basedOn w:val="DefaultParagraphFont"/>
    <w:link w:val="Heading2"/>
    <w:uiPriority w:val="9"/>
    <w:rsid w:val="002371BF"/>
    <w:rPr>
      <w:rFonts w:ascii="Century Schoolbook" w:eastAsia="Times New Roman" w:hAnsi="Century Schoolbook" w:cs="Times New Roman"/>
      <w:b/>
      <w:bCs/>
      <w:i/>
      <w:iCs/>
      <w:sz w:val="36"/>
      <w:szCs w:val="36"/>
    </w:rPr>
  </w:style>
  <w:style w:type="character" w:customStyle="1" w:styleId="Heading3Char">
    <w:name w:val="Heading 3 Char"/>
    <w:basedOn w:val="DefaultParagraphFont"/>
    <w:link w:val="Heading3"/>
    <w:uiPriority w:val="9"/>
    <w:rsid w:val="002371BF"/>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2371BF"/>
    <w:rPr>
      <w:rFonts w:ascii="Times New Roman" w:hAnsi="Times New Roman" w:cs="Times New Roman"/>
      <w:b/>
      <w:bCs/>
      <w:sz w:val="27"/>
      <w:szCs w:val="27"/>
    </w:rPr>
  </w:style>
  <w:style w:type="character" w:customStyle="1" w:styleId="Heading5Char">
    <w:name w:val="Heading 5 Char"/>
    <w:basedOn w:val="DefaultParagraphFont"/>
    <w:link w:val="Heading5"/>
    <w:uiPriority w:val="9"/>
    <w:rsid w:val="002371BF"/>
    <w:rPr>
      <w:rFonts w:ascii="Times New Roman" w:hAnsi="Times New Roman" w:cs="Times New Roman"/>
      <w:b/>
      <w:bCs/>
      <w:sz w:val="24"/>
      <w:szCs w:val="24"/>
    </w:rPr>
  </w:style>
  <w:style w:type="character" w:customStyle="1" w:styleId="Heading6Char">
    <w:name w:val="Heading 6 Char"/>
    <w:basedOn w:val="DefaultParagraphFont"/>
    <w:link w:val="Heading6"/>
    <w:uiPriority w:val="9"/>
    <w:rsid w:val="002371BF"/>
    <w:rPr>
      <w:rFonts w:asciiTheme="majorHAnsi" w:eastAsiaTheme="majorEastAsia" w:hAnsiTheme="majorHAnsi" w:cstheme="majorBidi"/>
      <w:sz w:val="24"/>
      <w:szCs w:val="24"/>
    </w:rPr>
  </w:style>
  <w:style w:type="character" w:styleId="Emphasis">
    <w:name w:val="Emphasis"/>
    <w:basedOn w:val="DefaultParagraphFont"/>
    <w:uiPriority w:val="20"/>
    <w:qFormat/>
    <w:rsid w:val="002371BF"/>
    <w:rPr>
      <w:i/>
      <w:iCs/>
    </w:rPr>
  </w:style>
  <w:style w:type="character" w:styleId="Strong">
    <w:name w:val="Strong"/>
    <w:uiPriority w:val="22"/>
    <w:qFormat/>
    <w:rsid w:val="002371BF"/>
    <w:rPr>
      <w:rFonts w:ascii="Century Schoolbook" w:hAnsi="Century Schoolbook"/>
      <w:b/>
      <w:bCs/>
      <w:sz w:val="36"/>
      <w:szCs w:val="36"/>
    </w:rPr>
  </w:style>
  <w:style w:type="character" w:customStyle="1" w:styleId="Code">
    <w:name w:val="Code"/>
    <w:basedOn w:val="DefaultParagraphFont"/>
    <w:uiPriority w:val="24"/>
    <w:qFormat/>
    <w:rsid w:val="002371BF"/>
    <w:rPr>
      <w:rFonts w:ascii="Consolas" w:hAnsi="Consolas" w:cs="Consolas"/>
    </w:rPr>
  </w:style>
  <w:style w:type="character" w:customStyle="1" w:styleId="FootnoteTextChar">
    <w:name w:val="Footnote Text Char"/>
    <w:basedOn w:val="DefaultParagraphFont"/>
    <w:uiPriority w:val="99"/>
    <w:semiHidden/>
    <w:rsid w:val="002371BF"/>
  </w:style>
  <w:style w:type="character" w:styleId="FootnoteReference">
    <w:name w:val="footnote reference"/>
    <w:basedOn w:val="DefaultParagraphFont"/>
    <w:uiPriority w:val="99"/>
    <w:semiHidden/>
    <w:unhideWhenUsed/>
    <w:rsid w:val="002371BF"/>
    <w:rPr>
      <w:vertAlign w:val="superscript"/>
    </w:rPr>
  </w:style>
  <w:style w:type="paragraph" w:styleId="Caption">
    <w:name w:val="caption"/>
    <w:basedOn w:val="Normal"/>
    <w:next w:val="Normal"/>
    <w:uiPriority w:val="35"/>
    <w:unhideWhenUsed/>
    <w:qFormat/>
    <w:rsid w:val="002371BF"/>
    <w:pPr>
      <w:spacing w:after="200"/>
    </w:pPr>
    <w:rPr>
      <w:i/>
    </w:rPr>
  </w:style>
  <w:style w:type="paragraph" w:customStyle="1" w:styleId="BreakoutBox">
    <w:name w:val="Breakout Box"/>
    <w:basedOn w:val="Normal"/>
    <w:qFormat/>
    <w:rsid w:val="002371BF"/>
    <w:pPr>
      <w:pBdr>
        <w:top w:val="single" w:sz="4" w:space="1" w:color="auto"/>
        <w:left w:val="single" w:sz="4" w:space="4" w:color="auto"/>
        <w:bottom w:val="single" w:sz="4" w:space="1" w:color="auto"/>
        <w:right w:val="single" w:sz="4" w:space="4" w:color="auto"/>
      </w:pBdr>
      <w:ind w:left="720" w:right="720" w:firstLine="0"/>
    </w:pPr>
  </w:style>
  <w:style w:type="paragraph" w:customStyle="1" w:styleId="BulletList">
    <w:name w:val="Bullet List"/>
    <w:basedOn w:val="Normal"/>
    <w:qFormat/>
    <w:rsid w:val="002371BF"/>
    <w:pPr>
      <w:numPr>
        <w:numId w:val="8"/>
      </w:numPr>
      <w:ind w:right="432"/>
    </w:pPr>
  </w:style>
  <w:style w:type="paragraph" w:styleId="ListParagraph">
    <w:name w:val="List Paragraph"/>
    <w:basedOn w:val="Normal"/>
    <w:uiPriority w:val="34"/>
    <w:qFormat/>
    <w:rsid w:val="002371BF"/>
    <w:pPr>
      <w:ind w:left="720"/>
      <w:contextualSpacing/>
    </w:pPr>
  </w:style>
  <w:style w:type="paragraph" w:customStyle="1" w:styleId="CaseParagraph">
    <w:name w:val="Case Paragraph"/>
    <w:basedOn w:val="ListParagraph"/>
    <w:qFormat/>
    <w:rsid w:val="002371BF"/>
    <w:pPr>
      <w:numPr>
        <w:numId w:val="9"/>
      </w:numPr>
      <w:contextualSpacing w:val="0"/>
    </w:pPr>
  </w:style>
  <w:style w:type="paragraph" w:customStyle="1" w:styleId="CaseInternalHeading">
    <w:name w:val="Case Internal Heading"/>
    <w:basedOn w:val="CaseParagraph"/>
    <w:qFormat/>
    <w:rsid w:val="002371BF"/>
    <w:pPr>
      <w:keepNext/>
      <w:numPr>
        <w:numId w:val="0"/>
      </w:numPr>
      <w:spacing w:before="240" w:after="120"/>
    </w:pPr>
    <w:rPr>
      <w:b/>
      <w:bCs/>
    </w:rPr>
  </w:style>
  <w:style w:type="character" w:styleId="CommentReference">
    <w:name w:val="annotation reference"/>
    <w:basedOn w:val="DefaultParagraphFont"/>
    <w:uiPriority w:val="99"/>
    <w:semiHidden/>
    <w:unhideWhenUsed/>
    <w:rsid w:val="002371BF"/>
    <w:rPr>
      <w:sz w:val="16"/>
      <w:szCs w:val="16"/>
    </w:rPr>
  </w:style>
  <w:style w:type="paragraph" w:styleId="CommentText">
    <w:name w:val="annotation text"/>
    <w:basedOn w:val="Normal"/>
    <w:link w:val="CommentTextChar"/>
    <w:uiPriority w:val="99"/>
    <w:semiHidden/>
    <w:unhideWhenUsed/>
    <w:rsid w:val="002371BF"/>
    <w:pPr>
      <w:ind w:firstLine="0"/>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2371BF"/>
    <w:rPr>
      <w:rFonts w:ascii="Times New Roman" w:hAnsi="Times New Roman" w:cs="Times New Roman"/>
    </w:rPr>
  </w:style>
  <w:style w:type="numbering" w:customStyle="1" w:styleId="CurrentList1">
    <w:name w:val="Current List1"/>
    <w:uiPriority w:val="99"/>
    <w:rsid w:val="002371BF"/>
    <w:pPr>
      <w:numPr>
        <w:numId w:val="10"/>
      </w:numPr>
    </w:pPr>
  </w:style>
  <w:style w:type="numbering" w:customStyle="1" w:styleId="CurrentList2">
    <w:name w:val="Current List2"/>
    <w:uiPriority w:val="99"/>
    <w:rsid w:val="002371BF"/>
    <w:pPr>
      <w:numPr>
        <w:numId w:val="11"/>
      </w:numPr>
    </w:pPr>
  </w:style>
  <w:style w:type="numbering" w:customStyle="1" w:styleId="CurrentList3">
    <w:name w:val="Current List3"/>
    <w:uiPriority w:val="99"/>
    <w:rsid w:val="002371BF"/>
    <w:pPr>
      <w:numPr>
        <w:numId w:val="12"/>
      </w:numPr>
    </w:pPr>
  </w:style>
  <w:style w:type="paragraph" w:customStyle="1" w:styleId="indenttest1">
    <w:name w:val="indenttest1"/>
    <w:basedOn w:val="Normal"/>
    <w:rsid w:val="002371BF"/>
    <w:pPr>
      <w:spacing w:before="100" w:beforeAutospacing="1" w:after="100" w:afterAutospacing="1"/>
      <w:ind w:firstLine="0"/>
    </w:pPr>
    <w:rPr>
      <w:rFonts w:ascii="Times New Roman" w:hAnsi="Times New Roman"/>
    </w:rPr>
  </w:style>
  <w:style w:type="paragraph" w:customStyle="1" w:styleId="indenttest2">
    <w:name w:val="indenttest2"/>
    <w:basedOn w:val="Normal"/>
    <w:rsid w:val="002371BF"/>
    <w:pPr>
      <w:spacing w:before="100" w:beforeAutospacing="1" w:after="100" w:afterAutospacing="1" w:line="240" w:lineRule="auto"/>
    </w:pPr>
    <w:rPr>
      <w:rFonts w:ascii="Times New Roman" w:hAnsi="Times New Roman"/>
    </w:rPr>
  </w:style>
  <w:style w:type="paragraph" w:customStyle="1" w:styleId="NotesandQuestions">
    <w:name w:val="Notes and Questions"/>
    <w:basedOn w:val="Normal"/>
    <w:qFormat/>
    <w:rsid w:val="002371BF"/>
    <w:pPr>
      <w:numPr>
        <w:numId w:val="19"/>
      </w:numPr>
      <w:spacing w:after="120"/>
    </w:pPr>
  </w:style>
  <w:style w:type="paragraph" w:customStyle="1" w:styleId="NumberedList">
    <w:name w:val="Numbered List"/>
    <w:basedOn w:val="NotesandQuestions"/>
    <w:qFormat/>
    <w:rsid w:val="002371BF"/>
    <w:pPr>
      <w:ind w:left="900"/>
    </w:pPr>
  </w:style>
  <w:style w:type="paragraph" w:customStyle="1" w:styleId="p1">
    <w:name w:val="p1"/>
    <w:basedOn w:val="Normal"/>
    <w:rsid w:val="002371BF"/>
    <w:pPr>
      <w:spacing w:before="100" w:beforeAutospacing="1" w:after="100" w:afterAutospacing="1"/>
      <w:ind w:firstLine="0"/>
    </w:pPr>
    <w:rPr>
      <w:rFonts w:ascii="Times New Roman" w:eastAsia="Times New Roman" w:hAnsi="Times New Roman"/>
    </w:rPr>
  </w:style>
  <w:style w:type="paragraph" w:customStyle="1" w:styleId="StatutoryReference">
    <w:name w:val="Statutory Reference"/>
    <w:basedOn w:val="Normal"/>
    <w:qFormat/>
    <w:rsid w:val="002371BF"/>
    <w:pPr>
      <w:tabs>
        <w:tab w:val="left" w:pos="3600"/>
      </w:tabs>
      <w:spacing w:after="120"/>
      <w:ind w:firstLine="0"/>
    </w:pPr>
  </w:style>
  <w:style w:type="paragraph" w:customStyle="1" w:styleId="StrongHeading">
    <w:name w:val="Strong Heading"/>
    <w:basedOn w:val="Normal"/>
    <w:next w:val="Normal"/>
    <w:qFormat/>
    <w:rsid w:val="002371BF"/>
    <w:pPr>
      <w:jc w:val="center"/>
    </w:pPr>
  </w:style>
  <w:style w:type="paragraph" w:customStyle="1" w:styleId="TableNormalPar">
    <w:name w:val="Table Normal Par"/>
    <w:basedOn w:val="Normal"/>
    <w:qFormat/>
    <w:rsid w:val="002371BF"/>
    <w:pPr>
      <w:spacing w:after="0"/>
      <w:ind w:firstLine="0"/>
    </w:pPr>
    <w:rPr>
      <w:bCs/>
    </w:rPr>
  </w:style>
  <w:style w:type="paragraph" w:customStyle="1" w:styleId="TextHanging">
    <w:name w:val="Text Hanging"/>
    <w:next w:val="Normal"/>
    <w:qFormat/>
    <w:rsid w:val="002371BF"/>
    <w:pPr>
      <w:spacing w:before="100" w:after="100" w:line="250" w:lineRule="exact"/>
      <w:ind w:left="432" w:hanging="432"/>
      <w:jc w:val="both"/>
    </w:pPr>
    <w:rPr>
      <w:rFonts w:ascii="Century Schoolbook" w:eastAsia="Times New Roman" w:hAnsi="Century Schoolbook" w:cs="Times New Roman"/>
      <w:sz w:val="21"/>
      <w:szCs w:val="24"/>
    </w:rPr>
  </w:style>
  <w:style w:type="paragraph" w:customStyle="1" w:styleId="TextParagraph">
    <w:name w:val="Text Paragraph"/>
    <w:link w:val="TextParagraphChar"/>
    <w:qFormat/>
    <w:rsid w:val="002371BF"/>
    <w:pPr>
      <w:spacing w:before="100" w:after="100" w:line="250" w:lineRule="exact"/>
      <w:ind w:firstLine="432"/>
      <w:jc w:val="both"/>
    </w:pPr>
    <w:rPr>
      <w:rFonts w:ascii="Century Schoolbook" w:eastAsia="Times New Roman" w:hAnsi="Century Schoolbook" w:cs="Times New Roman"/>
      <w:sz w:val="21"/>
      <w:szCs w:val="28"/>
    </w:rPr>
  </w:style>
  <w:style w:type="character" w:customStyle="1" w:styleId="TextParagraphChar">
    <w:name w:val="Text Paragraph Char"/>
    <w:basedOn w:val="DefaultParagraphFont"/>
    <w:link w:val="TextParagraph"/>
    <w:rsid w:val="002371BF"/>
    <w:rPr>
      <w:rFonts w:ascii="Century Schoolbook" w:eastAsia="Times New Roman" w:hAnsi="Century Schoolbook" w:cs="Times New Roman"/>
      <w:sz w:val="21"/>
      <w:szCs w:val="28"/>
    </w:rPr>
  </w:style>
  <w:style w:type="numbering" w:customStyle="1" w:styleId="CurrentList4">
    <w:name w:val="Current List4"/>
    <w:uiPriority w:val="99"/>
    <w:rsid w:val="00230600"/>
    <w:pPr>
      <w:numPr>
        <w:numId w:val="29"/>
      </w:numPr>
    </w:pPr>
  </w:style>
  <w:style w:type="paragraph" w:customStyle="1" w:styleId="GuidingQuestions">
    <w:name w:val="Guiding Questions"/>
    <w:basedOn w:val="Normal"/>
    <w:next w:val="Normal"/>
    <w:qFormat/>
    <w:rsid w:val="007E6A5D"/>
    <w:pPr>
      <w:spacing w:before="240"/>
      <w:ind w:firstLine="0"/>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15775</Words>
  <Characters>83609</Characters>
  <Application>Microsoft Office Word</Application>
  <DocSecurity>0</DocSecurity>
  <Lines>1417</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6</cp:revision>
  <dcterms:created xsi:type="dcterms:W3CDTF">2026-03-06T19:34:00Z</dcterms:created>
  <dcterms:modified xsi:type="dcterms:W3CDTF">2026-03-07T14:35:00Z</dcterms:modified>
</cp:coreProperties>
</file>