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702D" w14:textId="017AA5C0" w:rsidR="00671BDD" w:rsidRPr="00521582" w:rsidRDefault="00F2117F" w:rsidP="00521582">
      <w:pPr>
        <w:pStyle w:val="Title"/>
      </w:pPr>
      <w:bookmarkStart w:id="0" w:name="X80c9449db6733634c2d5e0ca30ffaac026e1a9d"/>
      <w:r w:rsidRPr="00521582">
        <w:t>From Anti-Bad to Pro-Good Law: Structuring Financial Regulation for Prudence</w:t>
      </w:r>
    </w:p>
    <w:p w14:paraId="777C142F" w14:textId="77777777" w:rsidR="00671BDD" w:rsidRPr="00A04D44" w:rsidRDefault="00F2117F" w:rsidP="00100261">
      <w:pPr>
        <w:pStyle w:val="FirstParagraph"/>
        <w:spacing w:before="0" w:after="0" w:line="276" w:lineRule="auto"/>
        <w:ind w:firstLine="0"/>
        <w:jc w:val="both"/>
        <w:rPr>
          <w:rFonts w:ascii="Garamond" w:hAnsi="Garamond"/>
        </w:rPr>
      </w:pPr>
      <w:r w:rsidRPr="00A04D44">
        <w:rPr>
          <w:rFonts w:ascii="Garamond" w:hAnsi="Garamond"/>
        </w:rPr>
        <w:t>Seth C. Oranburg</w:t>
      </w:r>
      <w:r w:rsidRPr="00A04D44">
        <w:rPr>
          <w:rStyle w:val="FootnoteReference"/>
          <w:rFonts w:ascii="Garamond" w:hAnsi="Garamond"/>
        </w:rPr>
        <w:footnoteReference w:id="1"/>
      </w:r>
    </w:p>
    <w:p w14:paraId="6E1F44DC" w14:textId="77777777" w:rsidR="00671BDD" w:rsidRPr="00100261" w:rsidRDefault="00F2117F" w:rsidP="00100261">
      <w:pPr>
        <w:pStyle w:val="Heading1"/>
      </w:pPr>
      <w:bookmarkStart w:id="1" w:name="abstract"/>
      <w:bookmarkEnd w:id="0"/>
      <w:r w:rsidRPr="00100261">
        <w:t>Abstract</w:t>
      </w:r>
    </w:p>
    <w:p w14:paraId="40A1A8D4"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Regulation generally aims to suppress harms (</w:t>
      </w:r>
      <w:r w:rsidRPr="00A04D44">
        <w:rPr>
          <w:rFonts w:ascii="Garamond" w:hAnsi="Garamond"/>
          <w:i/>
          <w:iCs/>
        </w:rPr>
        <w:t>e.g.</w:t>
      </w:r>
      <w:r w:rsidRPr="00A04D44">
        <w:rPr>
          <w:rFonts w:ascii="Garamond" w:hAnsi="Garamond"/>
        </w:rPr>
        <w:t>, fraud, abuse, systemic collapse) but often fails to promote human flourishing. This article reframes law not merely as a shield against disaster, but as an architecture for cultivating prudence (</w:t>
      </w:r>
      <w:r w:rsidRPr="00A04D44">
        <w:rPr>
          <w:rFonts w:ascii="Garamond" w:hAnsi="Garamond"/>
          <w:i/>
          <w:iCs/>
        </w:rPr>
        <w:t>phronēsis</w:t>
      </w:r>
      <w:r w:rsidRPr="00A04D44">
        <w:rPr>
          <w:rFonts w:ascii="Garamond" w:hAnsi="Garamond"/>
        </w:rPr>
        <w:t xml:space="preserve">), the practical wisdom of discerning the best course of action in particular circumstances rather than merely avoiding very bad ones. Using </w:t>
      </w:r>
      <w:r w:rsidRPr="00A04D44">
        <w:rPr>
          <w:rFonts w:ascii="Garamond" w:hAnsi="Garamond"/>
        </w:rPr>
        <w:lastRenderedPageBreak/>
        <w:t>Regulation Crowdfunding as a case study, it diagnoses how technocratic legal design tends to suppress risk but tends not to nurture the exercise of prudence among market participants. The paper proposes an alternative framework: legal structures that preserve cognitive diversity, scaffold deliberation, and harness institutionally scaffolded collective judgment to promote prudent choices under conditions of genuine uncertainty. By reimagining law as a superstructure for prudence, it offers a new perspective on how legal systems might promote the prudential choices that attain good ends, not just prevent failure.</w:t>
      </w:r>
    </w:p>
    <w:p w14:paraId="14D69F11" w14:textId="77777777" w:rsidR="00671BDD" w:rsidRPr="00100261" w:rsidRDefault="00F2117F" w:rsidP="00100261">
      <w:pPr>
        <w:pStyle w:val="Heading1"/>
      </w:pPr>
      <w:bookmarkStart w:id="2" w:name="i.-introduction"/>
      <w:bookmarkEnd w:id="1"/>
      <w:r w:rsidRPr="00100261">
        <w:t>I. Introduction</w:t>
      </w:r>
    </w:p>
    <w:p w14:paraId="08A0FEAF"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Modern legal structures focus on preventing bad outcomes but often struggle to promote good ones. This asymmetry is not accidental. As Aquinas observed, human law is better able to suppress vice than to promote virtue, because the coercive instruments available to human legislators are better suited to deterrence than to cultivation.</w:t>
      </w:r>
      <w:r w:rsidRPr="00A04D44">
        <w:rPr>
          <w:rStyle w:val="FootnoteReference"/>
          <w:rFonts w:ascii="Garamond" w:hAnsi="Garamond"/>
        </w:rPr>
        <w:footnoteReference w:id="2"/>
      </w:r>
      <w:r w:rsidRPr="00A04D44">
        <w:rPr>
          <w:rFonts w:ascii="Garamond" w:hAnsi="Garamond"/>
        </w:rPr>
        <w:t xml:space="preserve"> In many </w:t>
      </w:r>
      <w:r w:rsidRPr="00A04D44">
        <w:rPr>
          <w:rFonts w:ascii="Garamond" w:hAnsi="Garamond"/>
        </w:rPr>
        <w:lastRenderedPageBreak/>
        <w:t>domains, prevention is all we can reasonably hope for from a human institution that suffers from all the limits of the human condition. A criminal code that deters murder and theft accomplishes a genuine good. A food safety regime that prevents contamination serves a legitimate purpose. In these domains, the market and other institutions can be trusted to incentivize the creation of better products, services, and forms of cooperation without regulatory encouragement. Law prevents the bad; human initiative pursues the good.</w:t>
      </w:r>
    </w:p>
    <w:p w14:paraId="23573932"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But there are special cases where this division of labor breaks down, where prevention-focused regulation does not merely leave the good to other institutions but actively prevents the conditions under which good outcomes could emerge. These are domains characterized by what the economist Frank Knight termed “uncertainty,” situations where the relevant categories are themselves being created and no historical data can guide optimal action.</w:t>
      </w:r>
      <w:r w:rsidRPr="00A04D44">
        <w:rPr>
          <w:rStyle w:val="FootnoteReference"/>
          <w:rFonts w:ascii="Garamond" w:hAnsi="Garamond"/>
        </w:rPr>
        <w:footnoteReference w:id="3"/>
      </w:r>
      <w:r w:rsidRPr="00A04D44">
        <w:rPr>
          <w:rFonts w:ascii="Garamond" w:hAnsi="Garamond"/>
        </w:rPr>
        <w:t xml:space="preserve"> Entrepreneurial finance is the paradigmatic example. The economist Joseph Schumpeter distinguished the entrepreneur who engages in “Creative </w:t>
      </w:r>
      <w:r w:rsidRPr="00A04D44">
        <w:rPr>
          <w:rFonts w:ascii="Garamond" w:hAnsi="Garamond"/>
        </w:rPr>
        <w:lastRenderedPageBreak/>
        <w:t>Destruction,” introducing genuinely new combinations that shatter existing equilibria, from the arbitrageur who merely exploits price discrepancies within known markets.</w:t>
      </w:r>
      <w:r w:rsidRPr="00A04D44">
        <w:rPr>
          <w:rStyle w:val="FootnoteReference"/>
          <w:rFonts w:ascii="Garamond" w:hAnsi="Garamond"/>
        </w:rPr>
        <w:footnoteReference w:id="4"/>
      </w:r>
      <w:r w:rsidRPr="00A04D44">
        <w:rPr>
          <w:rFonts w:ascii="Garamond" w:hAnsi="Garamond"/>
        </w:rPr>
        <w:t xml:space="preserve"> In the Schumpeterian domain, where genuinely new ventures confront genuinely unknown futures, prevention-focused regulation does not merely fail to promote flourishing; it prevents the conditions under which prudence can develop. This paper focuses on that special case.</w:t>
      </w:r>
    </w:p>
    <w:p w14:paraId="643A00CA"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Across domains (securities regulation, consumer protection, fiduciary law), legal regimes are built to deter fraud, suppress risk, and contain catastrophe. Yet harm-avoidance is not law’s highest calling. Suppressing harm does not necessarily produce good. A system that merely avoids catastrophe and polices fraud may still fail to promote fairness or motivate invention. Flourishing (</w:t>
      </w:r>
      <w:r w:rsidRPr="00A04D44">
        <w:rPr>
          <w:rFonts w:ascii="Garamond" w:hAnsi="Garamond"/>
          <w:i/>
          <w:iCs/>
        </w:rPr>
        <w:t>eudaimonia</w:t>
      </w:r>
      <w:r w:rsidRPr="00A04D44">
        <w:rPr>
          <w:rFonts w:ascii="Garamond" w:hAnsi="Garamond"/>
        </w:rPr>
        <w:t>) is the condition of achieving one’s full potential. It de</w:t>
      </w:r>
      <w:r w:rsidRPr="00A04D44">
        <w:rPr>
          <w:rFonts w:ascii="Garamond" w:hAnsi="Garamond"/>
        </w:rPr>
        <w:lastRenderedPageBreak/>
        <w:t>mands more than the absence of disaster: it requires structures that cultivate deliberation and prudence (</w:t>
      </w:r>
      <w:r w:rsidRPr="00A04D44">
        <w:rPr>
          <w:rFonts w:ascii="Garamond" w:hAnsi="Garamond"/>
          <w:i/>
          <w:iCs/>
        </w:rPr>
        <w:t>phronēsis</w:t>
      </w:r>
      <w:r w:rsidRPr="00A04D44">
        <w:rPr>
          <w:rFonts w:ascii="Garamond" w:hAnsi="Garamond"/>
        </w:rPr>
        <w:t>), the practical wisdom of discerning the best course of action in particular circumstances.</w:t>
      </w:r>
      <w:r w:rsidRPr="00A04D44">
        <w:rPr>
          <w:rStyle w:val="FootnoteReference"/>
          <w:rFonts w:ascii="Garamond" w:hAnsi="Garamond"/>
        </w:rPr>
        <w:footnoteReference w:id="5"/>
      </w:r>
    </w:p>
    <w:p w14:paraId="203D261E"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Three related but distinct concepts recur throughout this paper and should be disambiguated at the outset. </w:t>
      </w:r>
      <w:r w:rsidRPr="00A04D44">
        <w:rPr>
          <w:rFonts w:ascii="Garamond" w:hAnsi="Garamond"/>
          <w:i/>
          <w:iCs/>
        </w:rPr>
        <w:t>Wisdom</w:t>
      </w:r>
      <w:r w:rsidRPr="00A04D44">
        <w:rPr>
          <w:rFonts w:ascii="Garamond" w:hAnsi="Garamond"/>
        </w:rPr>
        <w:t xml:space="preserve"> (</w:t>
      </w:r>
      <w:r w:rsidRPr="00A04D44">
        <w:rPr>
          <w:rFonts w:ascii="Garamond" w:hAnsi="Garamond"/>
          <w:i/>
          <w:iCs/>
        </w:rPr>
        <w:t>sophia</w:t>
      </w:r>
      <w:r w:rsidRPr="00A04D44">
        <w:rPr>
          <w:rFonts w:ascii="Garamond" w:hAnsi="Garamond"/>
        </w:rPr>
        <w:t xml:space="preserve">) refers to the ultimate aim of understanding truth and value rightly ordered; it is the comprehensive intellectual virtue toward which a well-lived life is oriented. </w:t>
      </w:r>
      <w:r w:rsidRPr="00A04D44">
        <w:rPr>
          <w:rFonts w:ascii="Garamond" w:hAnsi="Garamond"/>
          <w:i/>
          <w:iCs/>
        </w:rPr>
        <w:t>Prudence</w:t>
      </w:r>
      <w:r w:rsidRPr="00A04D44">
        <w:rPr>
          <w:rFonts w:ascii="Garamond" w:hAnsi="Garamond"/>
        </w:rPr>
        <w:t xml:space="preserve"> (</w:t>
      </w:r>
      <w:r w:rsidRPr="00A04D44">
        <w:rPr>
          <w:rFonts w:ascii="Garamond" w:hAnsi="Garamond"/>
          <w:i/>
          <w:iCs/>
        </w:rPr>
        <w:t>phronēsis</w:t>
      </w:r>
      <w:r w:rsidRPr="00A04D44">
        <w:rPr>
          <w:rFonts w:ascii="Garamond" w:hAnsi="Garamond"/>
        </w:rPr>
        <w:t xml:space="preserve">) is the practical judgment exercised in particular circumstances under conditions of uncertainty—the capacity to discern what ought to be done here and now when general principles underdetermine the right course of action. </w:t>
      </w:r>
      <w:r w:rsidRPr="00A04D44">
        <w:rPr>
          <w:rFonts w:ascii="Garamond" w:hAnsi="Garamond"/>
          <w:i/>
          <w:iCs/>
        </w:rPr>
        <w:t>Learning</w:t>
      </w:r>
      <w:r w:rsidRPr="00A04D44">
        <w:rPr>
          <w:rFonts w:ascii="Garamond" w:hAnsi="Garamond"/>
        </w:rPr>
        <w:t xml:space="preserve"> denotes the developmental process by which prudence is acquired: the iterative cycle of deliberation, choice, consequence, and reflection through which agents improve their practical judgment over time.</w:t>
      </w:r>
      <w:r w:rsidRPr="00A04D44">
        <w:rPr>
          <w:rStyle w:val="FootnoteReference"/>
          <w:rFonts w:ascii="Garamond" w:hAnsi="Garamond"/>
        </w:rPr>
        <w:footnoteReference w:id="6"/>
      </w:r>
      <w:r w:rsidRPr="00A04D44">
        <w:rPr>
          <w:rFonts w:ascii="Garamond" w:hAnsi="Garamond"/>
        </w:rPr>
        <w:t xml:space="preserve"> This paper’s central claim is that legal architecture </w:t>
      </w:r>
      <w:r w:rsidRPr="00A04D44">
        <w:rPr>
          <w:rFonts w:ascii="Garamond" w:hAnsi="Garamond"/>
        </w:rPr>
        <w:lastRenderedPageBreak/>
        <w:t xml:space="preserve">can scaffold the </w:t>
      </w:r>
      <w:r w:rsidRPr="00A04D44">
        <w:rPr>
          <w:rFonts w:ascii="Garamond" w:hAnsi="Garamond"/>
          <w:i/>
          <w:iCs/>
        </w:rPr>
        <w:t>learning</w:t>
      </w:r>
      <w:r w:rsidRPr="00A04D44">
        <w:rPr>
          <w:rFonts w:ascii="Garamond" w:hAnsi="Garamond"/>
        </w:rPr>
        <w:t xml:space="preserve"> process through which market participants develop </w:t>
      </w:r>
      <w:r w:rsidRPr="00A04D44">
        <w:rPr>
          <w:rFonts w:ascii="Garamond" w:hAnsi="Garamond"/>
          <w:i/>
          <w:iCs/>
        </w:rPr>
        <w:t>prudence</w:t>
      </w:r>
      <w:r w:rsidRPr="00A04D44">
        <w:rPr>
          <w:rFonts w:ascii="Garamond" w:hAnsi="Garamond"/>
        </w:rPr>
        <w:t xml:space="preserve">, thereby moving closer to the </w:t>
      </w:r>
      <w:r w:rsidRPr="00A04D44">
        <w:rPr>
          <w:rFonts w:ascii="Garamond" w:hAnsi="Garamond"/>
          <w:i/>
          <w:iCs/>
        </w:rPr>
        <w:t>wisdom</w:t>
      </w:r>
      <w:r w:rsidRPr="00A04D44">
        <w:rPr>
          <w:rFonts w:ascii="Garamond" w:hAnsi="Garamond"/>
        </w:rPr>
        <w:t xml:space="preserve"> that enables human flourishing.</w:t>
      </w:r>
    </w:p>
    <w:p w14:paraId="64EC137B"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This paper proposes that legal architecture sometimes can, and in such cases generally should, structure for the exercise of prudence, encouraging outcomes that are not </w:t>
      </w:r>
      <w:proofErr w:type="gramStart"/>
      <w:r w:rsidRPr="00A04D44">
        <w:rPr>
          <w:rFonts w:ascii="Garamond" w:hAnsi="Garamond"/>
        </w:rPr>
        <w:t>merely not</w:t>
      </w:r>
      <w:proofErr w:type="gramEnd"/>
      <w:r w:rsidRPr="00A04D44">
        <w:rPr>
          <w:rFonts w:ascii="Garamond" w:hAnsi="Garamond"/>
        </w:rPr>
        <w:t xml:space="preserve"> bad but positively good. Using equity crowdfunding as a case study, I argue that markets, like societies, thrive not merely by suppressing what is bad (</w:t>
      </w:r>
      <w:r w:rsidRPr="00A04D44">
        <w:rPr>
          <w:rFonts w:ascii="Garamond" w:hAnsi="Garamond"/>
          <w:i/>
          <w:iCs/>
        </w:rPr>
        <w:t>e.g.</w:t>
      </w:r>
      <w:r w:rsidRPr="00A04D44">
        <w:rPr>
          <w:rFonts w:ascii="Garamond" w:hAnsi="Garamond"/>
        </w:rPr>
        <w:t>, fraud, theft, or violence), but by cultivating what is good (</w:t>
      </w:r>
      <w:r w:rsidRPr="00A04D44">
        <w:rPr>
          <w:rFonts w:ascii="Garamond" w:hAnsi="Garamond"/>
          <w:i/>
          <w:iCs/>
        </w:rPr>
        <w:t>e.g.</w:t>
      </w:r>
      <w:r w:rsidRPr="00A04D44">
        <w:rPr>
          <w:rFonts w:ascii="Garamond" w:hAnsi="Garamond"/>
        </w:rPr>
        <w:t>, cooperation, innovation, and justice). Congress enacted Title III of the JOBS Act to democratize startup finance, yet the SEC’s Regulation Crowdfunding implementation, shaped by fear of unsophisticated investors being duped by ill-intentioned fraudsters, demonstrates regulatory law’s fixation on preventing harm rather than cultivating the prudence involved in making investments.</w:t>
      </w:r>
      <w:r w:rsidRPr="00A04D44">
        <w:rPr>
          <w:rStyle w:val="FootnoteReference"/>
          <w:rFonts w:ascii="Garamond" w:hAnsi="Garamond"/>
        </w:rPr>
        <w:footnoteReference w:id="7"/>
      </w:r>
      <w:r w:rsidRPr="00A04D44">
        <w:rPr>
          <w:rFonts w:ascii="Garamond" w:hAnsi="Garamond"/>
        </w:rPr>
        <w:t xml:space="preserve"> While limited uptake of Regulation Crowdfunding likely reflects multiple factors (issuer ignorance, transaction costs, market inertia), the structure of the regulation itself embeds an anti-bad presumption that prioritizes prevention of loss over conditions for developing </w:t>
      </w:r>
      <w:r w:rsidRPr="00A04D44">
        <w:rPr>
          <w:rFonts w:ascii="Garamond" w:hAnsi="Garamond"/>
        </w:rPr>
        <w:lastRenderedPageBreak/>
        <w:t>prudent judgment.</w:t>
      </w:r>
      <w:r w:rsidRPr="00A04D44">
        <w:rPr>
          <w:rStyle w:val="FootnoteReference"/>
          <w:rFonts w:ascii="Garamond" w:hAnsi="Garamond"/>
        </w:rPr>
        <w:footnoteReference w:id="8"/>
      </w:r>
      <w:r w:rsidRPr="00A04D44">
        <w:rPr>
          <w:rFonts w:ascii="Garamond" w:hAnsi="Garamond"/>
        </w:rPr>
        <w:t xml:space="preserve"> Law’s role is not exhausted by policing badness. Properly conceived, law is the architecture of human fulfillment under conditions of uncertainty.</w:t>
      </w:r>
    </w:p>
    <w:p w14:paraId="4FB43391" w14:textId="77777777" w:rsidR="00671BDD" w:rsidRPr="00100261" w:rsidRDefault="00F2117F" w:rsidP="00100261">
      <w:pPr>
        <w:pStyle w:val="Heading2"/>
      </w:pPr>
      <w:bookmarkStart w:id="3" w:name="Xe4fd581c040db1b22e2d52f24091f3f7c908672"/>
      <w:r w:rsidRPr="00100261">
        <w:t>A. Anthropological and Theological Foundations: Humans as Agents</w:t>
      </w:r>
    </w:p>
    <w:p w14:paraId="4F2B325E"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This vision assumes a particular anthropology: that humans are agents capable of prudence, not subjects to be managed by others, even when the managers are attempting to benefit their subjects. This conviction is rooted not merely in virtue ethics but in theological anthropology. Humans possess inherent dignity and purpose. As Martin Buber argued in </w:t>
      </w:r>
      <w:r w:rsidRPr="00A04D44">
        <w:rPr>
          <w:rFonts w:ascii="Garamond" w:hAnsi="Garamond"/>
          <w:i/>
          <w:iCs/>
        </w:rPr>
        <w:t>I and Thou</w:t>
      </w:r>
      <w:r w:rsidRPr="00A04D44">
        <w:rPr>
          <w:rFonts w:ascii="Garamond" w:hAnsi="Garamond"/>
        </w:rPr>
        <w:t>, genuine communities form through I-Thou relationships. These relationships involve meeting others as subjects with their own purposes, rather than through I-It management, where we treat them as objects to be controlled.</w:t>
      </w:r>
      <w:r w:rsidRPr="00A04D44">
        <w:rPr>
          <w:rStyle w:val="FootnoteReference"/>
          <w:rFonts w:ascii="Garamond" w:hAnsi="Garamond"/>
        </w:rPr>
        <w:footnoteReference w:id="9"/>
      </w:r>
      <w:r w:rsidRPr="00A04D44">
        <w:rPr>
          <w:rFonts w:ascii="Garamond" w:hAnsi="Garamond"/>
        </w:rPr>
        <w:t xml:space="preserve"> Buber’s distinction reveals that when we regulate to </w:t>
      </w:r>
      <w:r w:rsidRPr="00A04D44">
        <w:rPr>
          <w:rFonts w:ascii="Garamond" w:hAnsi="Garamond"/>
        </w:rPr>
        <w:lastRenderedPageBreak/>
        <w:t>prevent all or almost all risk, we shift from I-Thou (respecting others as capable agents) to I-It (managing others as objects requiring protection).</w:t>
      </w:r>
    </w:p>
    <w:p w14:paraId="4738212E"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Frankl’s logotherapy and Abraham Joshua Heschel’s prophetic tradition together articulate a complementary insight: human dignity consists in purposive agency, the capacity to find meaning and respond responsibly even under constraint.</w:t>
      </w:r>
      <w:r w:rsidRPr="00A04D44">
        <w:rPr>
          <w:rStyle w:val="FootnoteReference"/>
          <w:rFonts w:ascii="Garamond" w:hAnsi="Garamond"/>
        </w:rPr>
        <w:footnoteReference w:id="10"/>
      </w:r>
      <w:r w:rsidRPr="00A04D44">
        <w:rPr>
          <w:rFonts w:ascii="Garamond" w:hAnsi="Garamond"/>
        </w:rPr>
        <w:t xml:space="preserve"> When that capacity is systematically impeded by regulatory design, the conditions for moral development are constrained. Markets, understood through this anthropological lens, are not merely mechanisms for allocating resources; they are spaces where people exercise agency, develop prudence, and participate in creation. To design regulation that prevents this participation is to deny people their dignity as agents. The question for law becomes: How can we structure institutions that treat people as capable of developing prudence, rather than as subjects to be protected from themselves?</w:t>
      </w:r>
    </w:p>
    <w:p w14:paraId="4F5DC42B"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The distinction matters because the claim is not merely that overregulation disrespects autonomy. Philip Howard made that argument powerfully thirty years ago in </w:t>
      </w:r>
      <w:r w:rsidRPr="00A04D44">
        <w:rPr>
          <w:rFonts w:ascii="Garamond" w:hAnsi="Garamond"/>
          <w:i/>
          <w:iCs/>
        </w:rPr>
        <w:t>The Death of Common Sense</w:t>
      </w:r>
      <w:r w:rsidRPr="00A04D44">
        <w:rPr>
          <w:rFonts w:ascii="Garamond" w:hAnsi="Garamond"/>
        </w:rPr>
        <w:t xml:space="preserve">. The deeper claim is that prevention-maximizing regulation prevents human beings from reaching their end </w:t>
      </w:r>
      <w:r w:rsidRPr="00A04D44">
        <w:rPr>
          <w:rFonts w:ascii="Garamond" w:hAnsi="Garamond"/>
        </w:rPr>
        <w:lastRenderedPageBreak/>
        <w:t>(</w:t>
      </w:r>
      <w:r w:rsidRPr="00A04D44">
        <w:rPr>
          <w:rFonts w:ascii="Garamond" w:hAnsi="Garamond"/>
          <w:i/>
          <w:iCs/>
        </w:rPr>
        <w:t>telos</w:t>
      </w:r>
      <w:r w:rsidRPr="00A04D44">
        <w:rPr>
          <w:rFonts w:ascii="Garamond" w:hAnsi="Garamond"/>
        </w:rPr>
        <w:t>) as rational agents who must arrive at good outcomes through their own free choices. An SEC bureaucrat may think everything is wonderful if everyone has a securities portfolio that earns the market return; but it matters whether they arrived at that portfolio through their own prudential decisions or whether the law simply required that all retirement dollars be invested in an index fund. Getting to the right outcome by being prevented from choosing wrongly is not the same as getting there through the exercise of prudence, and the difference matters for human development.</w:t>
      </w:r>
      <w:r w:rsidRPr="00A04D44">
        <w:rPr>
          <w:rStyle w:val="FootnoteReference"/>
          <w:rFonts w:ascii="Garamond" w:hAnsi="Garamond"/>
        </w:rPr>
        <w:footnoteReference w:id="11"/>
      </w:r>
    </w:p>
    <w:p w14:paraId="5B3B7305" w14:textId="77777777" w:rsidR="00671BDD" w:rsidRPr="00100261" w:rsidRDefault="00F2117F" w:rsidP="00100261">
      <w:pPr>
        <w:pStyle w:val="Heading2"/>
      </w:pPr>
      <w:bookmarkStart w:id="4" w:name="b.-the-knightian-uncertainty-problem"/>
      <w:bookmarkEnd w:id="3"/>
      <w:r w:rsidRPr="00100261">
        <w:t>B. The Knightian Uncertainty Problem</w:t>
      </w:r>
    </w:p>
    <w:p w14:paraId="12B87903"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These anthropological insights converge on a crucial epistemic distinction that explains why prevention-oriented regulation necessarily fails in entrepreneurial contexts. Frank Knight distinguished between “risk” and “uncertainty,” the latter now commonly called “Knightian uncertainty.” Risk exists when outcomes are unknown but probabilities </w:t>
      </w:r>
      <w:r w:rsidRPr="00A04D44">
        <w:rPr>
          <w:rFonts w:ascii="Garamond" w:hAnsi="Garamond"/>
        </w:rPr>
        <w:lastRenderedPageBreak/>
        <w:t>can be reliably determined from historical data, like the probability of a particular number coming up on a fair roulette wheel. Knightian uncertainty exists when outcomes are genuinely unknowable because the future contains novel categories we cannot predict, like the probability of a new business succeeding.</w:t>
      </w:r>
      <w:r w:rsidRPr="00A04D44">
        <w:rPr>
          <w:rStyle w:val="FootnoteReference"/>
          <w:rFonts w:ascii="Garamond" w:hAnsi="Garamond"/>
        </w:rPr>
        <w:footnoteReference w:id="12"/>
      </w:r>
      <w:r w:rsidRPr="00A04D44">
        <w:rPr>
          <w:rFonts w:ascii="Garamond" w:hAnsi="Garamond"/>
        </w:rPr>
        <w:t xml:space="preserve"> Entrepreneurial finance operates almost entirely under conditions of Knightian uncertainty. Startups confront unknown markets, untested products, and unpredictable consumer behavior. No rational model could have fully anticipated the technological breakthroughs, market shifts, and behavioral surprises that determine venture success or failure. Indeed, as Alasdair MacIntyre has observed, technological breakthroughs are by definition unpredictable: if you could predict the discovery of the internal combustion engine, you would already have to know what an internal combustion engine was, and so you would have already invented it.</w:t>
      </w:r>
      <w:r w:rsidRPr="00A04D44">
        <w:rPr>
          <w:rStyle w:val="FootnoteReference"/>
          <w:rFonts w:ascii="Garamond" w:hAnsi="Garamond"/>
        </w:rPr>
        <w:footnoteReference w:id="13"/>
      </w:r>
      <w:r w:rsidRPr="00A04D44">
        <w:rPr>
          <w:rFonts w:ascii="Garamond" w:hAnsi="Garamond"/>
        </w:rPr>
        <w:t xml:space="preserve"> Disclosure clarifies known risks but cannot penetrate the deeper indeterminacy at the heart of innovation.</w:t>
      </w:r>
    </w:p>
    <w:p w14:paraId="4A0714AC"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lastRenderedPageBreak/>
        <w:t>Regulation Crowdfunding treats early-stage investment primarily as a matter of managing calculable risk: investment caps presume calculable harm, disclosure mandates presume knowable relevant facts, and intermediary gatekeeping presumes predictable outcomes. None of these assumptions hold. In other words, Regulation Crowdfunding misidentifies a phronetic problem as an epistemic one. It assumes that wiser investment decisions will follow automatically from fuller disclosure and prevention of loss. An alternative approach, which better fits the reality of entrepreneurial finance, envisions law as cultivating the conditions under which prudence can grow. Where uncertainty reigns, prudent choices depend less on insulating participants from error and more on cultivating conditions under which market participants can reason adaptively, deliberate broadly, and learn iteratively.</w:t>
      </w:r>
    </w:p>
    <w:p w14:paraId="0CB0E740" w14:textId="77777777" w:rsidR="00671BDD" w:rsidRPr="00100261" w:rsidRDefault="00F2117F" w:rsidP="00100261">
      <w:pPr>
        <w:pStyle w:val="Heading2"/>
      </w:pPr>
      <w:bookmarkStart w:id="5" w:name="Xd986f422afed4e4692eed17f43420adebf4267d"/>
      <w:bookmarkEnd w:id="4"/>
      <w:r w:rsidRPr="00100261">
        <w:t>C. Classical Liberal and Institutional Foundations</w:t>
      </w:r>
    </w:p>
    <w:p w14:paraId="79A430C7"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If human beings possess an inherent capacity for prudence under uncertainty, then law’s role should not be limited to guarding against badness. This insight has deep roots in classical liberal theory. Richard Epstein argues that property rights, including rights over one’s own capital, are founda</w:t>
      </w:r>
      <w:r w:rsidRPr="00A04D44">
        <w:rPr>
          <w:rFonts w:ascii="Garamond" w:hAnsi="Garamond"/>
        </w:rPr>
        <w:lastRenderedPageBreak/>
        <w:t>tional to human dignity and freedom.</w:t>
      </w:r>
      <w:r w:rsidRPr="00A04D44">
        <w:rPr>
          <w:rStyle w:val="FootnoteReference"/>
          <w:rFonts w:ascii="Garamond" w:hAnsi="Garamond"/>
        </w:rPr>
        <w:footnoteReference w:id="14"/>
      </w:r>
      <w:r w:rsidRPr="00A04D44">
        <w:rPr>
          <w:rFonts w:ascii="Garamond" w:hAnsi="Garamond"/>
        </w:rPr>
        <w:t xml:space="preserve"> Friedrich Hayek showed that law functions best as a framework (general rules applying equally) rather than as command (attempting to engineer specific outcomes). When regulators try to prevent all bad outcomes through detailed mandates, they necessarily fail, partly because no one possesses the knowledge required to optimize such complex domains.</w:t>
      </w:r>
      <w:r w:rsidRPr="00A04D44">
        <w:rPr>
          <w:rStyle w:val="FootnoteReference"/>
          <w:rFonts w:ascii="Garamond" w:hAnsi="Garamond"/>
        </w:rPr>
        <w:footnoteReference w:id="15"/>
      </w:r>
    </w:p>
    <w:p w14:paraId="2AF03AC7"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This classical liberal framework joins with public choice theory to explain why prevention-maximization happens structurally. James Buchanan and Gordon Tullock showed that political actors respond to incentives like economic actors.</w:t>
      </w:r>
      <w:r w:rsidRPr="00A04D44">
        <w:rPr>
          <w:rStyle w:val="FootnoteReference"/>
          <w:rFonts w:ascii="Garamond" w:hAnsi="Garamond"/>
        </w:rPr>
        <w:footnoteReference w:id="16"/>
      </w:r>
      <w:r w:rsidRPr="00A04D44">
        <w:rPr>
          <w:rFonts w:ascii="Garamond" w:hAnsi="Garamond"/>
        </w:rPr>
        <w:t xml:space="preserve"> Regulators face asymmetric accountability: they are punished for visible fraud and investor losses, but receive no blame for opportunities they foreclose or markets they fail to enable. Mancur Olson demonstrated why diffuse interests (future entrepreneurs, potential investors, ordinary people who might flourish) cannot organize a constituency to advo</w:t>
      </w:r>
      <w:r w:rsidRPr="00A04D44">
        <w:rPr>
          <w:rFonts w:ascii="Garamond" w:hAnsi="Garamond"/>
        </w:rPr>
        <w:lastRenderedPageBreak/>
        <w:t>cate for enablement.</w:t>
      </w:r>
      <w:r w:rsidRPr="00A04D44">
        <w:rPr>
          <w:rStyle w:val="FootnoteReference"/>
          <w:rFonts w:ascii="Garamond" w:hAnsi="Garamond"/>
        </w:rPr>
        <w:footnoteReference w:id="17"/>
      </w:r>
      <w:r w:rsidRPr="00A04D44">
        <w:rPr>
          <w:rFonts w:ascii="Garamond" w:hAnsi="Garamond"/>
        </w:rPr>
        <w:t xml:space="preserve"> Prevention is visible; opportunity costs are not. This explains not individual incompetence but institutional structure.</w:t>
      </w:r>
    </w:p>
    <w:p w14:paraId="5D0BC121"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The anti-bad bias is not accidental. It is structural, and the logic is best understood in terms of asymmetric error costs. Regulators face two kinds of mistakes: failing to prevent harm that occurs (Type II error) and preventing beneficial activity that would have succeeded (Type I error). The payoffs are radically asymmetric. When fraud occurs on your watch, a Type II error, you face visible, measurable, and punishable failure: congressional testimony, media coverage, lawsuits, career consequences. But when you foreclose opportunities, a Type I error, you pay no cost. There is no constituency of people who would have invested if regulation were lighter. There is no lobby for opportunities that never materialized. A regulator who enables a venture that later defrauds investors faces career destruction. A regulator who prevents a thousand ventures from forming receives no blame. The costs of Type I errors are invisible; the benefits of preventing Type II errors are visible. This asymmetry is not unique to securities regulation. But it is especially destructive in domains of Knightian uncertainty, where the expected benefits </w:t>
      </w:r>
      <w:r w:rsidRPr="00A04D44">
        <w:rPr>
          <w:rFonts w:ascii="Garamond" w:hAnsi="Garamond"/>
        </w:rPr>
        <w:lastRenderedPageBreak/>
        <w:t xml:space="preserve">of enabling new activity are </w:t>
      </w:r>
      <w:proofErr w:type="gramStart"/>
      <w:r w:rsidRPr="00A04D44">
        <w:rPr>
          <w:rFonts w:ascii="Garamond" w:hAnsi="Garamond"/>
        </w:rPr>
        <w:t>by definition unquantifiable</w:t>
      </w:r>
      <w:proofErr w:type="gramEnd"/>
      <w:r w:rsidRPr="00A04D44">
        <w:rPr>
          <w:rFonts w:ascii="Garamond" w:hAnsi="Garamond"/>
        </w:rPr>
        <w:t>.</w:t>
      </w:r>
      <w:r w:rsidRPr="00A04D44">
        <w:rPr>
          <w:rStyle w:val="FootnoteReference"/>
          <w:rFonts w:ascii="Garamond" w:hAnsi="Garamond"/>
        </w:rPr>
        <w:footnoteReference w:id="18"/>
      </w:r>
    </w:p>
    <w:p w14:paraId="26FCEADA"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Not all domains exhibit this destructive asymmetry. When the Transportation Security Administration screens luggage for explosives, Type I errors (flagging a harmless bag) are cheap and Type II errors (missing a bomb) are catastrophically costly. Prevention-maximization makes sense. The question is not whether prevention is ever appropriate but whether the particular error-cost structure of a given regulatory domain justifies the degree of prevention imposed. In entrepreneurial finance, the costs of Type I errors, the foreclosed ventures, the uninvested capital, the undeveloped markets, may substantially exceed the costs of the Type II errors that regulation prevents.</w:t>
      </w:r>
    </w:p>
    <w:p w14:paraId="4FCA7B32"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Yet this structure is not inevitable. Individual regulators with institutional courage can resist the anti-bad bias. SEC Commissioner Hester Peirce has repeatedly advocated for innovation-friendly approaches to crowdfunding, cryptocurrency, and market structure, showing that resistance is possi</w:t>
      </w:r>
      <w:r w:rsidRPr="00A04D44">
        <w:rPr>
          <w:rFonts w:ascii="Garamond" w:hAnsi="Garamond"/>
        </w:rPr>
        <w:lastRenderedPageBreak/>
        <w:t>ble, though institutionally costly.</w:t>
      </w:r>
      <w:r w:rsidRPr="00A04D44">
        <w:rPr>
          <w:rStyle w:val="FootnoteReference"/>
          <w:rFonts w:ascii="Garamond" w:hAnsi="Garamond"/>
        </w:rPr>
        <w:footnoteReference w:id="19"/>
      </w:r>
      <w:r w:rsidRPr="00A04D44">
        <w:rPr>
          <w:rFonts w:ascii="Garamond" w:hAnsi="Garamond"/>
        </w:rPr>
        <w:t xml:space="preserve"> Meaningful regulatory reform requires simultaneous change in both institutional structure and institutional personnel. Equity crowdfunding offers a meaningful arena to test this shift: a chance to move from anti-bad posture toward pro-good orientation, and to reimagine how law might support human flourishing.</w:t>
      </w:r>
    </w:p>
    <w:p w14:paraId="25E50A60" w14:textId="77777777" w:rsidR="00671BDD" w:rsidRPr="00100261" w:rsidRDefault="00F2117F" w:rsidP="00100261">
      <w:pPr>
        <w:pStyle w:val="Heading1"/>
      </w:pPr>
      <w:bookmarkStart w:id="6" w:name="ii.-the-problem-of-anti-bad-bias"/>
      <w:bookmarkEnd w:id="2"/>
      <w:bookmarkEnd w:id="5"/>
      <w:r w:rsidRPr="00100261">
        <w:t>II. The Problem of Anti-Bad Bias</w:t>
      </w:r>
    </w:p>
    <w:p w14:paraId="5ECBDD37"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Regulatory systems are built primarily to prevent bad outcomes. This anti-bad bias is especially pronounced, and especially costly, in domains where the regulated activity involves genuine creation under uncertainty. In securities regulation, the apparatus of prevention (registration requirements, disclosure mandates, investment caps) is designed for a world of calculable risk. When applied to early-stage entrepreneurial finance, where the relevant categories are themselves being invented, this apparatus does not merely prevent fraud; it prevents the formation of markets in which prudence could develop.</w:t>
      </w:r>
    </w:p>
    <w:p w14:paraId="4DF266BD"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lastRenderedPageBreak/>
        <w:t>Modern regulation concentrates on what might be called the anti-bad level of regulatory purpose. It aims to prevent fraud and catastrophe while largely ignoring neutral-level frameworks and pro-good scaffolding. It says: “Your job is to prevent badness.” It measures success by the absence of fraud. It punishes regulators for visible failures. It ignores, structurally and institutionally, the ways that prevention can stunt flourishing.</w:t>
      </w:r>
    </w:p>
    <w:p w14:paraId="675C3FBE" w14:textId="77777777" w:rsidR="00671BDD" w:rsidRPr="00A04D44" w:rsidRDefault="00F2117F" w:rsidP="00100261">
      <w:pPr>
        <w:spacing w:line="276" w:lineRule="auto"/>
        <w:jc w:val="both"/>
        <w:rPr>
          <w:rFonts w:ascii="Garamond" w:hAnsi="Garamond"/>
        </w:rPr>
      </w:pPr>
      <w:r w:rsidRPr="00A04D44">
        <w:rPr>
          <w:rFonts w:ascii="Garamond" w:hAnsi="Garamond"/>
        </w:rPr>
        <w:t>Regulation Crowdfunding exemplifies this pattern. Congress passed the Jumpstart Our Business Startups (JOBS) Act in 2012 with noble intent: to democratize startup capital formation. Title III of the Act directed the SEC to promulgate rules allowing entrepreneurs to raise capital from ordinary investors (not just accredited investors). The legislative vision recognized what might be called the epistemic potential of dispersed participation—the insight that many independent individuals, each bringing local knowledge and diverse perspectives, might collectively identify promising ventures more effectively than any single gatekeeper.</w:t>
      </w:r>
      <w:r w:rsidRPr="00A04D44">
        <w:rPr>
          <w:rFonts w:ascii="Garamond" w:hAnsi="Garamond"/>
        </w:rPr>
        <w:footnoteReference w:id="20"/>
      </w:r>
      <w:r w:rsidRPr="00A04D44">
        <w:rPr>
          <w:rFonts w:ascii="Garamond" w:hAnsi="Garamond"/>
        </w:rPr>
        <w:t xml:space="preserve"> But the </w:t>
      </w:r>
      <w:r w:rsidRPr="00A04D44">
        <w:rPr>
          <w:rFonts w:ascii="Garamond" w:hAnsi="Garamond"/>
        </w:rPr>
        <w:lastRenderedPageBreak/>
        <w:t>SEC’s implementation of Regulation Crowdfunding (adopted in 2015) reflects the anti-bad bias. Fearing fraud and investor losses, the SEC imposed retail purchase limits tied to income and net worth, extensive disclosures, and registered-intermediary gatekeeping.</w:t>
      </w:r>
      <w:r w:rsidRPr="00A04D44">
        <w:rPr>
          <w:rFonts w:ascii="Garamond" w:hAnsi="Garamond"/>
        </w:rPr>
        <w:footnoteReference w:id="21"/>
      </w:r>
      <w:r w:rsidRPr="00A04D44">
        <w:rPr>
          <w:rFonts w:ascii="Garamond" w:hAnsi="Garamond"/>
        </w:rPr>
        <w:t xml:space="preserve"> The 2021 amendments raised issuer maximums to $5 million, removed accredited investor investment caps, and shifted retail investor limits to an income/net-worth formula, yet the underlying architecture of prevention-first design remains intact.</w:t>
      </w:r>
      <w:r w:rsidRPr="00A04D44">
        <w:rPr>
          <w:rFonts w:ascii="Garamond" w:hAnsi="Garamond"/>
        </w:rPr>
        <w:footnoteReference w:id="22"/>
      </w:r>
    </w:p>
    <w:p w14:paraId="5906491E"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These rules prevent certain harms. A person cannot lose their life savings to a fraudulent venture. Information asymmetries are reduced. Scammers face real barriers. By the anti-bad metric, fraud is rare; by the pro-good metric, capital formation remains small, with approximately $1.3 billion in reported proceeds raised cumulatively through the end of 2024 (likely a lower-bound estimate given variance in Form C-U filing practices), </w:t>
      </w:r>
      <w:r w:rsidRPr="00A04D44">
        <w:rPr>
          <w:rFonts w:ascii="Garamond" w:hAnsi="Garamond"/>
        </w:rPr>
        <w:lastRenderedPageBreak/>
        <w:t>compared to roughly $170 billion in U.S. venture capital in 2023 (all stages).</w:t>
      </w:r>
      <w:r w:rsidRPr="00A04D44">
        <w:rPr>
          <w:rStyle w:val="FootnoteReference"/>
          <w:rFonts w:ascii="Garamond" w:hAnsi="Garamond"/>
        </w:rPr>
        <w:footnoteReference w:id="23"/>
      </w:r>
      <w:r w:rsidRPr="00A04D44">
        <w:rPr>
          <w:rFonts w:ascii="Garamond" w:hAnsi="Garamond"/>
        </w:rPr>
        <w:t xml:space="preserve"> Entrepreneurs have largely abandoned Regulation Crowdfunding. Ordinary investors have not developed prudent judgment about startup investing. Markets have not formed. The conditions that would enable crowds to learn together, to deliberate about which ventures matter, and to exercise prudence were precisely what the regulations prevented.</w:t>
      </w:r>
    </w:p>
    <w:p w14:paraId="612FEFB8"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Why? Because each rule was justified by anti-bad logic: “This prevents fraud.” “This prevents loss.” Each was rational given the regulator’s incentive structure. But together, they prevent the very thing that might produce pro-good outcomes: a functioning market where participants can learn, investors can exercise prudence, and entrepreneurs can access capital through direct dialogue with communities. The puzzle is not that Regulation </w:t>
      </w:r>
      <w:r w:rsidRPr="00A04D44">
        <w:rPr>
          <w:rFonts w:ascii="Garamond" w:hAnsi="Garamond"/>
        </w:rPr>
        <w:lastRenderedPageBreak/>
        <w:t>Crowdfunding prevents fraud. The puzzle is that it prevents the conditions for prudence to develop and then interprets that absence as evidence that ordinary investors cannot be trusted. This is a self-fulfilling prophecy.</w:t>
      </w:r>
    </w:p>
    <w:p w14:paraId="070C4E4C" w14:textId="77777777" w:rsidR="00671BDD" w:rsidRPr="00100261" w:rsidRDefault="00F2117F" w:rsidP="00100261">
      <w:pPr>
        <w:pStyle w:val="Heading1"/>
      </w:pPr>
      <w:bookmarkStart w:id="7" w:name="iii.-prudence-and-institutional-design"/>
      <w:bookmarkEnd w:id="6"/>
      <w:r w:rsidRPr="00100261">
        <w:t>III. Prudence and Institutional Design</w:t>
      </w:r>
    </w:p>
    <w:p w14:paraId="7E247506"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The alternative to anti-bad regulation is not recklessness. It is a framework for cultivating </w:t>
      </w:r>
      <w:r w:rsidRPr="00A04D44">
        <w:rPr>
          <w:rFonts w:ascii="Garamond" w:hAnsi="Garamond"/>
          <w:i/>
          <w:iCs/>
        </w:rPr>
        <w:t>phronēsis</w:t>
      </w:r>
      <w:r w:rsidRPr="00A04D44">
        <w:rPr>
          <w:rFonts w:ascii="Garamond" w:hAnsi="Garamond"/>
        </w:rPr>
        <w:t>, practical wisdom, at the level of markets and communities. This requires understanding how structure shapes the emergence of prudent judgment.</w:t>
      </w:r>
    </w:p>
    <w:p w14:paraId="57AA68F4" w14:textId="77777777" w:rsidR="00671BDD" w:rsidRPr="00100261" w:rsidRDefault="00F2117F" w:rsidP="00100261">
      <w:pPr>
        <w:pStyle w:val="Heading2"/>
      </w:pPr>
      <w:bookmarkStart w:id="8" w:name="X7c5d844fdc46113f8b61d2cec196249d86be930"/>
      <w:r w:rsidRPr="00100261">
        <w:t>A. Aristotle, MacIntyre, and the Conditions for Prudence</w:t>
      </w:r>
    </w:p>
    <w:p w14:paraId="3F89498F"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Aristotle argued that </w:t>
      </w:r>
      <w:proofErr w:type="spellStart"/>
      <w:r w:rsidRPr="00A04D44">
        <w:rPr>
          <w:rFonts w:ascii="Garamond" w:hAnsi="Garamond"/>
          <w:i/>
          <w:iCs/>
        </w:rPr>
        <w:t>phronēsis</w:t>
      </w:r>
      <w:proofErr w:type="spellEnd"/>
      <w:r w:rsidRPr="00A04D44">
        <w:rPr>
          <w:rFonts w:ascii="Garamond" w:hAnsi="Garamond"/>
        </w:rPr>
        <w:t xml:space="preserve"> develops through habituation in practices. You cannot learn courage in a safe room. You develop courage by facing genuine difficulty, making real choices, and experiencing consequences. Similarly, you cannot develop prudence about investment without actually making investments, experiencing failures and successes, reflecting on outcomes, and adjusting judgment over time.</w:t>
      </w:r>
      <w:r w:rsidRPr="00A04D44">
        <w:rPr>
          <w:rStyle w:val="FootnoteReference"/>
          <w:rFonts w:ascii="Garamond" w:hAnsi="Garamond"/>
        </w:rPr>
        <w:footnoteReference w:id="24"/>
      </w:r>
      <w:r w:rsidRPr="00A04D44">
        <w:rPr>
          <w:rFonts w:ascii="Garamond" w:hAnsi="Garamond"/>
        </w:rPr>
        <w:t xml:space="preserve"> Alasdair MacIntyre extended this insight to the level of institutions.</w:t>
      </w:r>
      <w:r w:rsidRPr="00A04D44">
        <w:rPr>
          <w:rStyle w:val="FootnoteReference"/>
          <w:rFonts w:ascii="Garamond" w:hAnsi="Garamond"/>
        </w:rPr>
        <w:footnoteReference w:id="25"/>
      </w:r>
      <w:r w:rsidRPr="00A04D44">
        <w:rPr>
          <w:rFonts w:ascii="Garamond" w:hAnsi="Garamond"/>
        </w:rPr>
        <w:t xml:space="preserve"> An institution </w:t>
      </w:r>
      <w:r w:rsidRPr="00A04D44">
        <w:rPr>
          <w:rFonts w:ascii="Garamond" w:hAnsi="Garamond"/>
        </w:rPr>
        <w:lastRenderedPageBreak/>
        <w:t>that scaffolds a practice, a set of socially established cooperative activities with internal goods and standards of excellence, can cultivate virtue in its practitioners. A hospital scaffolds the practice of healing. A law firm scaffolds the practice of justice-seeking. A market scaffolds the practice of exchange and value discovery. But the scaffolding matters. If a hospital prevented all risk-taking, it would prevent medicine. If a market prevented all loss, it would prevent the learning that generates prudence.</w:t>
      </w:r>
    </w:p>
    <w:p w14:paraId="10D7C287"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For crowdfunding to scaffold </w:t>
      </w:r>
      <w:r w:rsidRPr="00A04D44">
        <w:rPr>
          <w:rFonts w:ascii="Garamond" w:hAnsi="Garamond"/>
          <w:i/>
          <w:iCs/>
        </w:rPr>
        <w:t>phronēsis</w:t>
      </w:r>
      <w:r w:rsidRPr="00A04D44">
        <w:rPr>
          <w:rFonts w:ascii="Garamond" w:hAnsi="Garamond"/>
        </w:rPr>
        <w:t>, it must preserve three essential elements: diversity of perspective (crowd prudence depends on people thinking differently, not identically); real stakes (without genuine consequences, prudence does not develop); and feedback loops (outcomes must inform future choices).</w:t>
      </w:r>
      <w:r w:rsidRPr="00A04D44">
        <w:rPr>
          <w:rStyle w:val="FootnoteReference"/>
          <w:rFonts w:ascii="Garamond" w:hAnsi="Garamond"/>
        </w:rPr>
        <w:footnoteReference w:id="26"/>
      </w:r>
      <w:r w:rsidRPr="00A04D44">
        <w:rPr>
          <w:rFonts w:ascii="Garamond" w:hAnsi="Garamond"/>
        </w:rPr>
        <w:t xml:space="preserve"> Regulation Crowdfunding undermines all three. Investment caps limit how seriously people can engage. Mandatory disclosure and gatekeeping reduce perspective diversity. Delayed reporting </w:t>
      </w:r>
      <w:r w:rsidRPr="00A04D44">
        <w:rPr>
          <w:rFonts w:ascii="Garamond" w:hAnsi="Garamond"/>
        </w:rPr>
        <w:lastRenderedPageBreak/>
        <w:t>limits feedback because learning becomes slow and abstract.</w:t>
      </w:r>
    </w:p>
    <w:p w14:paraId="404E64C6" w14:textId="77777777" w:rsidR="00671BDD" w:rsidRPr="00100261" w:rsidRDefault="00F2117F" w:rsidP="00100261">
      <w:pPr>
        <w:pStyle w:val="Heading2"/>
      </w:pPr>
      <w:bookmarkStart w:id="9" w:name="X5148098454bfa50a597e14317d36986d7e9e58f"/>
      <w:bookmarkEnd w:id="8"/>
      <w:r w:rsidRPr="00100261">
        <w:t>B. Structure and the Development of Prudence</w:t>
      </w:r>
    </w:p>
    <w:p w14:paraId="1A7CCE75"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Recent empirical research shows how social structure shapes the development of prudent judgment. Damon Centola demonstrates that decentralized networks, where information flows laterally rather than just top-down, generate more adaptive solutions to complex problems than centralized hierarchies.</w:t>
      </w:r>
      <w:r w:rsidRPr="00A04D44">
        <w:rPr>
          <w:rStyle w:val="FootnoteReference"/>
          <w:rFonts w:ascii="Garamond" w:hAnsi="Garamond"/>
        </w:rPr>
        <w:footnoteReference w:id="27"/>
      </w:r>
      <w:r w:rsidRPr="00A04D44">
        <w:rPr>
          <w:rFonts w:ascii="Garamond" w:hAnsi="Garamond"/>
        </w:rPr>
        <w:t xml:space="preserve"> Hélène Landemore shows that diverse and independent deliberation among non-experts often outperforms expert judgment alone when problems involve genuine uncertainty.</w:t>
      </w:r>
      <w:r w:rsidRPr="00A04D44">
        <w:rPr>
          <w:rStyle w:val="FootnoteReference"/>
          <w:rFonts w:ascii="Garamond" w:hAnsi="Garamond"/>
        </w:rPr>
        <w:footnoteReference w:id="28"/>
      </w:r>
      <w:r w:rsidRPr="00A04D44">
        <w:rPr>
          <w:rFonts w:ascii="Garamond" w:hAnsi="Garamond"/>
        </w:rPr>
        <w:t xml:space="preserve"> Beth Noveck documents how “crowdlaw” initiatives (where citizens participate directly in policy formation) produce more responsive and effective governance than traditional top-down regulation.</w:t>
      </w:r>
      <w:r w:rsidRPr="00A04D44">
        <w:rPr>
          <w:rStyle w:val="FootnoteReference"/>
          <w:rFonts w:ascii="Garamond" w:hAnsi="Garamond"/>
        </w:rPr>
        <w:footnoteReference w:id="29"/>
      </w:r>
      <w:r w:rsidRPr="00A04D44">
        <w:rPr>
          <w:rFonts w:ascii="Garamond" w:hAnsi="Garamond"/>
        </w:rPr>
        <w:t xml:space="preserve"> These empirical findings converge on essential conditions for prudent judgment to emerge at scale: cognitive diversity; independence of judgment; and </w:t>
      </w:r>
      <w:r w:rsidRPr="00A04D44">
        <w:rPr>
          <w:rFonts w:ascii="Garamond" w:hAnsi="Garamond"/>
        </w:rPr>
        <w:lastRenderedPageBreak/>
        <w:t>decentralization of decision-making. Regulation Crowdfunding inverts these conditions. It centralizes decision-making. It imposes uniformity. It creates information cascades. The result is conformity masquerading as prudence.</w:t>
      </w:r>
    </w:p>
    <w:p w14:paraId="41091FC4"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A likely objection deserves direct engagement. The behavioral economics literature, particularly the work of Daniel Kahneman and Amos Tversky on cognitive biases, and of Richard Thaler and Cass Sunstein on “libertarian paternalism,” documents systematic errors in human decision-making: overconfidence, anchoring, availability bias, and susceptibility to framing effects.</w:t>
      </w:r>
      <w:r w:rsidRPr="00A04D44">
        <w:rPr>
          <w:rStyle w:val="FootnoteReference"/>
          <w:rFonts w:ascii="Garamond" w:hAnsi="Garamond"/>
        </w:rPr>
        <w:footnoteReference w:id="30"/>
      </w:r>
      <w:r w:rsidRPr="00A04D44">
        <w:rPr>
          <w:rFonts w:ascii="Garamond" w:hAnsi="Garamond"/>
        </w:rPr>
        <w:t xml:space="preserve"> These findings are often invoked to justify precisely the kind of protective regulation that Regulation Crowdfunding embodies. If investors are predictably irrational, why not prevent them from investing unwisely? The answer is that the behavioral critique, while empirically well-grounded, rests on an incomplete developmental picture. Cognitive biases are real, but they are not fixed. The Aristotelian insight is that prudence develops precisely through the iterative process of making choices, confronting consequences, and refining judgment—the learning cycle that pa</w:t>
      </w:r>
      <w:r w:rsidRPr="00A04D44">
        <w:rPr>
          <w:rFonts w:ascii="Garamond" w:hAnsi="Garamond"/>
        </w:rPr>
        <w:lastRenderedPageBreak/>
        <w:t>ternalistic regulation interrupts. As Thaler and Sunstein themselves acknowledge, nudges work best when they preserve choice architecture rather than eliminate choice.</w:t>
      </w:r>
      <w:r w:rsidRPr="00A04D44">
        <w:rPr>
          <w:rStyle w:val="FootnoteReference"/>
          <w:rFonts w:ascii="Garamond" w:hAnsi="Garamond"/>
        </w:rPr>
        <w:footnoteReference w:id="31"/>
      </w:r>
      <w:r w:rsidRPr="00A04D44">
        <w:rPr>
          <w:rFonts w:ascii="Garamond" w:hAnsi="Garamond"/>
        </w:rPr>
        <w:t xml:space="preserve"> The alternative proposed here is not to ignore behavioral findings but to design institutions that treat biases as developmental challenges to be overcome through practice rather than permanent defects to be managed through restriction. The empirical work on collective judgment reviewed above (Centola, Landemore, Noveck) suggests that properly structured groups can mitigate individual biases through cognitive diversity and feedback—but only if participants are permitted to exercise judgment in the first place.</w:t>
      </w:r>
    </w:p>
    <w:p w14:paraId="16148410"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The exercise of prudence in markets requires social structures that preserve autonomy, enable deliberation, and create feedback loops so that investors can learn from success and failure. These conditions are achievable in crowdfunding but require moving beyond anti-bad regulation toward pro-good institutional design.</w:t>
      </w:r>
    </w:p>
    <w:p w14:paraId="2C1B15D5" w14:textId="77777777" w:rsidR="00671BDD" w:rsidRPr="00100261" w:rsidRDefault="00F2117F" w:rsidP="00100261">
      <w:pPr>
        <w:pStyle w:val="Heading1"/>
      </w:pPr>
      <w:bookmarkStart w:id="10" w:name="Xad2ae7c186f7293cae6387f77e3a5b54b41a2bd"/>
      <w:bookmarkEnd w:id="7"/>
      <w:bookmarkEnd w:id="9"/>
      <w:r w:rsidRPr="00100261">
        <w:lastRenderedPageBreak/>
        <w:t>IV. From Suppressing Risk to Promoting Flourishing</w:t>
      </w:r>
    </w:p>
    <w:p w14:paraId="262152D0"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How might law scaffold </w:t>
      </w:r>
      <w:proofErr w:type="spellStart"/>
      <w:r w:rsidRPr="00A04D44">
        <w:rPr>
          <w:rFonts w:ascii="Garamond" w:hAnsi="Garamond"/>
          <w:i/>
          <w:iCs/>
        </w:rPr>
        <w:t>phronēsis</w:t>
      </w:r>
      <w:proofErr w:type="spellEnd"/>
      <w:r w:rsidRPr="00A04D44">
        <w:rPr>
          <w:rFonts w:ascii="Garamond" w:hAnsi="Garamond"/>
        </w:rPr>
        <w:t xml:space="preserve"> in crowdfunding markets? The answer is not to eliminate rules. Some protections against fraud remain essential. The answer is to reorient regulation from preventive constraints, which suppress risk by restricting activity, toward what the sociologist Wolfgang Streeck has called “beneficial constraints”: institutional frictions that do not impede activity but enable it.</w:t>
      </w:r>
      <w:r w:rsidRPr="00A04D44">
        <w:rPr>
          <w:rStyle w:val="FootnoteReference"/>
          <w:rFonts w:ascii="Garamond" w:hAnsi="Garamond"/>
        </w:rPr>
        <w:footnoteReference w:id="32"/>
      </w:r>
      <w:r w:rsidRPr="00A04D44">
        <w:rPr>
          <w:rFonts w:ascii="Garamond" w:hAnsi="Garamond"/>
        </w:rPr>
        <w:t xml:space="preserve"> A vesting schedule is a constraint, but it builds commitment. A governance structure is a constraint, but it channels conflict into productive deliberation. The question is not “constraints or no constraints?” but “constraints that prevent or constraints that enable?”</w:t>
      </w:r>
    </w:p>
    <w:p w14:paraId="6772C582"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A pro-good alternative framework might approach the problem differently. Consider investment caps. Rather than capping investment amounts, one might regulate based on fraud risk and transparency. If an entrepreneur provides detailed information, has industry experience, and submits to independent verification, why should </w:t>
      </w:r>
      <w:r w:rsidRPr="00A04D44">
        <w:rPr>
          <w:rFonts w:ascii="Garamond" w:hAnsi="Garamond"/>
        </w:rPr>
        <w:lastRenderedPageBreak/>
        <w:t xml:space="preserve">regulation prevent someone from investing more? The current cap assumes investors cannot make prudent judgments. The alternative assumes they can, given good information and a deliberative community. One might even design thresholds that relax as crowd participation </w:t>
      </w:r>
      <w:proofErr w:type="gramStart"/>
      <w:r w:rsidRPr="00A04D44">
        <w:rPr>
          <w:rFonts w:ascii="Garamond" w:hAnsi="Garamond"/>
        </w:rPr>
        <w:t>deepens:</w:t>
      </w:r>
      <w:proofErr w:type="gramEnd"/>
      <w:r w:rsidRPr="00A04D44">
        <w:rPr>
          <w:rFonts w:ascii="Garamond" w:hAnsi="Garamond"/>
        </w:rPr>
        <w:t xml:space="preserve"> once some large number of investors have committed capital and conducted informal due diligence, later investors benefit from the prudent scrutiny of earlier ones, and restrictions might appropriately be scaled back.</w:t>
      </w:r>
    </w:p>
    <w:p w14:paraId="39100529"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Similarly, on disclosure, rather than prescribing exactly what companies must disclose, one might allow companies to disclose what they believe investors need to know. This preserves diversity of communication. It enables entrepreneurs to tell their story in their voice. It creates space for the kind of narrative deliberation that leads to prudent judgment, not compliance checkbox-ticking. The detailed institutional design of such a regime is beyond the scope of this paper, but the principle is clear: disclosure rules should facilitate the exercise of prudence, not substitute for it.</w:t>
      </w:r>
    </w:p>
    <w:p w14:paraId="36A2D62E"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On intermediaries, comparative evidence from other jurisdictions illustrates feasible enablement models.</w:t>
      </w:r>
      <w:r w:rsidRPr="00A04D44">
        <w:rPr>
          <w:rStyle w:val="FootnoteReference"/>
          <w:rFonts w:ascii="Garamond" w:hAnsi="Garamond"/>
        </w:rPr>
        <w:footnoteReference w:id="33"/>
      </w:r>
      <w:r w:rsidRPr="00A04D44">
        <w:rPr>
          <w:rFonts w:ascii="Garamond" w:hAnsi="Garamond"/>
        </w:rPr>
        <w:t xml:space="preserve"> The EU’s 2020/1503 regime does not </w:t>
      </w:r>
      <w:r w:rsidRPr="00A04D44">
        <w:rPr>
          <w:rFonts w:ascii="Garamond" w:hAnsi="Garamond"/>
        </w:rPr>
        <w:lastRenderedPageBreak/>
        <w:t>impose hard per-offering caps; for non-sophisticated investors, orders above the higher of €1,000 or 5% of net worth trigger enhanced warnings, explicit consent, and a four-day reflection period. The UK’s FCA emphasizes client categorization, appropriateness tests, and strengthened risk warnings rather than fixed caps.</w:t>
      </w:r>
      <w:r w:rsidRPr="00A04D44">
        <w:rPr>
          <w:rStyle w:val="FootnoteReference"/>
          <w:rFonts w:ascii="Garamond" w:hAnsi="Garamond"/>
        </w:rPr>
        <w:footnoteReference w:id="34"/>
      </w:r>
      <w:r w:rsidRPr="00A04D44">
        <w:rPr>
          <w:rFonts w:ascii="Garamond" w:hAnsi="Garamond"/>
        </w:rPr>
        <w:t xml:space="preserve"> Both allow broader participation while maintaining investor protections oriented to learning and transparency rather than prevention of all risk. Empirical data on whether these regimes have produced measurably higher retail participation or better investor learning remain limited, and the question merits further study; but the structural difference in regulatory orientation is itself significant, demonstrating that enabling market structures do not necessitate aban</w:t>
      </w:r>
      <w:r w:rsidRPr="00A04D44">
        <w:rPr>
          <w:rFonts w:ascii="Garamond" w:hAnsi="Garamond"/>
        </w:rPr>
        <w:lastRenderedPageBreak/>
        <w:t>doning investor protection. They require redefining it as ongoing participation rather than upfront prevention.</w:t>
      </w:r>
    </w:p>
    <w:p w14:paraId="1FFF65D9"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Finally, on feedback and learning, accelerate and democratize outcome reporting. Enable investors to access timely data about how ventures are performing. Share success stories and failures. Create deliberative spaces where investors can reflect together on what they learned. This transforms a market from abstract, anonymized transactions into a living community of practice.</w:t>
      </w:r>
    </w:p>
    <w:p w14:paraId="23F30615" w14:textId="77777777" w:rsidR="00671BDD" w:rsidRPr="00100261" w:rsidRDefault="00F2117F" w:rsidP="00100261">
      <w:pPr>
        <w:pStyle w:val="Heading1"/>
      </w:pPr>
      <w:bookmarkStart w:id="11" w:name="Xb46d7c082bb3b892e5e5c470cebeb7d6ed1a3ae"/>
      <w:bookmarkEnd w:id="10"/>
      <w:r w:rsidRPr="00100261">
        <w:t>V. Markets, Morality, and the Purpose of Capital Formation</w:t>
      </w:r>
    </w:p>
    <w:p w14:paraId="3D3D1BB6"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The reframing from anti-bad to pro-good regulation is not merely technical. It reflects a view about what markets are for, what humans are capable of, and how law should support human flourishing.</w:t>
      </w:r>
    </w:p>
    <w:p w14:paraId="6C5CE4EA" w14:textId="77777777" w:rsidR="00671BDD" w:rsidRPr="00100261" w:rsidRDefault="00F2117F" w:rsidP="00100261">
      <w:pPr>
        <w:pStyle w:val="Heading2"/>
      </w:pPr>
      <w:bookmarkStart w:id="12" w:name="X6d9a5d664223a8c75b9f170fc59ca218c653d00"/>
      <w:r w:rsidRPr="00100261">
        <w:t>A. Markets as Spaces of Moral Development</w:t>
      </w:r>
    </w:p>
    <w:p w14:paraId="42C6D001"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Markets are often understood in economic terms as mechanisms for allocating resources efficiently. But markets are also spaces where people make choices about what to support, what to build, and what to value. They are places where people develop prudence about risk, opportunity, and value. They are communities where people learn from </w:t>
      </w:r>
      <w:r w:rsidRPr="00A04D44">
        <w:rPr>
          <w:rFonts w:ascii="Garamond" w:hAnsi="Garamond"/>
        </w:rPr>
        <w:lastRenderedPageBreak/>
        <w:t>each other’s experiences. When we allow people to invest in ventures they believe in (even ventures that might fail), we are treating them as moral agents capable of reasoned choice. This is fundamentally different from a paternalistic approach that says: we will prevent you from making mistakes because we do not trust your prudence. The paternalistic approach denies people’s capacity for moral agency and the development of prudence.</w:t>
      </w:r>
    </w:p>
    <w:p w14:paraId="60269EE3" w14:textId="77777777" w:rsidR="00671BDD" w:rsidRPr="00100261" w:rsidRDefault="00F2117F" w:rsidP="00100261">
      <w:pPr>
        <w:pStyle w:val="Heading2"/>
      </w:pPr>
      <w:bookmarkStart w:id="13" w:name="Xbdb3469cded1f3bb941b0b0c1fa42f77c972719"/>
      <w:bookmarkEnd w:id="12"/>
      <w:r w:rsidRPr="00100261">
        <w:t>B. Why Uncertainty Demands Humility About Prevention</w:t>
      </w:r>
    </w:p>
    <w:p w14:paraId="44AA5337"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If markets operated under conditions of calculable risk, prevention might work. Regulators could calculate the true expected values of all investments, and the exercise of prudence would become largely mechanical: take projects in order of their profitability indices until you run out of capital. Regulators would presumably let you do nothing but this; anything else would be value-destroying. But that is not the real world. In entrepreneurial finance, it is Knightian uncertainty all the way down.</w:t>
      </w:r>
      <w:r w:rsidRPr="00A04D44">
        <w:rPr>
          <w:rStyle w:val="FootnoteReference"/>
          <w:rFonts w:ascii="Garamond" w:hAnsi="Garamond"/>
        </w:rPr>
        <w:footnoteReference w:id="35"/>
      </w:r>
      <w:r w:rsidRPr="00A04D44">
        <w:rPr>
          <w:rFonts w:ascii="Garamond" w:hAnsi="Garamond"/>
        </w:rPr>
        <w:t xml:space="preserve"> Regulators cannot know which ventures will succeed. No disclosure mandate can fully specify what future investors should know. This uncertainty demands humility. It suggests that regulators </w:t>
      </w:r>
      <w:r w:rsidRPr="00A04D44">
        <w:rPr>
          <w:rFonts w:ascii="Garamond" w:hAnsi="Garamond"/>
        </w:rPr>
        <w:lastRenderedPageBreak/>
        <w:t>should ask: How can we create conditions where people can develop and exercise prudence? How can we scaffold the exercise of prudent judgment?</w:t>
      </w:r>
    </w:p>
    <w:p w14:paraId="55473C45"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This shift from prevention to enablement requires acknowledging that some investors will lose money. Some ventures will fail. Some people will make unwise choices. But these losses are not necessarily bad. They are the conditions under which prudence develops: the difference between those who have weathered consequence and adjusted their judgment versus those merely protected from choice.</w:t>
      </w:r>
    </w:p>
    <w:p w14:paraId="28E0145C" w14:textId="77777777" w:rsidR="00671BDD" w:rsidRPr="00100261" w:rsidRDefault="00F2117F" w:rsidP="00100261">
      <w:pPr>
        <w:pStyle w:val="Heading2"/>
      </w:pPr>
      <w:bookmarkStart w:id="14" w:name="X8a16345dc9c269f02fb178718ca40a639b25126"/>
      <w:bookmarkEnd w:id="13"/>
      <w:r w:rsidRPr="00100261">
        <w:t>C. Jewish Wisdom on Law, Learning, and Flourishing</w:t>
      </w:r>
    </w:p>
    <w:p w14:paraId="3779D97A"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These insights have deep roots in Jewish legal and philosophical traditions. Maimonides grounded Jewish law (</w:t>
      </w:r>
      <w:r w:rsidRPr="00A04D44">
        <w:rPr>
          <w:rFonts w:ascii="Garamond" w:hAnsi="Garamond"/>
          <w:i/>
          <w:iCs/>
        </w:rPr>
        <w:t>halakha</w:t>
      </w:r>
      <w:r w:rsidRPr="00A04D44">
        <w:rPr>
          <w:rFonts w:ascii="Garamond" w:hAnsi="Garamond"/>
        </w:rPr>
        <w:t>) not in arbitrary commandment but in human flourishing and development.</w:t>
      </w:r>
      <w:r w:rsidRPr="00A04D44">
        <w:rPr>
          <w:rStyle w:val="FootnoteReference"/>
          <w:rFonts w:ascii="Garamond" w:hAnsi="Garamond"/>
        </w:rPr>
        <w:footnoteReference w:id="36"/>
      </w:r>
      <w:r w:rsidRPr="00A04D44">
        <w:rPr>
          <w:rFonts w:ascii="Garamond" w:hAnsi="Garamond"/>
        </w:rPr>
        <w:t xml:space="preserve"> According to Maimonides, all of Jewish law aims at two things: </w:t>
      </w:r>
      <w:r w:rsidRPr="00A04D44">
        <w:rPr>
          <w:rFonts w:ascii="Garamond" w:hAnsi="Garamond"/>
          <w:i/>
          <w:iCs/>
        </w:rPr>
        <w:t>tikkun ha-guf</w:t>
      </w:r>
      <w:r w:rsidRPr="00A04D44">
        <w:rPr>
          <w:rFonts w:ascii="Garamond" w:hAnsi="Garamond"/>
        </w:rPr>
        <w:t xml:space="preserve">, the perfection of the body (establishing just political communities, preventing violence and disorder), and </w:t>
      </w:r>
      <w:r w:rsidRPr="00A04D44">
        <w:rPr>
          <w:rFonts w:ascii="Garamond" w:hAnsi="Garamond"/>
          <w:i/>
          <w:iCs/>
        </w:rPr>
        <w:t>tikkun ha-nefesh</w:t>
      </w:r>
      <w:r w:rsidRPr="00A04D44">
        <w:rPr>
          <w:rFonts w:ascii="Garamond" w:hAnsi="Garamond"/>
        </w:rPr>
        <w:t xml:space="preserve">, the perfection of the soul (cultivating knowledge, virtue, and the exercise of prudence). Maimonides understood that </w:t>
      </w:r>
      <w:r w:rsidRPr="00A04D44">
        <w:rPr>
          <w:rFonts w:ascii="Garamond" w:hAnsi="Garamond"/>
          <w:i/>
          <w:iCs/>
        </w:rPr>
        <w:t>tikkun ha-guf</w:t>
      </w:r>
      <w:r w:rsidRPr="00A04D44">
        <w:rPr>
          <w:rFonts w:ascii="Garamond" w:hAnsi="Garamond"/>
        </w:rPr>
        <w:t xml:space="preserve"> is “prior in nature and time” </w:t>
      </w:r>
      <w:r w:rsidRPr="00A04D44">
        <w:rPr>
          <w:rFonts w:ascii="Garamond" w:hAnsi="Garamond"/>
        </w:rPr>
        <w:lastRenderedPageBreak/>
        <w:t xml:space="preserve">to </w:t>
      </w:r>
      <w:r w:rsidRPr="00A04D44">
        <w:rPr>
          <w:rFonts w:ascii="Garamond" w:hAnsi="Garamond"/>
          <w:i/>
          <w:iCs/>
        </w:rPr>
        <w:t>tikkun ha-nefesh</w:t>
      </w:r>
      <w:r w:rsidRPr="00A04D44">
        <w:rPr>
          <w:rFonts w:ascii="Garamond" w:hAnsi="Garamond"/>
        </w:rPr>
        <w:t>: one cannot pursue wisdom while fleeing chaos; one cannot develop prudence while starving.</w:t>
      </w:r>
      <w:r w:rsidRPr="00A04D44">
        <w:rPr>
          <w:rStyle w:val="FootnoteReference"/>
          <w:rFonts w:ascii="Garamond" w:hAnsi="Garamond"/>
        </w:rPr>
        <w:footnoteReference w:id="37"/>
      </w:r>
      <w:r w:rsidRPr="00A04D44">
        <w:rPr>
          <w:rFonts w:ascii="Garamond" w:hAnsi="Garamond"/>
        </w:rPr>
        <w:t xml:space="preserve"> But perfecting the body is not the end; it is the means. A legal system that perfects only the body, that achieves only political order and material security, has accomplished only the prerequisite for law’s true purpose.</w:t>
      </w:r>
    </w:p>
    <w:p w14:paraId="5898DECE"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This framework maps directly onto the regulatory problem. Anti-bad regulation is </w:t>
      </w:r>
      <w:r w:rsidRPr="00A04D44">
        <w:rPr>
          <w:rFonts w:ascii="Garamond" w:hAnsi="Garamond"/>
          <w:i/>
          <w:iCs/>
        </w:rPr>
        <w:t>tikkun ha-guf</w:t>
      </w:r>
      <w:r w:rsidRPr="00A04D44">
        <w:rPr>
          <w:rFonts w:ascii="Garamond" w:hAnsi="Garamond"/>
        </w:rPr>
        <w:t xml:space="preserve">: it establishes the political and material conditions for market activity by preventing fraud, enforcing contracts, and maintaining order. That work is essential. But a regulatory regime that accomplishes only </w:t>
      </w:r>
      <w:r w:rsidRPr="00A04D44">
        <w:rPr>
          <w:rFonts w:ascii="Garamond" w:hAnsi="Garamond"/>
          <w:i/>
          <w:iCs/>
        </w:rPr>
        <w:t>tikkun ha-guf</w:t>
      </w:r>
      <w:r w:rsidRPr="00A04D44">
        <w:rPr>
          <w:rFonts w:ascii="Garamond" w:hAnsi="Garamond"/>
        </w:rPr>
        <w:t xml:space="preserve">, that prevents harm without creating conditions for the exercise of prudence, has achieved only the foundation. Pro-good regulation aims at </w:t>
      </w:r>
      <w:r w:rsidRPr="00A04D44">
        <w:rPr>
          <w:rFonts w:ascii="Garamond" w:hAnsi="Garamond"/>
          <w:i/>
          <w:iCs/>
        </w:rPr>
        <w:t>tikkun ha-nefesh</w:t>
      </w:r>
      <w:r w:rsidRPr="00A04D44">
        <w:rPr>
          <w:rFonts w:ascii="Garamond" w:hAnsi="Garamond"/>
        </w:rPr>
        <w:t>: creating the conditions under which market participants can develop prudence, exercise judgment, and pursue excellence.</w:t>
      </w:r>
    </w:p>
    <w:p w14:paraId="7BA87B98"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Maimonides also articulated what the highest form of justice (</w:t>
      </w:r>
      <w:r w:rsidRPr="00A04D44">
        <w:rPr>
          <w:rFonts w:ascii="Garamond" w:hAnsi="Garamond"/>
          <w:i/>
          <w:iCs/>
        </w:rPr>
        <w:t>tzedakah</w:t>
      </w:r>
      <w:r w:rsidRPr="00A04D44">
        <w:rPr>
          <w:rFonts w:ascii="Garamond" w:hAnsi="Garamond"/>
        </w:rPr>
        <w:t xml:space="preserve">) looks like in practice. In his famous ladder of eight degrees of </w:t>
      </w:r>
      <w:r w:rsidRPr="00A04D44">
        <w:rPr>
          <w:rFonts w:ascii="Garamond" w:hAnsi="Garamond"/>
          <w:i/>
          <w:iCs/>
        </w:rPr>
        <w:t>tzedakah</w:t>
      </w:r>
      <w:r w:rsidRPr="00A04D44">
        <w:rPr>
          <w:rFonts w:ascii="Garamond" w:hAnsi="Garamond"/>
        </w:rPr>
        <w:t xml:space="preserve">, the </w:t>
      </w:r>
      <w:r w:rsidRPr="00A04D44">
        <w:rPr>
          <w:rFonts w:ascii="Garamond" w:hAnsi="Garamond"/>
        </w:rPr>
        <w:lastRenderedPageBreak/>
        <w:t>highest rung is not anonymous generosity but enablement: “To support a fellow by endowing him with a gift or loan, or entering into a partnership with him, or finding employment for him, in order to strengthen his hand so that he will not need to be dependent upon others.”</w:t>
      </w:r>
      <w:r w:rsidRPr="00A04D44">
        <w:rPr>
          <w:rStyle w:val="FootnoteReference"/>
          <w:rFonts w:ascii="Garamond" w:hAnsi="Garamond"/>
        </w:rPr>
        <w:footnoteReference w:id="38"/>
      </w:r>
      <w:r w:rsidRPr="00A04D44">
        <w:rPr>
          <w:rFonts w:ascii="Garamond" w:hAnsi="Garamond"/>
        </w:rPr>
        <w:t xml:space="preserve"> The highest justice does not give people what they need; it enables people to provide for themselves. A partnership. A loan. A job. The creation of self-sufficiency. Regulation Crowdfunding was designed to do precisely this: to enable ordinary people to participate in the capital formation process as investors and entrepreneurs. But its implementation optimized for the lower rungs of the ladder (preventing loss, reducing risk) rather than the highest rung (enabling agency and self-sufficiency).</w:t>
      </w:r>
    </w:p>
    <w:p w14:paraId="099A729A"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A necessary clarification: Maimonides was discussing the purposes of divine positive law given at Sinai. It does not follow automatically that human positive law should have the same ambition, because the power of the divine legislator and the human legislator are not the same.</w:t>
      </w:r>
      <w:r w:rsidRPr="00A04D44">
        <w:rPr>
          <w:rStyle w:val="FootnoteReference"/>
          <w:rFonts w:ascii="Garamond" w:hAnsi="Garamond"/>
        </w:rPr>
        <w:footnoteReference w:id="39"/>
      </w:r>
      <w:r w:rsidRPr="00A04D44">
        <w:rPr>
          <w:rFonts w:ascii="Garamond" w:hAnsi="Garamond"/>
        </w:rPr>
        <w:t xml:space="preserve"> The </w:t>
      </w:r>
      <w:r w:rsidRPr="00A04D44">
        <w:rPr>
          <w:rFonts w:ascii="Garamond" w:hAnsi="Garamond"/>
          <w:i/>
          <w:iCs/>
        </w:rPr>
        <w:t>halakha</w:t>
      </w:r>
      <w:r w:rsidRPr="00A04D44">
        <w:rPr>
          <w:rFonts w:ascii="Garamond" w:hAnsi="Garamond"/>
        </w:rPr>
        <w:t xml:space="preserve"> </w:t>
      </w:r>
      <w:r w:rsidRPr="00A04D44">
        <w:rPr>
          <w:rFonts w:ascii="Garamond" w:hAnsi="Garamond"/>
        </w:rPr>
        <w:lastRenderedPageBreak/>
        <w:t xml:space="preserve">can aim at making human beings virtuous because its Author possesses perfect knowledge and infinite authority. Human legislators possess neither. But the Maimonidean framework remains illuminating for human law, not as a direct legislative program, but as a diagnostic lens. If the purpose of law </w:t>
      </w:r>
      <w:r w:rsidRPr="00A04D44">
        <w:rPr>
          <w:rFonts w:ascii="Garamond" w:hAnsi="Garamond"/>
          <w:i/>
          <w:iCs/>
        </w:rPr>
        <w:t>at its highest</w:t>
      </w:r>
      <w:r w:rsidRPr="00A04D44">
        <w:rPr>
          <w:rFonts w:ascii="Garamond" w:hAnsi="Garamond"/>
        </w:rPr>
        <w:t xml:space="preserve"> is to enable flourishing and the exercise of prudence, then a legal system that has entirely abandoned that aspiration, that defines itself exclusively by what it prevents, can be diagnosed as incomplete. The </w:t>
      </w:r>
      <w:r w:rsidRPr="00A04D44">
        <w:rPr>
          <w:rFonts w:ascii="Garamond" w:hAnsi="Garamond"/>
          <w:i/>
          <w:iCs/>
        </w:rPr>
        <w:t>tzedakah</w:t>
      </w:r>
      <w:r w:rsidRPr="00A04D44">
        <w:rPr>
          <w:rFonts w:ascii="Garamond" w:hAnsi="Garamond"/>
        </w:rPr>
        <w:t xml:space="preserve"> ladder in particular is not divine positive law but practical ethics: a framework for how human beings should structure their institutions to serve justice. It provides the normative vision against which actual regulatory design can be measured.</w:t>
      </w:r>
    </w:p>
    <w:p w14:paraId="052B4581"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Jewish law traditionally did not attempt to prevent all transgression; it sought to channel human energy toward growth and virtue development within moral bounds. The laws of repentance (</w:t>
      </w:r>
      <w:r w:rsidRPr="00A04D44">
        <w:rPr>
          <w:rFonts w:ascii="Garamond" w:hAnsi="Garamond"/>
          <w:i/>
          <w:iCs/>
        </w:rPr>
        <w:t>teshuvah</w:t>
      </w:r>
      <w:r w:rsidRPr="00A04D44">
        <w:rPr>
          <w:rFonts w:ascii="Garamond" w:hAnsi="Garamond"/>
        </w:rPr>
        <w:t>) acknowledge that humans grow through failure and reflection. Perfection is impossible; growth is the goal.</w:t>
      </w:r>
      <w:r w:rsidRPr="00A04D44">
        <w:rPr>
          <w:rStyle w:val="FootnoteReference"/>
          <w:rFonts w:ascii="Garamond" w:hAnsi="Garamond"/>
        </w:rPr>
        <w:footnoteReference w:id="40"/>
      </w:r>
    </w:p>
    <w:p w14:paraId="68162B3F"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lastRenderedPageBreak/>
        <w:t>This legal philosophy illuminates a deeper principle about the architecture of prudence. Fuller’s “internal morality of law” and Finnis’s account of “basic goods” suggest that law functions best when it structures participation so that moral growth occurs within bounded risk, not by attempting to eliminate risk altogether.</w:t>
      </w:r>
      <w:r w:rsidRPr="00A04D44">
        <w:rPr>
          <w:rStyle w:val="FootnoteReference"/>
          <w:rFonts w:ascii="Garamond" w:hAnsi="Garamond"/>
        </w:rPr>
        <w:footnoteReference w:id="41"/>
      </w:r>
      <w:r w:rsidRPr="00A04D44">
        <w:rPr>
          <w:rFonts w:ascii="Garamond" w:hAnsi="Garamond"/>
        </w:rPr>
        <w:t xml:space="preserve"> When law tries to prevent all error, it crowds out the conditions for moral development.</w:t>
      </w:r>
    </w:p>
    <w:p w14:paraId="3585F15F"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The Jewish principle of </w:t>
      </w:r>
      <w:r w:rsidRPr="00A04D44">
        <w:rPr>
          <w:rFonts w:ascii="Garamond" w:hAnsi="Garamond"/>
          <w:i/>
          <w:iCs/>
        </w:rPr>
        <w:t>tikkun olam</w:t>
      </w:r>
      <w:r w:rsidRPr="00A04D44">
        <w:rPr>
          <w:rFonts w:ascii="Garamond" w:hAnsi="Garamond"/>
        </w:rPr>
        <w:t>, repairing the world, also speaks to the proper scope of individual effort.</w:t>
      </w:r>
      <w:r w:rsidRPr="00A04D44">
        <w:rPr>
          <w:rStyle w:val="FootnoteReference"/>
          <w:rFonts w:ascii="Garamond" w:hAnsi="Garamond"/>
        </w:rPr>
        <w:footnoteReference w:id="42"/>
      </w:r>
      <w:r w:rsidRPr="00A04D44">
        <w:rPr>
          <w:rFonts w:ascii="Garamond" w:hAnsi="Garamond"/>
        </w:rPr>
        <w:t xml:space="preserve"> No one person is responsible for fixing everything. Each person has a role to play and trusts others to do theirs. This principle applies equally to regulatory design. Law should enable distributed agency rather than centralizing all responsibility in state actors. Regulation Crowdfunding need not be the final word on how crowds invest or learn. It is one arena among many where people develop prudence. Other institutions (families, </w:t>
      </w:r>
      <w:r w:rsidRPr="00A04D44">
        <w:rPr>
          <w:rFonts w:ascii="Garamond" w:hAnsi="Garamond"/>
        </w:rPr>
        <w:lastRenderedPageBreak/>
        <w:t>communities, educational systems, religious organizations) also shape how people think about risk and value. Law’s proper role is to enable these diverse institutions to flourish, not to monopolize moral development.</w:t>
      </w:r>
    </w:p>
    <w:p w14:paraId="6E89890C" w14:textId="77777777" w:rsidR="00671BDD" w:rsidRPr="00100261" w:rsidRDefault="00F2117F" w:rsidP="00100261">
      <w:pPr>
        <w:pStyle w:val="Heading2"/>
      </w:pPr>
      <w:bookmarkStart w:id="15" w:name="d.-toward-a-morally-realistic-framework"/>
      <w:bookmarkEnd w:id="14"/>
      <w:r w:rsidRPr="00100261">
        <w:t>D. Toward a Morally Realistic Framework</w:t>
      </w:r>
    </w:p>
    <w:p w14:paraId="2D5B92C3"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A pro-good regulatory framework would acknowledge that uncertainty is unavoidable; that loss can be integrated into meaning; that agency requires risk; that community and deliberation matter; and that diversity of institutions strengthens society. A legal framework built on these principles would preserve transparency and fraud prevention while removing paternalistic restrictions that prevent people from participating as agents. It would create space for communities to form, for deliberation to happen, for feedback to flow, and for prudence to emerge.</w:t>
      </w:r>
    </w:p>
    <w:p w14:paraId="2D1A10FE" w14:textId="77777777" w:rsidR="00671BDD" w:rsidRPr="00100261" w:rsidRDefault="00F2117F" w:rsidP="00100261">
      <w:pPr>
        <w:pStyle w:val="Heading1"/>
      </w:pPr>
      <w:bookmarkStart w:id="16" w:name="vi.-conclusion"/>
      <w:bookmarkEnd w:id="11"/>
      <w:bookmarkEnd w:id="15"/>
      <w:r w:rsidRPr="00100261">
        <w:t>VI. Conclusion</w:t>
      </w:r>
    </w:p>
    <w:p w14:paraId="5C0AA50E" w14:textId="77777777" w:rsidR="00671BDD" w:rsidRPr="00A04D44" w:rsidRDefault="00F2117F" w:rsidP="00100261">
      <w:pPr>
        <w:pStyle w:val="FirstParagraph"/>
        <w:spacing w:before="0" w:after="0" w:line="276" w:lineRule="auto"/>
        <w:jc w:val="both"/>
        <w:rPr>
          <w:rFonts w:ascii="Garamond" w:hAnsi="Garamond"/>
        </w:rPr>
      </w:pPr>
      <w:r w:rsidRPr="00A04D44">
        <w:rPr>
          <w:rFonts w:ascii="Garamond" w:hAnsi="Garamond"/>
        </w:rPr>
        <w:t xml:space="preserve">This paper has argued for a reorientation in how law approaches the regulation of entrepreneurial finance: from anti-bad (preventing harm) to pro-good (promoting flourishing). Regulation Crowdfunding illustrates how prevention can paradoxically prevent the very goods (prudent judgment, market learning, entrepreneurial flourishing) that law </w:t>
      </w:r>
      <w:r w:rsidRPr="00A04D44">
        <w:rPr>
          <w:rFonts w:ascii="Garamond" w:hAnsi="Garamond"/>
        </w:rPr>
        <w:lastRenderedPageBreak/>
        <w:t>might enable. The reorientation is not a counsel of recklessness. Fraud should remain prohibited. Deception should remain illegal. But the regulatory apparatus that would reduce fraud to zero would impose costs, in foreclosed ventures, undeveloped markets, and uncultivated prudence, exceeding the fraud it prevents.</w:t>
      </w:r>
    </w:p>
    <w:p w14:paraId="1F6B008D"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This argument is not a general claim that all law should aim at promoting virtue. As Aquinas recognized, human law is generally better at suppressing vice than cultivating virtue, and in many regulatory domains, prevention is the appropriate and sufficient goal. The argument is narrower and more precise: in domains characterized by Knightian uncertainty, where genuinely new ventures confront genuinely unknown futures, prevention-focused regulation is uniquely destructive because it forecloses the very conditions under which prudence could develop. Entrepreneurial finance is such a domain.</w:t>
      </w:r>
    </w:p>
    <w:p w14:paraId="6700DB5D"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An alternative anthropology, grounded in classical liberalism, virtue ethics, and theological conviction, suggests that humans are agents made for purposes beyond themselves. They possess a capacity for prudence and deserve the dignity of making their own choices. Law can enable this dignity. It can create institutions that scaffold the exercise of prudence, distinguishing between beneficial constraints that channel creative energy and preventive constraints that suppress it. Maimonides under</w:t>
      </w:r>
      <w:r w:rsidRPr="00A04D44">
        <w:rPr>
          <w:rFonts w:ascii="Garamond" w:hAnsi="Garamond"/>
        </w:rPr>
        <w:lastRenderedPageBreak/>
        <w:t xml:space="preserve">stood that law’s highest aspiration is not merely </w:t>
      </w:r>
      <w:r w:rsidRPr="00A04D44">
        <w:rPr>
          <w:rFonts w:ascii="Garamond" w:hAnsi="Garamond"/>
          <w:i/>
          <w:iCs/>
        </w:rPr>
        <w:t>tikkun ha-guf</w:t>
      </w:r>
      <w:r w:rsidRPr="00A04D44">
        <w:rPr>
          <w:rFonts w:ascii="Garamond" w:hAnsi="Garamond"/>
        </w:rPr>
        <w:t xml:space="preserve">, the perfection of political order, but </w:t>
      </w:r>
      <w:r w:rsidRPr="00A04D44">
        <w:rPr>
          <w:rFonts w:ascii="Garamond" w:hAnsi="Garamond"/>
          <w:i/>
          <w:iCs/>
        </w:rPr>
        <w:t>tikkun ha-nefesh</w:t>
      </w:r>
      <w:r w:rsidRPr="00A04D44">
        <w:rPr>
          <w:rFonts w:ascii="Garamond" w:hAnsi="Garamond"/>
        </w:rPr>
        <w:t>, the cultivation of knowledge, virtue, and prudence. A regulatory regime that has achieved the former while abandoning the latter has accomplished only the prerequisite for law’s true purpose.</w:t>
      </w:r>
    </w:p>
    <w:p w14:paraId="26EC7D31"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The shift from anti-bad to pro-good regulation requires more than technical reform. It requires regulators willing to tolerate uncertainty and market evolution rather than optimizing for the absence of visible harm. It requires realistic faith that humans, when given appropriate conditions and scaffolding, can develop prudence. This faith is empirical as well as moral: visible in families who teach by allowing challenge; in communities that learn through dialogue and disagreement; in markets that have enabled innovation when conditions permit; and in democracies that have flourished when people are trusted with genuine agency.</w:t>
      </w:r>
    </w:p>
    <w:p w14:paraId="598B84AF" w14:textId="77777777" w:rsidR="00671BDD" w:rsidRPr="00A04D44" w:rsidRDefault="00F2117F" w:rsidP="00100261">
      <w:pPr>
        <w:pStyle w:val="BodyText"/>
        <w:spacing w:before="0" w:after="0" w:line="276" w:lineRule="auto"/>
        <w:jc w:val="both"/>
        <w:rPr>
          <w:rFonts w:ascii="Garamond" w:hAnsi="Garamond"/>
        </w:rPr>
      </w:pPr>
      <w:r w:rsidRPr="00A04D44">
        <w:rPr>
          <w:rFonts w:ascii="Garamond" w:hAnsi="Garamond"/>
        </w:rPr>
        <w:t xml:space="preserve">Law at its best creates conditions for humans to flourish: to develop prudence, to exercise agency, to participate in creation. Regulation Crowdfunding could be such a legal framework. It could create space for participants to develop prudent judgment about which ventures deserve support. It could treat investors as agents, not wards. It could enable markets to do what they do well: aggregate dispersed knowledge, enable coordination, and nurture prudence. The choice is between two visions </w:t>
      </w:r>
      <w:r w:rsidRPr="00A04D44">
        <w:rPr>
          <w:rFonts w:ascii="Garamond" w:hAnsi="Garamond"/>
        </w:rPr>
        <w:lastRenderedPageBreak/>
        <w:t>of human capacity and dignity. One says: humans need protection from themselves; law’s role is to prevent harm. The other says: humans need scaffolding for prudence; law’s role is to enable flourishing. This paper argues for the latter.</w:t>
      </w:r>
      <w:bookmarkEnd w:id="16"/>
    </w:p>
    <w:sectPr w:rsidR="00671BDD" w:rsidRPr="00A04D44" w:rsidSect="000637B0">
      <w:headerReference w:type="even" r:id="rId7"/>
      <w:headerReference w:type="default" r:id="rId8"/>
      <w:pgSz w:w="7920" w:h="12240"/>
      <w:pgMar w:top="1440" w:right="1800" w:bottom="1440" w:left="1296"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97EB3" w14:textId="77777777" w:rsidR="00240C26" w:rsidRDefault="00240C26" w:rsidP="00A04D44">
      <w:r>
        <w:separator/>
      </w:r>
    </w:p>
  </w:endnote>
  <w:endnote w:type="continuationSeparator" w:id="0">
    <w:p w14:paraId="70D87702" w14:textId="77777777" w:rsidR="00240C26" w:rsidRDefault="00240C26" w:rsidP="00A04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6FF" w:usb1="4000FCFF" w:usb2="00000009"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5A41" w14:textId="77777777" w:rsidR="00240C26" w:rsidRDefault="00240C26" w:rsidP="00A04D44">
      <w:r>
        <w:separator/>
      </w:r>
    </w:p>
  </w:footnote>
  <w:footnote w:type="continuationSeparator" w:id="0">
    <w:p w14:paraId="04194093" w14:textId="77777777" w:rsidR="00240C26" w:rsidRDefault="00240C26" w:rsidP="00A04D44">
      <w:r>
        <w:continuationSeparator/>
      </w:r>
    </w:p>
  </w:footnote>
  <w:footnote w:id="1">
    <w:p w14:paraId="7E447A41"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Professor of Law, University of New Hampshire Franklin Pierce School of Law; Director, Program on Organizations, Business and Markets at NYU Law’s Classical Liberal Institute; JD, University of Chicago; BA, University of Florida. The author thanks Miguel Alzola, Colleen Baker, Claudi Brink, Megan Carpenter, Samuel Carton, Eric C. Chaffee, Andrew Christie, Willem DeVries, Mihailis Diamantis, Nora Draper, Richard Epstein, Sean Griffith, John Hasnas, Kevin Healey, Lynne Kiesling, Jesus La Paz Sosa, Yoon-Ho Alex Lee, Anyin Li, John D. Mayer, Paul McNamara, Rebecca Norris, Paul Radich, Wheeler Ruml, Dante Scala, Nicholas Smith, R. Scott Smith, Jason Stansbury, Maximilian Torres, Timm Triplett, John Tsavalas, and Anna Wainwright for substantial feedback and comments. Any errors are my own.</w:t>
      </w:r>
    </w:p>
  </w:footnote>
  <w:footnote w:id="2">
    <w:p w14:paraId="241300E8"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Thomas Aquinas, </w:t>
      </w:r>
      <w:r w:rsidRPr="00100261">
        <w:rPr>
          <w:i/>
          <w:iCs/>
          <w:sz w:val="20"/>
        </w:rPr>
        <w:t>Summa Theologica</w:t>
      </w:r>
      <w:r w:rsidRPr="00100261">
        <w:rPr>
          <w:sz w:val="20"/>
        </w:rPr>
        <w:t xml:space="preserve"> IaIIae, Q. 96, arts. 2-3. Aquinas argues in article 2 that human law does not suppress all vice and in article 3 that it does not command all virtue. The reasoning in the two articles is not symmetric: law’s coercive instruments are better suited to deterrence than to cultivation. </w:t>
      </w:r>
      <w:r w:rsidRPr="00100261">
        <w:rPr>
          <w:i/>
          <w:iCs/>
          <w:sz w:val="20"/>
        </w:rPr>
        <w:t>Cf.</w:t>
      </w:r>
      <w:r w:rsidRPr="00100261">
        <w:rPr>
          <w:sz w:val="20"/>
        </w:rPr>
        <w:t xml:space="preserve"> the integral parts of prudence enumerated in </w:t>
      </w:r>
      <w:r w:rsidRPr="00100261">
        <w:rPr>
          <w:i/>
          <w:iCs/>
          <w:sz w:val="20"/>
        </w:rPr>
        <w:t>id.</w:t>
      </w:r>
      <w:r w:rsidRPr="00100261">
        <w:rPr>
          <w:sz w:val="20"/>
        </w:rPr>
        <w:t xml:space="preserve"> Q. 48, art. 1 (memory, understanding, docility, shrewdness, reasoning, circumspection, foresight, and caution), which identify the capacities that law can cultivate only indirectly by structuring the conditions for their exercise.</w:t>
      </w:r>
    </w:p>
  </w:footnote>
  <w:footnote w:id="3">
    <w:p w14:paraId="08169056"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Frank H. Knight, </w:t>
      </w:r>
      <w:r w:rsidRPr="00100261">
        <w:rPr>
          <w:i/>
          <w:iCs/>
          <w:sz w:val="20"/>
        </w:rPr>
        <w:t>Risk, Uncertainty, and Profit</w:t>
      </w:r>
      <w:r w:rsidRPr="00100261">
        <w:rPr>
          <w:sz w:val="20"/>
        </w:rPr>
        <w:t xml:space="preserve"> (New York: Hart, Schaffner and Marx, 1921). Indeed, true risk exists only in the abstractions of scholars. No roulette wheel is so perfectly balanced each number comes up with </w:t>
      </w:r>
      <w:proofErr w:type="gramStart"/>
      <w:r w:rsidRPr="00100261">
        <w:rPr>
          <w:sz w:val="20"/>
        </w:rPr>
        <w:t>exactly the same</w:t>
      </w:r>
      <w:proofErr w:type="gramEnd"/>
      <w:r w:rsidRPr="00100261">
        <w:rPr>
          <w:sz w:val="20"/>
        </w:rPr>
        <w:t xml:space="preserve"> probability. The real question is how severe, in any </w:t>
      </w:r>
      <w:proofErr w:type="gramStart"/>
      <w:r w:rsidRPr="00100261">
        <w:rPr>
          <w:sz w:val="20"/>
        </w:rPr>
        <w:t>particular context</w:t>
      </w:r>
      <w:proofErr w:type="gramEnd"/>
      <w:r w:rsidRPr="00100261">
        <w:rPr>
          <w:sz w:val="20"/>
        </w:rPr>
        <w:t>, the problems of Knightian uncertainty are.</w:t>
      </w:r>
    </w:p>
  </w:footnote>
  <w:footnote w:id="4">
    <w:p w14:paraId="64ABF4BA"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Joseph A. Schumpeter, Capitalism, Socialism and Democracy ch. VII (1942); Joseph A. Schumpeter, The Theory of Economic Development: An Inquiry into Profits, Capital, Credit, Interest, and the Business Cycle 66 (Redvers Opie trans., 1934). Cf. Israel M. Kirzner, Competition and Entrepreneurship 30-87 (1973) (defining entrepreneurship as alertness to unexploited price discrepancies). The Kirznerian entrepreneur rearranges existing pieces within an established equilibrium; the Schumpeterian entrepreneur shatters the equilibrium to introduce something genuinely new. See also Seth C. Oranburg, Architects of the Void: The Entrepreneurial Lawyer as Sub-Creator (UNH Franklin Pierce Sch. of Law Working Paper, 2026) (developing this distinction in the context of legal architecture for new ventures).</w:t>
      </w:r>
    </w:p>
  </w:footnote>
  <w:footnote w:id="5">
    <w:p w14:paraId="33D87A55"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Aristotle, </w:t>
      </w:r>
      <w:r w:rsidRPr="00100261">
        <w:rPr>
          <w:i/>
          <w:iCs/>
          <w:sz w:val="20"/>
        </w:rPr>
        <w:t>Nicomachean Ethics</w:t>
      </w:r>
      <w:r w:rsidRPr="00100261">
        <w:rPr>
          <w:sz w:val="20"/>
        </w:rPr>
        <w:t>, trans. Terence Irwin, 2nd ed. (Indianapolis: Hackett Publishing, 1999), bk. VI.</w:t>
      </w:r>
    </w:p>
  </w:footnote>
  <w:footnote w:id="6">
    <w:p w14:paraId="12D9E4E6"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r w:rsidRPr="00100261">
        <w:rPr>
          <w:i/>
          <w:iCs/>
          <w:sz w:val="20"/>
        </w:rPr>
        <w:t>Cf.</w:t>
      </w:r>
      <w:r w:rsidRPr="00100261">
        <w:rPr>
          <w:sz w:val="20"/>
        </w:rPr>
        <w:t xml:space="preserve"> Aristotle, </w:t>
      </w:r>
      <w:r w:rsidRPr="00100261">
        <w:rPr>
          <w:i/>
          <w:iCs/>
          <w:sz w:val="20"/>
        </w:rPr>
        <w:t>Nicomachean Ethics</w:t>
      </w:r>
      <w:r w:rsidRPr="00100261">
        <w:rPr>
          <w:sz w:val="20"/>
        </w:rPr>
        <w:t xml:space="preserve">, bk. II, 1103a-1103b (distinguishing between </w:t>
      </w:r>
      <w:r w:rsidRPr="00100261">
        <w:rPr>
          <w:i/>
          <w:iCs/>
          <w:sz w:val="20"/>
        </w:rPr>
        <w:t>sophia</w:t>
      </w:r>
      <w:r w:rsidRPr="00100261">
        <w:rPr>
          <w:sz w:val="20"/>
        </w:rPr>
        <w:t xml:space="preserve"> as theoretical wisdom and </w:t>
      </w:r>
      <w:r w:rsidRPr="00100261">
        <w:rPr>
          <w:i/>
          <w:iCs/>
          <w:sz w:val="20"/>
        </w:rPr>
        <w:t>phronēsis</w:t>
      </w:r>
      <w:r w:rsidRPr="00100261">
        <w:rPr>
          <w:sz w:val="20"/>
        </w:rPr>
        <w:t xml:space="preserve"> as practical </w:t>
      </w:r>
      <w:proofErr w:type="gramStart"/>
      <w:r w:rsidRPr="00100261">
        <w:rPr>
          <w:sz w:val="20"/>
        </w:rPr>
        <w:t>wisdom, and</w:t>
      </w:r>
      <w:proofErr w:type="gramEnd"/>
      <w:r w:rsidRPr="00100261">
        <w:rPr>
          <w:sz w:val="20"/>
        </w:rPr>
        <w:t xml:space="preserve"> arguing that the latter is acquired through habituation rather than instruction alone). The distinction between wisdom as </w:t>
      </w:r>
      <w:proofErr w:type="gramStart"/>
      <w:r w:rsidRPr="00100261">
        <w:rPr>
          <w:sz w:val="20"/>
        </w:rPr>
        <w:t>ultimate aim</w:t>
      </w:r>
      <w:proofErr w:type="gramEnd"/>
      <w:r w:rsidRPr="00100261">
        <w:rPr>
          <w:sz w:val="20"/>
        </w:rPr>
        <w:t>, prudence as practical judgment, and learning as developmental process tracks Aristotle’s own taxonomy, though this paper applies it to institutional rather than individual development.</w:t>
      </w:r>
    </w:p>
  </w:footnote>
  <w:footnote w:id="7">
    <w:p w14:paraId="4C2F131C"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15 U.S.C. § 77d(a)(6) (2016); Securities and Exchange Commission, Regulation Crowdfunding, 80 Fed. Reg. 71,388 (Nov. 16, 2015).</w:t>
      </w:r>
    </w:p>
  </w:footnote>
  <w:footnote w:id="8">
    <w:p w14:paraId="44FD04EB"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r w:rsidRPr="00100261">
        <w:rPr>
          <w:i/>
          <w:iCs/>
          <w:sz w:val="20"/>
        </w:rPr>
        <w:t>See</w:t>
      </w:r>
      <w:r w:rsidRPr="00100261">
        <w:rPr>
          <w:sz w:val="20"/>
        </w:rPr>
        <w:t xml:space="preserve"> U.S. Securities and Exchange Commission, Division of Economic and Risk Analysis, </w:t>
      </w:r>
      <w:r w:rsidRPr="00100261">
        <w:rPr>
          <w:i/>
          <w:iCs/>
          <w:sz w:val="20"/>
        </w:rPr>
        <w:t>Analysis of Crowdfunding Under the JOBS Act</w:t>
      </w:r>
      <w:r w:rsidRPr="00100261">
        <w:rPr>
          <w:sz w:val="20"/>
        </w:rPr>
        <w:t xml:space="preserve"> (May 2025), https://www.sec.gov/about/divisions-offices/division-economic-risk-analysis/staff-papers-analyses/analysis-crowdfunding-under-jobs-act (documenting offering activity and proceeds); </w:t>
      </w:r>
      <w:r w:rsidRPr="00100261">
        <w:rPr>
          <w:i/>
          <w:iCs/>
          <w:sz w:val="20"/>
        </w:rPr>
        <w:t>see also</w:t>
      </w:r>
      <w:r w:rsidRPr="00100261">
        <w:rPr>
          <w:sz w:val="20"/>
        </w:rPr>
        <w:t xml:space="preserve"> SEC Press Release No. 2021-265 (Dec. 2021) (noting alternative explanatory factors for limited Regulation Crowdfunding uptake, including issuer awareness, platform availability, and transaction costs).</w:t>
      </w:r>
    </w:p>
  </w:footnote>
  <w:footnote w:id="9">
    <w:p w14:paraId="39B28CDA"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Martin Buber, </w:t>
      </w:r>
      <w:r w:rsidRPr="00100261">
        <w:rPr>
          <w:i/>
          <w:iCs/>
          <w:sz w:val="20"/>
        </w:rPr>
        <w:t>I and Thou</w:t>
      </w:r>
      <w:r w:rsidRPr="00100261">
        <w:rPr>
          <w:sz w:val="20"/>
        </w:rPr>
        <w:t>, trans. Ronald Gregor Smith, 2nd ed. (New York: Scribner, 1958).</w:t>
      </w:r>
    </w:p>
  </w:footnote>
  <w:footnote w:id="10">
    <w:p w14:paraId="11D26D1A"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Viktor E. Frankl, </w:t>
      </w:r>
      <w:r w:rsidRPr="00100261">
        <w:rPr>
          <w:i/>
          <w:iCs/>
          <w:sz w:val="20"/>
        </w:rPr>
        <w:t>Man’s Search for Meaning: An Introduction to Logotherapy</w:t>
      </w:r>
      <w:r w:rsidRPr="00100261">
        <w:rPr>
          <w:sz w:val="20"/>
        </w:rPr>
        <w:t xml:space="preserve">, rev. ed. (New York: Beacon Press, 2006); Abraham Joshua Heschel, </w:t>
      </w:r>
      <w:r w:rsidRPr="00100261">
        <w:rPr>
          <w:i/>
          <w:iCs/>
          <w:sz w:val="20"/>
        </w:rPr>
        <w:t>The Prophets</w:t>
      </w:r>
      <w:r w:rsidRPr="00100261">
        <w:rPr>
          <w:sz w:val="20"/>
        </w:rPr>
        <w:t xml:space="preserve"> (New York: Harper &amp; Row, 1962).</w:t>
      </w:r>
    </w:p>
  </w:footnote>
  <w:footnote w:id="11">
    <w:p w14:paraId="50B0331F"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r w:rsidRPr="00100261">
        <w:rPr>
          <w:i/>
          <w:iCs/>
          <w:sz w:val="20"/>
        </w:rPr>
        <w:t>Cf.</w:t>
      </w:r>
      <w:r w:rsidRPr="00100261">
        <w:rPr>
          <w:sz w:val="20"/>
        </w:rPr>
        <w:t xml:space="preserve"> Philip K. Howard, </w:t>
      </w:r>
      <w:r w:rsidRPr="00100261">
        <w:rPr>
          <w:i/>
          <w:iCs/>
          <w:sz w:val="20"/>
        </w:rPr>
        <w:t>The Death of Common Sense: How Law Is Suffocating America</w:t>
      </w:r>
      <w:r w:rsidRPr="00100261">
        <w:rPr>
          <w:sz w:val="20"/>
        </w:rPr>
        <w:t xml:space="preserve"> (New York: Random House, 1995). Howard’s argument that bureaucratic overregulation disrespects individual autonomy is complementary but distinct. The argument here is not merely that prevention-maximizing regulation is annoying or inefficient but that it prevents human beings from achieving their end (</w:t>
      </w:r>
      <w:r w:rsidRPr="00100261">
        <w:rPr>
          <w:i/>
          <w:iCs/>
          <w:sz w:val="20"/>
        </w:rPr>
        <w:t>telos</w:t>
      </w:r>
      <w:r w:rsidRPr="00100261">
        <w:rPr>
          <w:sz w:val="20"/>
        </w:rPr>
        <w:t xml:space="preserve">) as rational animals who, if they are to reach their </w:t>
      </w:r>
      <w:proofErr w:type="gramStart"/>
      <w:r w:rsidRPr="00100261">
        <w:rPr>
          <w:sz w:val="20"/>
        </w:rPr>
        <w:t>final end</w:t>
      </w:r>
      <w:proofErr w:type="gramEnd"/>
      <w:r w:rsidRPr="00100261">
        <w:rPr>
          <w:sz w:val="20"/>
        </w:rPr>
        <w:t xml:space="preserve"> at all, must reach it by their own free choices.</w:t>
      </w:r>
    </w:p>
  </w:footnote>
  <w:footnote w:id="12">
    <w:p w14:paraId="12A5FA57"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Knight, </w:t>
      </w:r>
      <w:r w:rsidRPr="00100261">
        <w:rPr>
          <w:i/>
          <w:iCs/>
          <w:sz w:val="20"/>
        </w:rPr>
        <w:t>supra</w:t>
      </w:r>
      <w:r w:rsidRPr="00100261">
        <w:rPr>
          <w:sz w:val="20"/>
        </w:rPr>
        <w:t xml:space="preserve"> note 3, at pt. III, ch. VII.</w:t>
      </w:r>
    </w:p>
  </w:footnote>
  <w:footnote w:id="13">
    <w:p w14:paraId="0481996D"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Alasdair MacIntyre, </w:t>
      </w:r>
      <w:r w:rsidRPr="00100261">
        <w:rPr>
          <w:i/>
          <w:iCs/>
          <w:sz w:val="20"/>
        </w:rPr>
        <w:t>After Virtue: A Study in Moral Theory</w:t>
      </w:r>
      <w:r w:rsidRPr="00100261">
        <w:rPr>
          <w:sz w:val="20"/>
        </w:rPr>
        <w:t>, 2nd ed. (Notre Dame: University of Notre Dame Press, 1984), at 93. MacIntyre’s argument is that technological breakthroughs are unpredictable in principle, not merely in practice, because predicting an invention requires possessing the very knowledge that constitutes the invention.</w:t>
      </w:r>
    </w:p>
  </w:footnote>
  <w:footnote w:id="14">
    <w:p w14:paraId="7AE79873"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Richard A. Epstein, </w:t>
      </w:r>
      <w:r w:rsidRPr="00100261">
        <w:rPr>
          <w:i/>
          <w:iCs/>
          <w:sz w:val="20"/>
        </w:rPr>
        <w:t>The Classical Liberal Constitution: The Uncertain Quest for Limited Government</w:t>
      </w:r>
      <w:r w:rsidRPr="00100261">
        <w:rPr>
          <w:sz w:val="20"/>
        </w:rPr>
        <w:t xml:space="preserve"> (Cambridge, MA: Harvard University Press, 2014), chaps. 1-3.</w:t>
      </w:r>
    </w:p>
  </w:footnote>
  <w:footnote w:id="15">
    <w:p w14:paraId="21D07A47"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Friedrich A. Hayek, “The Use of Knowledge in Society,” </w:t>
      </w:r>
      <w:r w:rsidRPr="00100261">
        <w:rPr>
          <w:i/>
          <w:iCs/>
          <w:sz w:val="20"/>
        </w:rPr>
        <w:t>American Economic Review</w:t>
      </w:r>
      <w:r w:rsidRPr="00100261">
        <w:rPr>
          <w:sz w:val="20"/>
        </w:rPr>
        <w:t xml:space="preserve"> 35, no. 4 (1945): 519-530.</w:t>
      </w:r>
    </w:p>
  </w:footnote>
  <w:footnote w:id="16">
    <w:p w14:paraId="55EFAB11"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James M. Buchanan and Gordon Tullock, </w:t>
      </w:r>
      <w:r w:rsidRPr="00100261">
        <w:rPr>
          <w:i/>
          <w:iCs/>
          <w:sz w:val="20"/>
        </w:rPr>
        <w:t>The Calculus of Consent: Logical Foundations of Constitutional Democracy</w:t>
      </w:r>
      <w:r w:rsidRPr="00100261">
        <w:rPr>
          <w:sz w:val="20"/>
        </w:rPr>
        <w:t xml:space="preserve"> (Ann Arbor: University of Michigan Press, 1962).</w:t>
      </w:r>
    </w:p>
  </w:footnote>
  <w:footnote w:id="17">
    <w:p w14:paraId="66828AA2"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proofErr w:type="spellStart"/>
      <w:r w:rsidRPr="00100261">
        <w:rPr>
          <w:sz w:val="20"/>
        </w:rPr>
        <w:t>Mancur</w:t>
      </w:r>
      <w:proofErr w:type="spellEnd"/>
      <w:r w:rsidRPr="00100261">
        <w:rPr>
          <w:sz w:val="20"/>
        </w:rPr>
        <w:t xml:space="preserve"> Olson, The Logic of Collective Action: Public Goods and the Theory of Groups (Cambridge, MA: Harvard University Press, 1965).</w:t>
      </w:r>
    </w:p>
  </w:footnote>
  <w:footnote w:id="18">
    <w:p w14:paraId="390D526D"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The asymmetric-error-cost framework is well established in decision theory. </w:t>
      </w:r>
      <w:r w:rsidRPr="00100261">
        <w:rPr>
          <w:i/>
          <w:iCs/>
          <w:sz w:val="20"/>
        </w:rPr>
        <w:t>See, e.g.</w:t>
      </w:r>
      <w:r w:rsidRPr="00100261">
        <w:rPr>
          <w:sz w:val="20"/>
        </w:rPr>
        <w:t xml:space="preserve">, Jerzy Neyman &amp; Egon S. Pearson, </w:t>
      </w:r>
      <w:r w:rsidRPr="00100261">
        <w:rPr>
          <w:i/>
          <w:iCs/>
          <w:sz w:val="20"/>
        </w:rPr>
        <w:t>On the Use and Interpretation of Certain Test Criteria for Purposes of Statistical Inference</w:t>
      </w:r>
      <w:r w:rsidRPr="00100261">
        <w:rPr>
          <w:sz w:val="20"/>
        </w:rPr>
        <w:t xml:space="preserve">, 20 Biometrika 175 (1928). For its application to regulatory design, </w:t>
      </w:r>
      <w:r w:rsidRPr="00100261">
        <w:rPr>
          <w:i/>
          <w:iCs/>
          <w:sz w:val="20"/>
        </w:rPr>
        <w:t>see</w:t>
      </w:r>
      <w:r w:rsidRPr="00100261">
        <w:rPr>
          <w:sz w:val="20"/>
        </w:rPr>
        <w:t xml:space="preserve"> Cass R. Sunstein, </w:t>
      </w:r>
      <w:r w:rsidRPr="00100261">
        <w:rPr>
          <w:i/>
          <w:iCs/>
          <w:sz w:val="20"/>
        </w:rPr>
        <w:t>Laws of Fear: Beyond the Precautionary Principle</w:t>
      </w:r>
      <w:r w:rsidRPr="00100261">
        <w:rPr>
          <w:sz w:val="20"/>
        </w:rPr>
        <w:t xml:space="preserve"> (Cambridge: Cambridge University Press, 2005), at 35-61.</w:t>
      </w:r>
    </w:p>
  </w:footnote>
  <w:footnote w:id="19">
    <w:p w14:paraId="4F1FF6D0"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Hester M. Peirce, “Rendering Innovation Kaput: Statement on Amending the Definition of Exchange,” U.S. Securities and Exchange Commission, April 14, 2023, https://www.sec.gov/newsroom/speeches-statements/peirce-rendering-inovation-2023-04-12. The URL slug reads “2023-04-12,” but the SEC’s own dateline and accompanying press materials date the statement to April 14, 2023.</w:t>
      </w:r>
    </w:p>
  </w:footnote>
  <w:footnote w:id="20">
    <w:p w14:paraId="184C73E3"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Cf. James Surowiecki, The Wisdom of Crowds: Why the Many Are Smarter Than the Few and How Collective Wisdom Shapes Business, Economies, Societies, and Nations (New York: Doubleday, 2004) (arguing that, under specified conditions of diversity, independence, decentralization, and aggregation, groups of ordinary people can outperform individual experts). Surowiecki popularized the concept, but this paper’s claim is narrower: not that crowds are inherently wise, but that institutionally scaffolded participation can cultivate the conditions under which collective prudence develops.</w:t>
      </w:r>
    </w:p>
  </w:footnote>
  <w:footnote w:id="21">
    <w:p w14:paraId="48069BA3"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Jumpstart Our Business Startups Act, Pub. L. No. 112-106, § 302, 126 Stat. 306 (2012); 17 C.F.R. pt. 227 (2024).</w:t>
      </w:r>
    </w:p>
  </w:footnote>
  <w:footnote w:id="22">
    <w:p w14:paraId="408DA3B1"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Facilitating Capital Formation and Expanding Investment Opportunities by Improving Access to Capital in Private Markets, 86 Fed. Reg. 3496 (Jan. 14, 2021) (final rule raising the Regulation Crowdfunding offering limit from $1.07 million to $5 million, removing investment limits for accredited investors, and revising the calculation method for non-accredited investor limits to the greater of annual income or net worth).</w:t>
      </w:r>
    </w:p>
  </w:footnote>
  <w:footnote w:id="23">
    <w:p w14:paraId="14CD9139"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SEC Division of Economic and Risk Analysis, </w:t>
      </w:r>
      <w:r w:rsidRPr="00100261">
        <w:rPr>
          <w:i/>
          <w:iCs/>
          <w:sz w:val="20"/>
        </w:rPr>
        <w:t>Analysis of Crowdfunding Under the JOBS Act</w:t>
      </w:r>
      <w:r w:rsidRPr="00100261">
        <w:rPr>
          <w:sz w:val="20"/>
        </w:rPr>
        <w:t xml:space="preserve"> (May 2025), https://www.sec.gov/about/divisions-offices/division-economic-risk-analysis/staff-papers-analyses/analysis-crowdfunding-under-jobs-act (reporting approximately $1.3 billion in proceeds across 3,869 offerings from May 16, 2016 through December 31, 2024, and acknowledging this is “likely to be a lower-bound estimate due to variance in Form C-U filing practices”); National Venture Capital Association, </w:t>
      </w:r>
      <w:r w:rsidRPr="00100261">
        <w:rPr>
          <w:i/>
          <w:iCs/>
          <w:sz w:val="20"/>
        </w:rPr>
        <w:t>Yearbook 2024</w:t>
      </w:r>
      <w:r w:rsidRPr="00100261">
        <w:rPr>
          <w:sz w:val="20"/>
        </w:rPr>
        <w:t xml:space="preserve"> 1-5 (2024) (reporting $170.6 billion in U.S. VC deployed across all stages in 2023). Industry trackers report somewhat higher cumulative Regulation Crowdfunding totals using platform-level data. </w:t>
      </w:r>
      <w:r w:rsidRPr="00100261">
        <w:rPr>
          <w:i/>
          <w:iCs/>
          <w:sz w:val="20"/>
        </w:rPr>
        <w:t>See</w:t>
      </w:r>
      <w:r w:rsidRPr="00100261">
        <w:rPr>
          <w:sz w:val="20"/>
        </w:rPr>
        <w:t xml:space="preserve"> KingsCrowd, </w:t>
      </w:r>
      <w:r w:rsidRPr="00100261">
        <w:rPr>
          <w:i/>
          <w:iCs/>
          <w:sz w:val="20"/>
        </w:rPr>
        <w:t>Reg CF 2023: Top Platforms and Year in Review</w:t>
      </w:r>
      <w:r w:rsidRPr="00100261">
        <w:rPr>
          <w:sz w:val="20"/>
        </w:rPr>
        <w:t xml:space="preserve"> (Jan. 2024) (estimating $1.7 billion raised since 2018).</w:t>
      </w:r>
    </w:p>
  </w:footnote>
  <w:footnote w:id="24">
    <w:p w14:paraId="2D48FBF8"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Aristotle, </w:t>
      </w:r>
      <w:r w:rsidRPr="00100261">
        <w:rPr>
          <w:i/>
          <w:iCs/>
          <w:sz w:val="20"/>
        </w:rPr>
        <w:t>supra</w:t>
      </w:r>
      <w:r w:rsidRPr="00100261">
        <w:rPr>
          <w:sz w:val="20"/>
        </w:rPr>
        <w:t xml:space="preserve"> note 5, bk. II.</w:t>
      </w:r>
    </w:p>
  </w:footnote>
  <w:footnote w:id="25">
    <w:p w14:paraId="63F71EC6"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MacIntyre, </w:t>
      </w:r>
      <w:r w:rsidRPr="00100261">
        <w:rPr>
          <w:i/>
          <w:iCs/>
          <w:sz w:val="20"/>
        </w:rPr>
        <w:t>supra</w:t>
      </w:r>
      <w:r w:rsidRPr="00100261">
        <w:rPr>
          <w:sz w:val="20"/>
        </w:rPr>
        <w:t xml:space="preserve"> note 12, chaps. 14-15.</w:t>
      </w:r>
    </w:p>
  </w:footnote>
  <w:footnote w:id="26">
    <w:p w14:paraId="1A648F4A"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r w:rsidRPr="00100261">
        <w:rPr>
          <w:i/>
          <w:iCs/>
          <w:sz w:val="20"/>
        </w:rPr>
        <w:t>Cf.</w:t>
      </w:r>
      <w:r w:rsidRPr="00100261">
        <w:rPr>
          <w:sz w:val="20"/>
        </w:rPr>
        <w:t xml:space="preserve"> Aquinas, </w:t>
      </w:r>
      <w:r w:rsidRPr="00100261">
        <w:rPr>
          <w:i/>
          <w:iCs/>
          <w:sz w:val="20"/>
        </w:rPr>
        <w:t>supra</w:t>
      </w:r>
      <w:r w:rsidRPr="00100261">
        <w:rPr>
          <w:sz w:val="20"/>
        </w:rPr>
        <w:t xml:space="preserve"> note 2, IaIIae Q. 48, art. 1 (identifying the integral parts of prudence as memory of past facts, understanding of present facts, docility in seeking counsel from others, shrewdness in discovering new knowledge, reasoning from premises to conclusions, circumspection of the facts at hand, foresight of likely effects, and caution in identifying obstacles). These capacities develop only through exercise in conditions of genuine uncertainty, not through protection from the consequences of choice.</w:t>
      </w:r>
    </w:p>
  </w:footnote>
  <w:footnote w:id="27">
    <w:p w14:paraId="1ED9B8F1"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Damon Centola, </w:t>
      </w:r>
      <w:r w:rsidRPr="00100261">
        <w:rPr>
          <w:i/>
          <w:iCs/>
          <w:sz w:val="20"/>
        </w:rPr>
        <w:t>How Behavior Spreads: The Science of Complex Contagions</w:t>
      </w:r>
      <w:r w:rsidRPr="00100261">
        <w:rPr>
          <w:sz w:val="20"/>
        </w:rPr>
        <w:t xml:space="preserve"> (Princeton, NJ: Princeton University Press, 2021), chaps. 4-6.</w:t>
      </w:r>
    </w:p>
  </w:footnote>
  <w:footnote w:id="28">
    <w:p w14:paraId="2198ABBA"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Hélène Landemore, </w:t>
      </w:r>
      <w:r w:rsidRPr="00100261">
        <w:rPr>
          <w:i/>
          <w:iCs/>
          <w:sz w:val="20"/>
        </w:rPr>
        <w:t>Democratic Reason: Politics, Collective Intelligence, and the Rule of the Many</w:t>
      </w:r>
      <w:r w:rsidRPr="00100261">
        <w:rPr>
          <w:sz w:val="20"/>
        </w:rPr>
        <w:t xml:space="preserve"> (Princeton, NJ: Princeton University Press, 2013), pp. 189-210.</w:t>
      </w:r>
    </w:p>
  </w:footnote>
  <w:footnote w:id="29">
    <w:p w14:paraId="7900BE8E"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Beth Simone Noveck, Smart Citizens, Smarter State: The Technologies of Expertise and the Future of Governing (Cambridge, MA: Harvard University Press, 2015), chaps. 3-4.</w:t>
      </w:r>
    </w:p>
  </w:footnote>
  <w:footnote w:id="30">
    <w:p w14:paraId="2C9B526F"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Daniel Kahneman, </w:t>
      </w:r>
      <w:r w:rsidRPr="00100261">
        <w:rPr>
          <w:i/>
          <w:iCs/>
          <w:sz w:val="20"/>
        </w:rPr>
        <w:t>Thinking, Fast and Slow</w:t>
      </w:r>
      <w:r w:rsidRPr="00100261">
        <w:rPr>
          <w:sz w:val="20"/>
        </w:rPr>
        <w:t xml:space="preserve"> (New York: Farrar, Straus and Giroux, 2011); Amos Tversky &amp; Daniel Kahneman, </w:t>
      </w:r>
      <w:r w:rsidRPr="00100261">
        <w:rPr>
          <w:i/>
          <w:iCs/>
          <w:sz w:val="20"/>
        </w:rPr>
        <w:t>Judgment Under Uncertainty: Heuristics and Biases</w:t>
      </w:r>
      <w:r w:rsidRPr="00100261">
        <w:rPr>
          <w:sz w:val="20"/>
        </w:rPr>
        <w:t xml:space="preserve">, 185 Science 1124 (1974); Richard H. Thaler &amp; Cass R. Sunstein, </w:t>
      </w:r>
      <w:r w:rsidRPr="00100261">
        <w:rPr>
          <w:i/>
          <w:iCs/>
          <w:sz w:val="20"/>
        </w:rPr>
        <w:t>Nudge: Improving Decisions About Health, Wealth, and Happiness</w:t>
      </w:r>
      <w:r w:rsidRPr="00100261">
        <w:rPr>
          <w:sz w:val="20"/>
        </w:rPr>
        <w:t xml:space="preserve"> (New Haven: Yale University Press, 2008).</w:t>
      </w:r>
    </w:p>
  </w:footnote>
  <w:footnote w:id="31">
    <w:p w14:paraId="5DB6481C"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Thaler &amp; Sunstein, </w:t>
      </w:r>
      <w:r w:rsidRPr="00100261">
        <w:rPr>
          <w:i/>
          <w:iCs/>
          <w:sz w:val="20"/>
        </w:rPr>
        <w:t>supra</w:t>
      </w:r>
      <w:r w:rsidRPr="00100261">
        <w:rPr>
          <w:sz w:val="20"/>
        </w:rPr>
        <w:t xml:space="preserve"> note 26a, at 5-6 (defining libertarian paternalism as an approach that “tries to influence choices in a way that will make choosers better off, as judged by themselves,” while “insist[ing] on preserving freedom of choice”). The choice-preserving character of nudge theory is closer to the framework proposed here than to the investment-cap approach of Regulation Crowdfunding, which removes choice rather than structuring it.</w:t>
      </w:r>
    </w:p>
  </w:footnote>
  <w:footnote w:id="32">
    <w:p w14:paraId="34F94791"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Wolfgang Streeck, “Beneficial Constraints: On the Economic Limits of Rational Voluntarism,” in </w:t>
      </w:r>
      <w:r w:rsidRPr="00100261">
        <w:rPr>
          <w:i/>
          <w:iCs/>
          <w:sz w:val="20"/>
        </w:rPr>
        <w:t>Contemporary Capitalism: The Embeddedness of Institutions</w:t>
      </w:r>
      <w:r w:rsidRPr="00100261">
        <w:rPr>
          <w:sz w:val="20"/>
        </w:rPr>
        <w:t xml:space="preserve"> 197-219 (J. Rogers Hollingsworth &amp; Robert Boyer eds., 1997). </w:t>
      </w:r>
      <w:r w:rsidRPr="00100261">
        <w:rPr>
          <w:i/>
          <w:iCs/>
          <w:sz w:val="20"/>
        </w:rPr>
        <w:t>Cf.</w:t>
      </w:r>
      <w:r w:rsidRPr="00100261">
        <w:rPr>
          <w:sz w:val="20"/>
        </w:rPr>
        <w:t xml:space="preserve"> Seth C. Oranburg, </w:t>
      </w:r>
      <w:r w:rsidRPr="00100261">
        <w:rPr>
          <w:i/>
          <w:iCs/>
          <w:sz w:val="20"/>
        </w:rPr>
        <w:t>Architects of the Void</w:t>
      </w:r>
      <w:r w:rsidRPr="00100261">
        <w:rPr>
          <w:sz w:val="20"/>
        </w:rPr>
        <w:t xml:space="preserve">, </w:t>
      </w:r>
      <w:r w:rsidRPr="00100261">
        <w:rPr>
          <w:i/>
          <w:iCs/>
          <w:sz w:val="20"/>
        </w:rPr>
        <w:t>supra</w:t>
      </w:r>
      <w:r w:rsidRPr="00100261">
        <w:rPr>
          <w:sz w:val="20"/>
        </w:rPr>
        <w:t xml:space="preserve"> note 4 (developing the concept of beneficial constraints in the context of entrepreneurial legal architecture).</w:t>
      </w:r>
    </w:p>
  </w:footnote>
  <w:footnote w:id="33">
    <w:p w14:paraId="5A3B6702"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Regulation (EU) 2020/1503 of the European Parliament and of the Council on Crowdfunding Service Providers, art. 21(7), 2020 O.J. (L 347) 1. The EU regime does not impose hard caps per offering; instead, non-sophisticated investors’ orders above the higher of €1,000 or 5% of net worth trigger explicit warnings and a four-day reflection period.</w:t>
      </w:r>
    </w:p>
  </w:footnote>
  <w:footnote w:id="34">
    <w:p w14:paraId="33EB8FB2"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Financial Conduct Authority, Policy Statement PS19/14, </w:t>
      </w:r>
      <w:r w:rsidRPr="00100261">
        <w:rPr>
          <w:i/>
          <w:iCs/>
          <w:sz w:val="20"/>
        </w:rPr>
        <w:t>Loan-Based (‘Peer-to-Peer’) and Investment-Based Crowdfunding Platforms: Feedback to CP18/20 and Final Rules</w:t>
      </w:r>
      <w:r w:rsidRPr="00100261">
        <w:rPr>
          <w:sz w:val="20"/>
        </w:rPr>
        <w:t xml:space="preserve"> (June 2019), https://www.fca.org.uk/publication/policy/ps19-14.pdf; FCA, Policy Statement PS22/10, </w:t>
      </w:r>
      <w:r w:rsidRPr="00100261">
        <w:rPr>
          <w:i/>
          <w:iCs/>
          <w:sz w:val="20"/>
        </w:rPr>
        <w:t>Strengthening Our Financial Promotion Rules for High-Risk Investments and Firms Approving Financial Promotions</w:t>
      </w:r>
      <w:r w:rsidRPr="00100261">
        <w:rPr>
          <w:sz w:val="20"/>
        </w:rPr>
        <w:t xml:space="preserve"> (Aug. 2022), https://www.fca.org.uk/publications/policy-statements/ps22-10-strengthening-our-financial-promotion-rules-high-risk-investments-firms-approving-financial-promotions. The UK regime relies on client categorization (FCA Handbook, COBS 3), appropriateness testing (COBS 10), and strengthened risk warnings for restricted mass market investments (COBS 4.12-4.14) rather than fixed investment caps.</w:t>
      </w:r>
    </w:p>
  </w:footnote>
  <w:footnote w:id="35">
    <w:p w14:paraId="6EF45C94"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r w:rsidRPr="00100261">
        <w:rPr>
          <w:i/>
          <w:iCs/>
          <w:sz w:val="20"/>
        </w:rPr>
        <w:t>Cf.</w:t>
      </w:r>
      <w:r w:rsidRPr="00100261">
        <w:rPr>
          <w:sz w:val="20"/>
        </w:rPr>
        <w:t xml:space="preserve"> Knight, </w:t>
      </w:r>
      <w:r w:rsidRPr="00100261">
        <w:rPr>
          <w:i/>
          <w:iCs/>
          <w:sz w:val="20"/>
        </w:rPr>
        <w:t>supra</w:t>
      </w:r>
      <w:r w:rsidRPr="00100261">
        <w:rPr>
          <w:sz w:val="20"/>
        </w:rPr>
        <w:t xml:space="preserve"> note 3, at 233 (“Uncertainty must be taken in a sense radically distinct from the familiar notion of Risk, from which it has never been properly separated.”).</w:t>
      </w:r>
    </w:p>
  </w:footnote>
  <w:footnote w:id="36">
    <w:p w14:paraId="2F908D75"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Maimonides, </w:t>
      </w:r>
      <w:proofErr w:type="spellStart"/>
      <w:r w:rsidRPr="00100261">
        <w:rPr>
          <w:i/>
          <w:iCs/>
          <w:sz w:val="20"/>
        </w:rPr>
        <w:t>Mishneh</w:t>
      </w:r>
      <w:proofErr w:type="spellEnd"/>
      <w:r w:rsidRPr="00100261">
        <w:rPr>
          <w:i/>
          <w:iCs/>
          <w:sz w:val="20"/>
        </w:rPr>
        <w:t xml:space="preserve"> Torah: The Book of Knowledge</w:t>
      </w:r>
      <w:r w:rsidRPr="00100261">
        <w:rPr>
          <w:sz w:val="20"/>
        </w:rPr>
        <w:t xml:space="preserve">, trans. Moses Hyamson (Jerusalem: Boys Town Publishers, 1965); Maimonides, </w:t>
      </w:r>
      <w:r w:rsidRPr="00100261">
        <w:rPr>
          <w:i/>
          <w:iCs/>
          <w:sz w:val="20"/>
        </w:rPr>
        <w:t>Guide of the Perplexed</w:t>
      </w:r>
      <w:r w:rsidRPr="00100261">
        <w:rPr>
          <w:sz w:val="20"/>
        </w:rPr>
        <w:t>, trans. Shlomo Pines (Chicago: University of Chicago Press, 1963), pt. III, ch. 27.</w:t>
      </w:r>
    </w:p>
  </w:footnote>
  <w:footnote w:id="37">
    <w:p w14:paraId="578F865D"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Maimonides, </w:t>
      </w:r>
      <w:r w:rsidRPr="00100261">
        <w:rPr>
          <w:i/>
          <w:iCs/>
          <w:sz w:val="20"/>
        </w:rPr>
        <w:t>Guide of the Perplexed</w:t>
      </w:r>
      <w:r w:rsidRPr="00100261">
        <w:rPr>
          <w:sz w:val="20"/>
        </w:rPr>
        <w:t>, trans. Shlomo Pines (Chicago: University of Chicago Press, 1963), pt. III, ch. 27. Pines translates the relevant passage as stating that the Law “has two purposes, namely, the welfare of the soul and the welfare of the body,” and that “the welfare of the body” is “prior in nature and in time” to “the welfare of the soul.” The Friedlander translation renders the passage differently. All quotations here follow the Pines translation, which is the standard scholarly edition.</w:t>
      </w:r>
    </w:p>
  </w:footnote>
  <w:footnote w:id="38">
    <w:p w14:paraId="382274DA"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Maimonides, </w:t>
      </w:r>
      <w:proofErr w:type="spellStart"/>
      <w:r w:rsidRPr="00100261">
        <w:rPr>
          <w:i/>
          <w:iCs/>
          <w:sz w:val="20"/>
        </w:rPr>
        <w:t>Mishneh</w:t>
      </w:r>
      <w:proofErr w:type="spellEnd"/>
      <w:r w:rsidRPr="00100261">
        <w:rPr>
          <w:i/>
          <w:iCs/>
          <w:sz w:val="20"/>
        </w:rPr>
        <w:t xml:space="preserve"> Torah</w:t>
      </w:r>
      <w:r w:rsidRPr="00100261">
        <w:rPr>
          <w:sz w:val="20"/>
        </w:rPr>
        <w:t xml:space="preserve">, </w:t>
      </w:r>
      <w:proofErr w:type="spellStart"/>
      <w:r w:rsidRPr="00100261">
        <w:rPr>
          <w:i/>
          <w:iCs/>
          <w:sz w:val="20"/>
        </w:rPr>
        <w:t>Hilkhot</w:t>
      </w:r>
      <w:proofErr w:type="spellEnd"/>
      <w:r w:rsidRPr="00100261">
        <w:rPr>
          <w:i/>
          <w:iCs/>
          <w:sz w:val="20"/>
        </w:rPr>
        <w:t xml:space="preserve"> </w:t>
      </w:r>
      <w:proofErr w:type="spellStart"/>
      <w:r w:rsidRPr="00100261">
        <w:rPr>
          <w:i/>
          <w:iCs/>
          <w:sz w:val="20"/>
        </w:rPr>
        <w:t>Matanot</w:t>
      </w:r>
      <w:proofErr w:type="spellEnd"/>
      <w:r w:rsidRPr="00100261">
        <w:rPr>
          <w:i/>
          <w:iCs/>
          <w:sz w:val="20"/>
        </w:rPr>
        <w:t xml:space="preserve"> Aniyim</w:t>
      </w:r>
      <w:r w:rsidRPr="00100261">
        <w:rPr>
          <w:sz w:val="20"/>
        </w:rPr>
        <w:t xml:space="preserve"> (Laws Concerning Gifts to the Poor) 10:7.</w:t>
      </w:r>
    </w:p>
  </w:footnote>
  <w:footnote w:id="39">
    <w:p w14:paraId="1CE9AB96"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w:t>
      </w:r>
      <w:r w:rsidRPr="00100261">
        <w:rPr>
          <w:i/>
          <w:iCs/>
          <w:sz w:val="20"/>
        </w:rPr>
        <w:t>Cf.</w:t>
      </w:r>
      <w:r w:rsidRPr="00100261">
        <w:rPr>
          <w:sz w:val="20"/>
        </w:rPr>
        <w:t xml:space="preserve"> Robert Bolt, </w:t>
      </w:r>
      <w:r w:rsidRPr="00100261">
        <w:rPr>
          <w:i/>
          <w:iCs/>
          <w:sz w:val="20"/>
        </w:rPr>
        <w:t>A Man for All Seasons</w:t>
      </w:r>
      <w:r w:rsidRPr="00100261">
        <w:rPr>
          <w:sz w:val="20"/>
        </w:rPr>
        <w:t xml:space="preserve"> (London: Heinemann, 1960). In the play, when Roper urges More to arrest Richard Rich, More responds: “And go he should if he were the Devil himself until he broke the law!” and later, when Roper invokes God’s law: “Then let God arrest him.” Even if divine positive law aims at making human beings virtuous, it does not follow that human positive law has the same goal, because the power of the legislator differs. The argument here is that the Maimonidean framework illuminates what law </w:t>
      </w:r>
      <w:r w:rsidRPr="00100261">
        <w:rPr>
          <w:i/>
          <w:iCs/>
          <w:sz w:val="20"/>
        </w:rPr>
        <w:t>should aspire toward</w:t>
      </w:r>
      <w:r w:rsidRPr="00100261">
        <w:rPr>
          <w:sz w:val="20"/>
        </w:rPr>
        <w:t>, not that human legislators can achieve what divine legislators achieve.</w:t>
      </w:r>
    </w:p>
  </w:footnote>
  <w:footnote w:id="40">
    <w:p w14:paraId="4B684B8B"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Maimonides, </w:t>
      </w:r>
      <w:proofErr w:type="spellStart"/>
      <w:r w:rsidRPr="00100261">
        <w:rPr>
          <w:i/>
          <w:iCs/>
          <w:sz w:val="20"/>
        </w:rPr>
        <w:t>Mishneh</w:t>
      </w:r>
      <w:proofErr w:type="spellEnd"/>
      <w:r w:rsidRPr="00100261">
        <w:rPr>
          <w:i/>
          <w:iCs/>
          <w:sz w:val="20"/>
        </w:rPr>
        <w:t xml:space="preserve"> Torah</w:t>
      </w:r>
      <w:r w:rsidRPr="00100261">
        <w:rPr>
          <w:sz w:val="20"/>
        </w:rPr>
        <w:t xml:space="preserve">, </w:t>
      </w:r>
      <w:proofErr w:type="spellStart"/>
      <w:r w:rsidRPr="00100261">
        <w:rPr>
          <w:sz w:val="20"/>
        </w:rPr>
        <w:t>Hilkhot</w:t>
      </w:r>
      <w:proofErr w:type="spellEnd"/>
      <w:r w:rsidRPr="00100261">
        <w:rPr>
          <w:sz w:val="20"/>
        </w:rPr>
        <w:t xml:space="preserve"> Teshuvah (Laws of Repentance), 7:4.</w:t>
      </w:r>
    </w:p>
  </w:footnote>
  <w:footnote w:id="41">
    <w:p w14:paraId="7B26FA38"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Lon L. Fuller, </w:t>
      </w:r>
      <w:r w:rsidRPr="00100261">
        <w:rPr>
          <w:i/>
          <w:iCs/>
          <w:sz w:val="20"/>
        </w:rPr>
        <w:t>The Morality of Law</w:t>
      </w:r>
      <w:r w:rsidRPr="00100261">
        <w:rPr>
          <w:sz w:val="20"/>
        </w:rPr>
        <w:t xml:space="preserve">, rev. ed. (New Haven: Yale University Press, 1969), pp. 33-94; John Finnis, </w:t>
      </w:r>
      <w:r w:rsidRPr="00100261">
        <w:rPr>
          <w:i/>
          <w:iCs/>
          <w:sz w:val="20"/>
        </w:rPr>
        <w:t>Natural Law and Natural Rights</w:t>
      </w:r>
      <w:r w:rsidRPr="00100261">
        <w:rPr>
          <w:sz w:val="20"/>
        </w:rPr>
        <w:t>, 2nd ed. (Oxford: Oxford University Press, 2011), pp. 59-99.</w:t>
      </w:r>
    </w:p>
  </w:footnote>
  <w:footnote w:id="42">
    <w:p w14:paraId="215A37AC" w14:textId="77777777" w:rsidR="00671BDD" w:rsidRPr="00100261" w:rsidRDefault="00F2117F" w:rsidP="00100261">
      <w:pPr>
        <w:pStyle w:val="FootnoteText"/>
        <w:spacing w:after="40" w:line="240" w:lineRule="auto"/>
        <w:ind w:firstLine="0"/>
        <w:rPr>
          <w:sz w:val="20"/>
        </w:rPr>
      </w:pPr>
      <w:r w:rsidRPr="00100261">
        <w:rPr>
          <w:rStyle w:val="FootnoteReference"/>
          <w:sz w:val="20"/>
        </w:rPr>
        <w:footnoteRef/>
      </w:r>
      <w:r w:rsidRPr="00100261">
        <w:rPr>
          <w:sz w:val="20"/>
        </w:rPr>
        <w:t xml:space="preserve"> The concept of </w:t>
      </w:r>
      <w:r w:rsidRPr="00100261">
        <w:rPr>
          <w:i/>
          <w:iCs/>
          <w:sz w:val="20"/>
        </w:rPr>
        <w:t>tikkun olam</w:t>
      </w:r>
      <w:r w:rsidRPr="00100261">
        <w:rPr>
          <w:sz w:val="20"/>
        </w:rPr>
        <w:t xml:space="preserve"> has evolved from its origins in the Mishnah (Gittin 4:2-9) to contemporary usage emphasizing distributive participation in repairing the world. In modern Jewish ethics, it emphasizes that no individual can repair everything; each person contributes their part to collective flourishing. This principle applies to regulatory design: law should enable distributed agency rather than centralizing all responsibility in state actors.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6C14" w14:textId="4D1731DF" w:rsidR="00100261" w:rsidRDefault="00100261" w:rsidP="00760C05">
    <w:pPr>
      <w:pStyle w:val="Header"/>
      <w:pBdr>
        <w:bottom w:val="single" w:sz="4" w:space="1" w:color="auto"/>
      </w:pBdr>
      <w:tabs>
        <w:tab w:val="clear" w:pos="4680"/>
        <w:tab w:val="clear" w:pos="9360"/>
        <w:tab w:val="right" w:pos="4824"/>
      </w:tabs>
    </w:pPr>
    <w:r>
      <w:fldChar w:fldCharType="begin"/>
    </w:r>
    <w:r>
      <w:instrText xml:space="preserve"> PAGE  \* MERGEFORMAT </w:instrText>
    </w:r>
    <w:r>
      <w:fldChar w:fldCharType="separate"/>
    </w:r>
    <w:r>
      <w:rPr>
        <w:noProof/>
      </w:rPr>
      <w:t>13</w:t>
    </w:r>
    <w:r>
      <w:fldChar w:fldCharType="end"/>
    </w:r>
    <w:r w:rsidR="00760C05">
      <w:tab/>
    </w:r>
    <w:r w:rsidR="00760C05" w:rsidRPr="00760C05">
      <w:rPr>
        <w:i/>
        <w:iCs/>
      </w:rPr>
      <w:t>Anti-Bad to Pro Good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9D84" w14:textId="13B9DA79" w:rsidR="00100261" w:rsidRDefault="00760C05" w:rsidP="00760C05">
    <w:pPr>
      <w:pStyle w:val="Header"/>
      <w:pBdr>
        <w:bottom w:val="single" w:sz="4" w:space="1" w:color="auto"/>
      </w:pBdr>
      <w:tabs>
        <w:tab w:val="clear" w:pos="4680"/>
        <w:tab w:val="clear" w:pos="9360"/>
        <w:tab w:val="right" w:pos="4824"/>
      </w:tabs>
    </w:pPr>
    <w:r>
      <w:fldChar w:fldCharType="begin"/>
    </w:r>
    <w:r>
      <w:instrText xml:space="preserve"> DATE \@ "yyyy-MM-dd" \* MERGEFORMAT </w:instrText>
    </w:r>
    <w:r>
      <w:fldChar w:fldCharType="separate"/>
    </w:r>
    <w:r w:rsidR="00F0732C">
      <w:rPr>
        <w:noProof/>
      </w:rPr>
      <w:t>2026-03-06</w:t>
    </w:r>
    <w:r>
      <w:fldChar w:fldCharType="end"/>
    </w:r>
    <w:r>
      <w:t>]</w:t>
    </w:r>
    <w:r w:rsidR="00100261">
      <w:tab/>
    </w:r>
    <w:r w:rsidR="00100261">
      <w:fldChar w:fldCharType="begin"/>
    </w:r>
    <w:r w:rsidR="00100261">
      <w:instrText xml:space="preserve"> PAGE  \* MERGEFORMAT </w:instrText>
    </w:r>
    <w:r w:rsidR="00100261">
      <w:fldChar w:fldCharType="separate"/>
    </w:r>
    <w:r w:rsidR="00100261">
      <w:t>2</w:t>
    </w:r>
    <w:r w:rsidR="0010026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9AF4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16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autoHyphenation/>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1BDD"/>
    <w:rsid w:val="000637B0"/>
    <w:rsid w:val="00100261"/>
    <w:rsid w:val="00240C26"/>
    <w:rsid w:val="00294C01"/>
    <w:rsid w:val="00521582"/>
    <w:rsid w:val="00671BDD"/>
    <w:rsid w:val="006E248C"/>
    <w:rsid w:val="00760C05"/>
    <w:rsid w:val="007D7A7B"/>
    <w:rsid w:val="00962E5D"/>
    <w:rsid w:val="00A04D44"/>
    <w:rsid w:val="00B335F3"/>
    <w:rsid w:val="00EB327C"/>
    <w:rsid w:val="00EF15FA"/>
    <w:rsid w:val="00F0732C"/>
    <w:rsid w:val="00F2117F"/>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E6A5F61"/>
  <w15:docId w15:val="{44B29FFF-33BD-A448-A0F2-1C8226D2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D44"/>
    <w:pPr>
      <w:adjustRightInd w:val="0"/>
      <w:spacing w:after="0" w:line="259" w:lineRule="auto"/>
      <w:ind w:firstLine="360"/>
    </w:pPr>
    <w:rPr>
      <w:rFonts w:ascii="Times New Roman" w:eastAsiaTheme="minorEastAsia" w:hAnsi="Times New Roman"/>
      <w:szCs w:val="20"/>
    </w:rPr>
  </w:style>
  <w:style w:type="paragraph" w:styleId="Heading1">
    <w:name w:val="heading 1"/>
    <w:basedOn w:val="Normal"/>
    <w:next w:val="BodyText"/>
    <w:uiPriority w:val="9"/>
    <w:qFormat/>
    <w:rsid w:val="00521582"/>
    <w:pPr>
      <w:keepNext/>
      <w:keepLines/>
      <w:spacing w:before="360" w:after="120" w:line="276" w:lineRule="auto"/>
      <w:ind w:firstLine="0"/>
      <w:outlineLvl w:val="0"/>
    </w:pPr>
    <w:rPr>
      <w:rFonts w:ascii="Helvetica Neue" w:eastAsiaTheme="majorEastAsia" w:hAnsi="Helvetica Neue" w:cstheme="majorBidi"/>
      <w:b/>
      <w:bCs/>
      <w:sz w:val="26"/>
      <w:szCs w:val="32"/>
    </w:rPr>
  </w:style>
  <w:style w:type="paragraph" w:styleId="Heading2">
    <w:name w:val="heading 2"/>
    <w:basedOn w:val="Heading1"/>
    <w:next w:val="BodyText"/>
    <w:uiPriority w:val="9"/>
    <w:unhideWhenUsed/>
    <w:qFormat/>
    <w:rsid w:val="00A04D44"/>
    <w:pPr>
      <w:spacing w:before="240" w:after="60"/>
      <w:outlineLvl w:val="1"/>
    </w:pPr>
    <w:rPr>
      <w:b w:val="0"/>
      <w:bCs w:val="0"/>
      <w:caps/>
      <w:sz w:val="24"/>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szCs w:val="24"/>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szCs w:val="24"/>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szCs w:val="24"/>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Cs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Cs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Cs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qFormat/>
    <w:rsid w:val="00521582"/>
    <w:pPr>
      <w:spacing w:before="720" w:after="240" w:line="240" w:lineRule="auto"/>
    </w:pPr>
    <w:rPr>
      <w:sz w:val="28"/>
      <w:szCs w:val="28"/>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rPr>
  </w:style>
  <w:style w:type="paragraph" w:customStyle="1" w:styleId="Abstract">
    <w:name w:val="Abstract"/>
    <w:basedOn w:val="Normal"/>
    <w:next w:val="BodyText"/>
    <w:qFormat/>
    <w:pPr>
      <w:keepNext/>
      <w:keepLines/>
      <w:spacing w:before="100" w:after="300"/>
    </w:pPr>
    <w:rPr>
      <w:sz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04D44"/>
    <w:pPr>
      <w:spacing w:line="276" w:lineRule="auto"/>
    </w:pPr>
    <w:rPr>
      <w:rFonts w:ascii="Garamond" w:hAnsi="Garamond"/>
      <w:sz w:val="23"/>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00261"/>
    <w:pPr>
      <w:tabs>
        <w:tab w:val="center" w:pos="4680"/>
        <w:tab w:val="right" w:pos="9360"/>
      </w:tabs>
      <w:spacing w:line="240" w:lineRule="auto"/>
      <w:ind w:firstLine="0"/>
    </w:pPr>
    <w:rPr>
      <w:rFonts w:ascii="Helvetica Neue Light" w:hAnsi="Helvetica Neue Light"/>
      <w:sz w:val="20"/>
    </w:rPr>
  </w:style>
  <w:style w:type="character" w:customStyle="1" w:styleId="HeaderChar">
    <w:name w:val="Header Char"/>
    <w:basedOn w:val="DefaultParagraphFont"/>
    <w:link w:val="Header"/>
    <w:rsid w:val="00100261"/>
    <w:rPr>
      <w:rFonts w:ascii="Helvetica Neue Light" w:eastAsiaTheme="minorEastAsia" w:hAnsi="Helvetica Neue Light"/>
      <w:sz w:val="20"/>
      <w:szCs w:val="20"/>
    </w:rPr>
  </w:style>
  <w:style w:type="paragraph" w:styleId="Footer">
    <w:name w:val="footer"/>
    <w:basedOn w:val="Normal"/>
    <w:link w:val="FooterChar"/>
    <w:rsid w:val="00100261"/>
    <w:pPr>
      <w:tabs>
        <w:tab w:val="center" w:pos="4680"/>
        <w:tab w:val="right" w:pos="9360"/>
      </w:tabs>
      <w:spacing w:line="240" w:lineRule="auto"/>
    </w:pPr>
  </w:style>
  <w:style w:type="character" w:customStyle="1" w:styleId="FooterChar">
    <w:name w:val="Footer Char"/>
    <w:basedOn w:val="DefaultParagraphFont"/>
    <w:link w:val="Footer"/>
    <w:rsid w:val="00100261"/>
    <w:rPr>
      <w:rFonts w:ascii="Times New Roman" w:eastAsiaTheme="minorEastAsia"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5427</Words>
  <Characters>33002</Characters>
  <Application>Microsoft Office Word</Application>
  <DocSecurity>0</DocSecurity>
  <Lines>825</Lines>
  <Paragraphs>77</Paragraphs>
  <ScaleCrop>false</ScaleCrop>
  <HeadingPairs>
    <vt:vector size="2" baseType="variant">
      <vt:variant>
        <vt:lpstr>Title</vt:lpstr>
      </vt:variant>
      <vt:variant>
        <vt:i4>1</vt:i4>
      </vt:variant>
    </vt:vector>
  </HeadingPairs>
  <TitlesOfParts>
    <vt:vector size="1" baseType="lpstr">
      <vt:lpstr>From Anti-Bad to Pro-Good</vt:lpstr>
    </vt:vector>
  </TitlesOfParts>
  <Manager/>
  <Company/>
  <LinksUpToDate>false</LinksUpToDate>
  <CharactersWithSpaces>38352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Anti-Bad to Pro-Good</dc:title>
  <dc:subject/>
  <dc:creator>Seth C. Oranburg</dc:creator>
  <cp:keywords/>
  <dc:description/>
  <cp:lastModifiedBy>Seth Oranburg</cp:lastModifiedBy>
  <cp:revision>4</cp:revision>
  <cp:lastPrinted>2026-02-26T14:12:00Z</cp:lastPrinted>
  <dcterms:created xsi:type="dcterms:W3CDTF">2026-02-14T08:37:00Z</dcterms:created>
  <dcterms:modified xsi:type="dcterms:W3CDTF">2026-03-06T21:17:00Z</dcterms:modified>
  <cp:category/>
</cp:coreProperties>
</file>