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A517" w14:textId="77777777" w:rsidR="00843CA5" w:rsidRDefault="00843CA5"/>
    <w:p w14:paraId="4BD34489" w14:textId="77777777" w:rsidR="00843CA5" w:rsidRDefault="006749D5">
      <w:pPr>
        <w:spacing w:line="480" w:lineRule="auto"/>
        <w:jc w:val="center"/>
      </w:pPr>
      <w:r>
        <w:rPr>
          <w:b/>
          <w:bCs/>
          <w:sz w:val="24"/>
          <w:szCs w:val="24"/>
        </w:rPr>
        <w:t>THE METHODOLOGICAL FAILURE OF CRITICAL RACE THEORY:</w:t>
      </w:r>
    </w:p>
    <w:p w14:paraId="02F92C2B" w14:textId="77777777" w:rsidR="00843CA5" w:rsidRDefault="006749D5">
      <w:pPr>
        <w:spacing w:line="480" w:lineRule="auto"/>
        <w:jc w:val="center"/>
      </w:pPr>
      <w:r>
        <w:rPr>
          <w:b/>
          <w:bCs/>
          <w:sz w:val="24"/>
          <w:szCs w:val="24"/>
        </w:rPr>
        <w:t>UNDERDIFFERENTIATION, DEFENSIVE FRAGILITY,</w:t>
      </w:r>
    </w:p>
    <w:p w14:paraId="2C200C6B" w14:textId="77777777" w:rsidR="00843CA5" w:rsidRDefault="006749D5">
      <w:pPr>
        <w:spacing w:line="480" w:lineRule="auto"/>
        <w:jc w:val="center"/>
      </w:pPr>
      <w:r>
        <w:rPr>
          <w:b/>
          <w:bCs/>
          <w:sz w:val="24"/>
          <w:szCs w:val="24"/>
        </w:rPr>
        <w:t>AND THE LESSON FOR LAW AND ANTISEMITISM</w:t>
      </w:r>
    </w:p>
    <w:p w14:paraId="64893173" w14:textId="77777777" w:rsidR="00843CA5" w:rsidRDefault="00843CA5"/>
    <w:p w14:paraId="7E3AEBAE" w14:textId="77777777" w:rsidR="00843CA5" w:rsidRDefault="006749D5">
      <w:pPr>
        <w:spacing w:line="480" w:lineRule="auto"/>
        <w:jc w:val="center"/>
      </w:pPr>
      <w:r>
        <w:rPr>
          <w:i/>
          <w:iCs/>
          <w:sz w:val="24"/>
          <w:szCs w:val="24"/>
        </w:rPr>
        <w:t>Seth C. Oranburg</w:t>
      </w:r>
    </w:p>
    <w:p w14:paraId="3570696C" w14:textId="77777777" w:rsidR="00843CA5" w:rsidRDefault="006749D5">
      <w:pPr>
        <w:spacing w:line="480" w:lineRule="auto"/>
        <w:jc w:val="center"/>
      </w:pPr>
      <w:r>
        <w:rPr>
          <w:sz w:val="24"/>
          <w:szCs w:val="24"/>
        </w:rPr>
        <w:t>Draft -- [Date] -- Not for Citation Without Permission</w:t>
      </w:r>
    </w:p>
    <w:p w14:paraId="34892DC6" w14:textId="77777777" w:rsidR="00843CA5" w:rsidRDefault="00843CA5"/>
    <w:p w14:paraId="0DADE118" w14:textId="77777777" w:rsidR="00843CA5" w:rsidRDefault="006749D5">
      <w:pPr>
        <w:spacing w:before="480" w:after="240" w:line="480" w:lineRule="auto"/>
      </w:pPr>
      <w:r>
        <w:rPr>
          <w:b/>
          <w:bCs/>
          <w:sz w:val="24"/>
          <w:szCs w:val="24"/>
        </w:rPr>
        <w:t>ABSTRACT</w:t>
      </w:r>
    </w:p>
    <w:p w14:paraId="62A1193A" w14:textId="77777777" w:rsidR="00843CA5" w:rsidRDefault="006749D5">
      <w:pPr>
        <w:spacing w:line="480" w:lineRule="auto"/>
        <w:ind w:firstLine="720"/>
        <w:jc w:val="both"/>
      </w:pPr>
      <w:r>
        <w:rPr>
          <w:sz w:val="24"/>
          <w:szCs w:val="24"/>
        </w:rPr>
        <w:t>Critical race theory suffered a decisive political defeat -- in the popular and legislative registers -- not because its theoretical contributions were refuted. They were not. Interest convergence, intersectionality, and the social construction of whiteness as property remain foundational frameworks in legal academia, social science, and organizational theory. Courts continue to cite them. Scholars in public health, education, and political science continue to build on them. Ruling CRT "banned" from a middl</w:t>
      </w:r>
      <w:r>
        <w:rPr>
          <w:sz w:val="24"/>
          <w:szCs w:val="24"/>
        </w:rPr>
        <w:t>e school classroom is not refuting what Bell published in the Harvard Law Review in 1980. The defeat was real, but its scope was limited, and its target was never the scholarship.</w:t>
      </w:r>
    </w:p>
    <w:p w14:paraId="5951B929" w14:textId="77777777" w:rsidR="00843CA5" w:rsidRDefault="006749D5">
      <w:pPr>
        <w:spacing w:line="480" w:lineRule="auto"/>
        <w:ind w:firstLine="720"/>
        <w:jc w:val="both"/>
      </w:pPr>
      <w:r>
        <w:rPr>
          <w:sz w:val="24"/>
          <w:szCs w:val="24"/>
        </w:rPr>
        <w:t xml:space="preserve">What CRT lost was a methodological battle for which it had deliberately left itself unprepared. By the time state legislatures began banning "critical race theory," the field had no shared vocabulary for distinguishing its theoretical propositions from its empirical research, its doctrinal proposals from its pedagogical advocacy. An attack on any one register became, by design, an attack on all. This Article names that vulnerability defensive fragility and traces its origins to CRT's foundational choice to </w:t>
      </w:r>
      <w:r>
        <w:rPr>
          <w:sz w:val="24"/>
          <w:szCs w:val="24"/>
        </w:rPr>
        <w:t xml:space="preserve">reject methodological differentiation. Drawing on an Aristotelian taxonomy of knowledge -- episteme (theoretical knowledge), </w:t>
      </w:r>
      <w:proofErr w:type="spellStart"/>
      <w:r>
        <w:rPr>
          <w:sz w:val="24"/>
          <w:szCs w:val="24"/>
        </w:rPr>
        <w:t>historia</w:t>
      </w:r>
      <w:proofErr w:type="spellEnd"/>
      <w:r>
        <w:rPr>
          <w:sz w:val="24"/>
          <w:szCs w:val="24"/>
        </w:rPr>
        <w:t xml:space="preserve"> (empirical </w:t>
      </w:r>
      <w:r>
        <w:rPr>
          <w:sz w:val="24"/>
          <w:szCs w:val="24"/>
        </w:rPr>
        <w:lastRenderedPageBreak/>
        <w:t xml:space="preserve">investigation), techne (practical craft), phronesis (situational judgment), and </w:t>
      </w:r>
      <w:proofErr w:type="spellStart"/>
      <w:r>
        <w:rPr>
          <w:sz w:val="24"/>
          <w:szCs w:val="24"/>
        </w:rPr>
        <w:t>sophia</w:t>
      </w:r>
      <w:proofErr w:type="spellEnd"/>
      <w:r>
        <w:rPr>
          <w:sz w:val="24"/>
          <w:szCs w:val="24"/>
        </w:rPr>
        <w:t xml:space="preserve"> (integrative wisdom) -- it maps how CRT's registers developed, how they were deliberately conflated, and what the consequences were when that conflation was weaponized.</w:t>
      </w:r>
    </w:p>
    <w:p w14:paraId="2F3933BC" w14:textId="77777777" w:rsidR="00843CA5" w:rsidRDefault="006749D5">
      <w:pPr>
        <w:spacing w:line="480" w:lineRule="auto"/>
        <w:ind w:firstLine="720"/>
        <w:jc w:val="both"/>
      </w:pPr>
      <w:r>
        <w:rPr>
          <w:sz w:val="24"/>
          <w:szCs w:val="24"/>
        </w:rPr>
        <w:t xml:space="preserve">The argument is not that CRT should have abandoned its epistemological critique of false objectivity. That critique was correct. Miranda Fricker's account of epistemic injustice provides the philosophical vocabulary to establish why, and this Article engages with that account directly. The argument is that rejecting false neutrality is not the same as rejecting methodological differentiation -- and that conflating those two moves is precisely where defensive fragility took root. Law and antisemitism now </w:t>
      </w:r>
      <w:proofErr w:type="gramStart"/>
      <w:r>
        <w:rPr>
          <w:sz w:val="24"/>
          <w:szCs w:val="24"/>
        </w:rPr>
        <w:t>stands</w:t>
      </w:r>
      <w:proofErr w:type="gramEnd"/>
      <w:r>
        <w:rPr>
          <w:sz w:val="24"/>
          <w:szCs w:val="24"/>
        </w:rPr>
        <w:t xml:space="preserve"> at the same structural inflection point. The lesson must be drawn before the siege begins.</w:t>
      </w:r>
    </w:p>
    <w:p w14:paraId="408284F8" w14:textId="77777777" w:rsidR="00843CA5" w:rsidRDefault="006749D5">
      <w:pPr>
        <w:spacing w:line="480" w:lineRule="auto"/>
        <w:jc w:val="both"/>
      </w:pPr>
      <w:r>
        <w:rPr>
          <w:b/>
          <w:bCs/>
          <w:sz w:val="24"/>
          <w:szCs w:val="24"/>
        </w:rPr>
        <w:t>Keywords:</w:t>
      </w:r>
      <w:r>
        <w:rPr>
          <w:sz w:val="24"/>
          <w:szCs w:val="24"/>
        </w:rPr>
        <w:t xml:space="preserve"> critical race theory; methodological differentiation; defensive fragility; law and antisemitism; disciplinary methodology; Aristotelian epistemology; interest convergence; intersectionality; epistemic injustice; legal education</w:t>
      </w:r>
    </w:p>
    <w:p w14:paraId="6A33F77B" w14:textId="77777777" w:rsidR="00843CA5" w:rsidRDefault="006749D5">
      <w:pPr>
        <w:spacing w:before="480" w:after="240" w:line="480" w:lineRule="auto"/>
      </w:pPr>
      <w:r>
        <w:rPr>
          <w:b/>
          <w:bCs/>
          <w:sz w:val="24"/>
          <w:szCs w:val="24"/>
        </w:rPr>
        <w:t>INTRODUCTION</w:t>
      </w:r>
    </w:p>
    <w:p w14:paraId="66AA1E45" w14:textId="77777777" w:rsidR="00843CA5" w:rsidRDefault="006749D5">
      <w:pPr>
        <w:spacing w:line="480" w:lineRule="auto"/>
        <w:ind w:firstLine="720"/>
        <w:jc w:val="both"/>
      </w:pPr>
      <w:r>
        <w:rPr>
          <w:sz w:val="24"/>
          <w:szCs w:val="24"/>
        </w:rPr>
        <w:t xml:space="preserve">In March 2021, Christopher Rufo, a senior fellow at the Manhattan Institute, posted a note on Twitter that is worth quoting at length. "We have successfully frozen their brand -- 'critical race theory' -- into the public conversation and are steadily driving up negative perceptions," Rufo wrote. "We will eventually turn it toxic, as we put </w:t>
      </w:r>
      <w:proofErr w:type="gramStart"/>
      <w:r>
        <w:rPr>
          <w:sz w:val="24"/>
          <w:szCs w:val="24"/>
        </w:rPr>
        <w:t>all of</w:t>
      </w:r>
      <w:proofErr w:type="gramEnd"/>
      <w:r>
        <w:rPr>
          <w:sz w:val="24"/>
          <w:szCs w:val="24"/>
        </w:rPr>
        <w:t xml:space="preserve"> the 'various cultural insanities' under that brand category. The goal is to have the public read something 'crazy' in the newspaper and immediately think 'critical race theory.' We have decodified the term and will recodify it to annex </w:t>
      </w:r>
      <w:r>
        <w:rPr>
          <w:sz w:val="24"/>
          <w:szCs w:val="24"/>
        </w:rPr>
        <w:lastRenderedPageBreak/>
        <w:t>the entire range of cultural constructions that are unpopular with Americans." He said as much to The New Yorker that summer: "Critical race theory is the perfect villain."</w:t>
      </w:r>
      <w:r>
        <w:rPr>
          <w:rStyle w:val="FootnoteReference"/>
        </w:rPr>
        <w:footnoteReference w:id="1"/>
      </w:r>
    </w:p>
    <w:p w14:paraId="27582F2F" w14:textId="77777777" w:rsidR="00843CA5" w:rsidRDefault="006749D5">
      <w:pPr>
        <w:spacing w:line="480" w:lineRule="auto"/>
        <w:ind w:firstLine="720"/>
        <w:jc w:val="both"/>
      </w:pPr>
      <w:r>
        <w:rPr>
          <w:sz w:val="24"/>
          <w:szCs w:val="24"/>
        </w:rPr>
        <w:t>This is not an account of an intellectual defeat. It is an account of a branding campaign. Rufo was not claiming that CRT's theoretical propositions had been disproven. He was claiming that the term had been successfully severed from any stable referent and reattached to a floating category of cultural anxieties. The campaign worked, and it worked with remarkable speed.</w:t>
      </w:r>
    </w:p>
    <w:p w14:paraId="7D16EA0C" w14:textId="77777777" w:rsidR="00843CA5" w:rsidRDefault="006749D5">
      <w:pPr>
        <w:spacing w:line="480" w:lineRule="auto"/>
        <w:ind w:firstLine="720"/>
        <w:jc w:val="both"/>
      </w:pPr>
      <w:r>
        <w:rPr>
          <w:sz w:val="24"/>
          <w:szCs w:val="24"/>
        </w:rPr>
        <w:t>By 2023, eighteen states had enacted legislation restricting CRT-related instruction in public schools and universities, and dozens more had introduced bills that failed by narrow margins.</w:t>
      </w:r>
      <w:r>
        <w:rPr>
          <w:rStyle w:val="FootnoteReference"/>
        </w:rPr>
        <w:footnoteReference w:id="2"/>
      </w:r>
      <w:r>
        <w:rPr>
          <w:sz w:val="24"/>
          <w:szCs w:val="24"/>
        </w:rPr>
        <w:t xml:space="preserve"> The defeat was decisive in the popular and legislative registers. It was not a scholarly defeat. CRT's theoretical contributions -- Bell's interest-convergence thesis, Crenshaw's intersectionality, Harris's whiteness as property -- remain highly influential in peer-reviewed social science, legal academia, and organizational theory. The field's scholarship was never seriously engaged. It was politically branded, not intellectually defeated.</w:t>
      </w:r>
    </w:p>
    <w:p w14:paraId="731DD59A" w14:textId="77777777" w:rsidR="00843CA5" w:rsidRDefault="006749D5">
      <w:pPr>
        <w:spacing w:line="480" w:lineRule="auto"/>
        <w:ind w:firstLine="720"/>
        <w:jc w:val="both"/>
      </w:pPr>
      <w:r>
        <w:rPr>
          <w:sz w:val="24"/>
          <w:szCs w:val="24"/>
        </w:rPr>
        <w:t>That distinction is not merely semantic. It is the core of this Article's argument. CRT could not make that distinction clearly. It could not say "you have attacked our pedagogy, not our theory" because the field had made it structurally impossible to separate its pedagogy from its theory. This is defensive fragility: the condition in which an attack on any one register of a field's work becomes an attack on all, because the field has no shared vocabulary for insisting on the distinction.</w:t>
      </w:r>
    </w:p>
    <w:p w14:paraId="5A986FE7" w14:textId="77777777" w:rsidR="00843CA5" w:rsidRDefault="006749D5">
      <w:pPr>
        <w:spacing w:line="480" w:lineRule="auto"/>
        <w:ind w:firstLine="720"/>
        <w:jc w:val="both"/>
      </w:pPr>
      <w:r>
        <w:rPr>
          <w:sz w:val="24"/>
          <w:szCs w:val="24"/>
        </w:rPr>
        <w:lastRenderedPageBreak/>
        <w:t>The question legal scholars have not adequately asked is why the campaign worked as well as it did against a field with decades of sophisticated scholarship behind it. The answer, this Article argues, is methodological. CRT was defeated in the popular register not by the quality of the arguments against it but by a structural vulnerability the field had built into itself: the deliberate refusal to distinguish its theoretical claims from its empirical research, its doctrinal proposals, and its advocacy. I ca</w:t>
      </w:r>
      <w:r>
        <w:rPr>
          <w:sz w:val="24"/>
          <w:szCs w:val="24"/>
        </w:rPr>
        <w:t>ll this underdifferentiation. Its consequence is defensive fragility: the condition in which an attack on any one register becomes an attack on all, because the field has no shared vocabulary for insisting on the distinctions.</w:t>
      </w:r>
      <w:r>
        <w:rPr>
          <w:rStyle w:val="FootnoteReference"/>
        </w:rPr>
        <w:footnoteReference w:id="3"/>
      </w:r>
    </w:p>
    <w:p w14:paraId="2509CD9B" w14:textId="77777777" w:rsidR="00843CA5" w:rsidRDefault="006749D5">
      <w:pPr>
        <w:spacing w:line="480" w:lineRule="auto"/>
        <w:ind w:firstLine="720"/>
        <w:jc w:val="both"/>
      </w:pPr>
      <w:r>
        <w:rPr>
          <w:sz w:val="24"/>
          <w:szCs w:val="24"/>
        </w:rPr>
        <w:t>CRT made the choice against methodological differentiation for principled reasons, and those reasons deserve serious examination. The critique of objectivity was central to CRT's founding insight, and Miranda Fricker's account of epistemic injustice provides the philosophical vocabulary to establish why the critique was correct. But rejecting false neutrality is not the same as rejecting methodological differentiation altogether. The conflation of those two moves is where defensive fragility took root.</w:t>
      </w:r>
    </w:p>
    <w:p w14:paraId="0421813D" w14:textId="77777777" w:rsidR="00843CA5" w:rsidRDefault="006749D5">
      <w:pPr>
        <w:spacing w:line="480" w:lineRule="auto"/>
        <w:ind w:firstLine="720"/>
        <w:jc w:val="both"/>
      </w:pPr>
      <w:r>
        <w:rPr>
          <w:sz w:val="24"/>
          <w:szCs w:val="24"/>
        </w:rPr>
        <w:t xml:space="preserve">This Article proceeds as follows. Part I examines CRT's origins and the founding commitment against methodological differentiation. Part II maps the five Aristotelian registers of CRT's work -- episteme, </w:t>
      </w:r>
      <w:proofErr w:type="spellStart"/>
      <w:r>
        <w:rPr>
          <w:sz w:val="24"/>
          <w:szCs w:val="24"/>
        </w:rPr>
        <w:t>historia</w:t>
      </w:r>
      <w:proofErr w:type="spellEnd"/>
      <w:r>
        <w:rPr>
          <w:sz w:val="24"/>
          <w:szCs w:val="24"/>
        </w:rPr>
        <w:t xml:space="preserve">, techne, phronesis, and </w:t>
      </w:r>
      <w:proofErr w:type="spellStart"/>
      <w:r>
        <w:rPr>
          <w:sz w:val="24"/>
          <w:szCs w:val="24"/>
        </w:rPr>
        <w:t>sophia</w:t>
      </w:r>
      <w:proofErr w:type="spellEnd"/>
      <w:r>
        <w:rPr>
          <w:sz w:val="24"/>
          <w:szCs w:val="24"/>
        </w:rPr>
        <w:t xml:space="preserve"> -- showing how each developed and how they became entangled. Part III analyzes the underdifferentiation problem, its structural consequences, and the principled argument against differentiation that CRT's founders made and that this Article takes seriously. Part IV examines the anti-CRT campaign as an exercise in </w:t>
      </w:r>
      <w:r>
        <w:rPr>
          <w:sz w:val="24"/>
          <w:szCs w:val="24"/>
        </w:rPr>
        <w:lastRenderedPageBreak/>
        <w:t xml:space="preserve">exploiting defensive fragility and recasts the counterfactual in structural terms. Part V draws the lesson for law and antisemitism, which now stands at the </w:t>
      </w:r>
      <w:r>
        <w:rPr>
          <w:sz w:val="24"/>
          <w:szCs w:val="24"/>
        </w:rPr>
        <w:t>same inflection point.</w:t>
      </w:r>
    </w:p>
    <w:p w14:paraId="1467B10B" w14:textId="77777777" w:rsidR="00843CA5" w:rsidRDefault="006749D5">
      <w:pPr>
        <w:spacing w:before="480" w:after="240" w:line="480" w:lineRule="auto"/>
      </w:pPr>
      <w:r>
        <w:rPr>
          <w:b/>
          <w:bCs/>
          <w:sz w:val="24"/>
          <w:szCs w:val="24"/>
        </w:rPr>
        <w:t>I.  CRT'S ORIGINS AND THE CHOICE AGAINST DIFFERENTIATION</w:t>
      </w:r>
    </w:p>
    <w:p w14:paraId="68FFA918" w14:textId="77777777" w:rsidR="00843CA5" w:rsidRDefault="006749D5">
      <w:pPr>
        <w:spacing w:line="480" w:lineRule="auto"/>
        <w:ind w:firstLine="720"/>
        <w:jc w:val="both"/>
      </w:pPr>
      <w:r>
        <w:rPr>
          <w:sz w:val="24"/>
          <w:szCs w:val="24"/>
        </w:rPr>
        <w:t>CRT's methodological choices were not accidents. They were arguments. Understanding defensive fragility requires understanding the institutional context in which those arguments were made and the principled reasons the founding generation gave for making them.</w:t>
      </w:r>
    </w:p>
    <w:p w14:paraId="3306DD1B" w14:textId="77777777" w:rsidR="00843CA5" w:rsidRDefault="006749D5">
      <w:pPr>
        <w:spacing w:before="360" w:after="120" w:line="480" w:lineRule="auto"/>
        <w:ind w:firstLine="720"/>
      </w:pPr>
      <w:r>
        <w:rPr>
          <w:b/>
          <w:bCs/>
          <w:i/>
          <w:iCs/>
          <w:sz w:val="24"/>
          <w:szCs w:val="24"/>
        </w:rPr>
        <w:t>A.  Founding Conditions</w:t>
      </w:r>
    </w:p>
    <w:p w14:paraId="295D110D" w14:textId="77777777" w:rsidR="00843CA5" w:rsidRDefault="006749D5">
      <w:pPr>
        <w:spacing w:line="480" w:lineRule="auto"/>
        <w:ind w:firstLine="720"/>
        <w:jc w:val="both"/>
      </w:pPr>
      <w:r>
        <w:rPr>
          <w:sz w:val="24"/>
          <w:szCs w:val="24"/>
        </w:rPr>
        <w:t>Critical race theory did not begin as a theory. It began as a response.</w:t>
      </w:r>
    </w:p>
    <w:p w14:paraId="7263FB0F" w14:textId="77777777" w:rsidR="00843CA5" w:rsidRDefault="006749D5">
      <w:pPr>
        <w:spacing w:line="480" w:lineRule="auto"/>
        <w:ind w:firstLine="720"/>
        <w:jc w:val="both"/>
      </w:pPr>
      <w:r>
        <w:rPr>
          <w:sz w:val="24"/>
          <w:szCs w:val="24"/>
        </w:rPr>
        <w:t>In 1981, Kimberlé Crenshaw organized a student boycott at Harvard Law School. Derrick Bell -- the first Black professor to receive tenure at Harvard -- had taken a leave of absence, and the law school proposed to replace his civil rights law course with a rotating set of white professors. The students refused. They organized their own course, recruiting visiting scholars from across the country to teach a curriculum centered on race and law from a perspective Harvard's faculty was unwilling to provide. That</w:t>
      </w:r>
      <w:r>
        <w:rPr>
          <w:sz w:val="24"/>
          <w:szCs w:val="24"/>
        </w:rPr>
        <w:t xml:space="preserve"> curriculum became the nucleus around which critical race theory formed.</w:t>
      </w:r>
    </w:p>
    <w:p w14:paraId="00A35867" w14:textId="77777777" w:rsidR="00843CA5" w:rsidRDefault="006749D5">
      <w:pPr>
        <w:spacing w:line="480" w:lineRule="auto"/>
        <w:ind w:firstLine="720"/>
        <w:jc w:val="both"/>
      </w:pPr>
      <w:r>
        <w:rPr>
          <w:sz w:val="24"/>
          <w:szCs w:val="24"/>
        </w:rPr>
        <w:t xml:space="preserve">The context matters. CRT emerged from a failure of institutional inclusion. Its founders were scholars who had experienced, firsthand, the capacity of academic institutions to marginalize perspectives on race even while formally endorsing diversity. They had also watched the critical legal studies movement challenge the formalist pretensions of legal scholarship with considerable intellectual force while failing to produce a sustained analysis of racial subordination. CLS </w:t>
      </w:r>
      <w:r>
        <w:rPr>
          <w:sz w:val="24"/>
          <w:szCs w:val="24"/>
        </w:rPr>
        <w:lastRenderedPageBreak/>
        <w:t>scholars, the CRT founders believed, had overlooked race in ways that reproduced the blind spots of the liberal tradition they were critiquing.</w:t>
      </w:r>
    </w:p>
    <w:p w14:paraId="158314C1" w14:textId="77777777" w:rsidR="00843CA5" w:rsidRDefault="006749D5">
      <w:pPr>
        <w:spacing w:line="480" w:lineRule="auto"/>
        <w:ind w:firstLine="720"/>
        <w:jc w:val="both"/>
      </w:pPr>
      <w:r>
        <w:rPr>
          <w:sz w:val="24"/>
          <w:szCs w:val="24"/>
        </w:rPr>
        <w:t>This founding experience shaped the field's methodological commitments in ways that are often underappreciated. CRT's scholars were not naive about what methodological choices meant institutionally. They had watched Black perspectives excluded from "neutral" legal curricula. They had watched CLS ignore race in the name of class analysis. When CRT scholars chose to resist methodological differentiation, they were not making an innocent epistemological choice. They were making a strategic one, and they said s</w:t>
      </w:r>
      <w:r>
        <w:rPr>
          <w:sz w:val="24"/>
          <w:szCs w:val="24"/>
        </w:rPr>
        <w:t>o explicitly.</w:t>
      </w:r>
    </w:p>
    <w:p w14:paraId="60BFDF78" w14:textId="77777777" w:rsidR="00843CA5" w:rsidRDefault="006749D5">
      <w:pPr>
        <w:spacing w:before="360" w:after="120" w:line="480" w:lineRule="auto"/>
        <w:ind w:firstLine="720"/>
      </w:pPr>
      <w:r>
        <w:rPr>
          <w:b/>
          <w:bCs/>
          <w:i/>
          <w:iCs/>
          <w:sz w:val="24"/>
          <w:szCs w:val="24"/>
        </w:rPr>
        <w:t>B.  The Explicit Choice Against Differentiation</w:t>
      </w:r>
    </w:p>
    <w:p w14:paraId="3BECDC24" w14:textId="77777777" w:rsidR="00843CA5" w:rsidRDefault="006749D5">
      <w:pPr>
        <w:spacing w:line="480" w:lineRule="auto"/>
        <w:ind w:firstLine="720"/>
        <w:jc w:val="both"/>
      </w:pPr>
      <w:r>
        <w:rPr>
          <w:sz w:val="24"/>
          <w:szCs w:val="24"/>
        </w:rPr>
        <w:t>The founding generation of CRT scholars did not stumble into underdifferentiation. They argued for it.</w:t>
      </w:r>
      <w:r>
        <w:rPr>
          <w:rStyle w:val="FootnoteReference"/>
        </w:rPr>
        <w:footnoteReference w:id="4"/>
      </w:r>
    </w:p>
    <w:p w14:paraId="08C635A3" w14:textId="77777777" w:rsidR="00843CA5" w:rsidRDefault="006749D5">
      <w:pPr>
        <w:spacing w:line="480" w:lineRule="auto"/>
        <w:ind w:firstLine="720"/>
        <w:jc w:val="both"/>
      </w:pPr>
      <w:r>
        <w:rPr>
          <w:sz w:val="24"/>
          <w:szCs w:val="24"/>
        </w:rPr>
        <w:t xml:space="preserve">The methodological manifesto of the movement, if it has one, is the introduction to the 1995 anthology </w:t>
      </w:r>
      <w:r>
        <w:rPr>
          <w:i/>
          <w:iCs/>
          <w:sz w:val="24"/>
          <w:szCs w:val="24"/>
        </w:rPr>
        <w:t>Critical Race Theory: The Key Writings That Formed the Movement</w:t>
      </w:r>
      <w:r>
        <w:rPr>
          <w:sz w:val="24"/>
          <w:szCs w:val="24"/>
        </w:rPr>
        <w:t>, edited by Crenshaw, Gotanda, Peller, and Thomas. The editors describe CRT as united not by a single theory or method but by a "commitment to an understanding of racial inequality as structural and systemic rather than individual and aberrational" and by a willingness to "work toward the elimination of racial oppression as part of the broader goal of ending all forms of oppression."</w:t>
      </w:r>
      <w:r>
        <w:rPr>
          <w:rStyle w:val="FootnoteReference"/>
        </w:rPr>
        <w:footnoteReference w:id="5"/>
      </w:r>
      <w:r>
        <w:rPr>
          <w:sz w:val="24"/>
          <w:szCs w:val="24"/>
        </w:rPr>
        <w:t xml:space="preserve"> The field was defined as much by its normative commitments as by its theoretical propositions. That was a deliberate move.</w:t>
      </w:r>
    </w:p>
    <w:p w14:paraId="3704588D" w14:textId="77777777" w:rsidR="00843CA5" w:rsidRDefault="006749D5">
      <w:pPr>
        <w:spacing w:line="480" w:lineRule="auto"/>
        <w:ind w:firstLine="720"/>
        <w:jc w:val="both"/>
      </w:pPr>
      <w:r>
        <w:rPr>
          <w:sz w:val="24"/>
          <w:szCs w:val="24"/>
        </w:rPr>
        <w:lastRenderedPageBreak/>
        <w:t>Richard Delgado and Jean Stefancic described the field's methodology as including "</w:t>
      </w:r>
      <w:proofErr w:type="spellStart"/>
      <w:r>
        <w:rPr>
          <w:sz w:val="24"/>
          <w:szCs w:val="24"/>
        </w:rPr>
        <w:t>counterstorytelling</w:t>
      </w:r>
      <w:proofErr w:type="spellEnd"/>
      <w:r>
        <w:rPr>
          <w:sz w:val="24"/>
          <w:szCs w:val="24"/>
        </w:rPr>
        <w:t>" -- the use of personal narrative and fictional accounts as vehicles for legal argument. The rationale was epistemological: majoritarian legal scholarship systematically excludes the experiential knowledge of those whom law subordinates, and that exclusion is itself a form of intellectual subordination.</w:t>
      </w:r>
      <w:r>
        <w:rPr>
          <w:rStyle w:val="FootnoteReference"/>
        </w:rPr>
        <w:footnoteReference w:id="6"/>
      </w:r>
      <w:r>
        <w:rPr>
          <w:sz w:val="24"/>
          <w:szCs w:val="24"/>
        </w:rPr>
        <w:t xml:space="preserve"> Mari Matsuda, in her foundational 1987 article, proposed that legal scholars ask what the law looks like "from the bottom" -- from the perspective of the historically marginalized. She argued that this perspective was not merely politically sympathetic but epistemically superior.</w:t>
      </w:r>
      <w:r>
        <w:rPr>
          <w:rStyle w:val="FootnoteReference"/>
        </w:rPr>
        <w:footnoteReference w:id="7"/>
      </w:r>
    </w:p>
    <w:p w14:paraId="3CC5E4C0" w14:textId="77777777" w:rsidR="00843CA5" w:rsidRDefault="006749D5">
      <w:pPr>
        <w:spacing w:line="480" w:lineRule="auto"/>
        <w:ind w:firstLine="720"/>
        <w:jc w:val="both"/>
      </w:pPr>
      <w:r>
        <w:rPr>
          <w:sz w:val="24"/>
          <w:szCs w:val="24"/>
        </w:rPr>
        <w:t>These methodological commitments were not errors. They were grounded in serious philosophy of knowledge and in a correct diagnosis of a genuine problem in legal scholarship. But they had a structural consequence that the founding generation did not fully reckon with. If personal narrative is simultaneously data, theory, and advocacy, then an attack on the narrative is simultaneously an attack on the data, the theory, and the advocacy. No one can say, when the narrative is challenged, "you have only attacked</w:t>
      </w:r>
      <w:r>
        <w:rPr>
          <w:sz w:val="24"/>
          <w:szCs w:val="24"/>
        </w:rPr>
        <w:t xml:space="preserve"> our advocacy, not our theory." The methodology precluded that defense.</w:t>
      </w:r>
    </w:p>
    <w:p w14:paraId="0EE57730" w14:textId="77777777" w:rsidR="00843CA5" w:rsidRDefault="006749D5">
      <w:pPr>
        <w:spacing w:before="480" w:after="240" w:line="480" w:lineRule="auto"/>
      </w:pPr>
      <w:r>
        <w:rPr>
          <w:b/>
          <w:bCs/>
          <w:sz w:val="24"/>
          <w:szCs w:val="24"/>
        </w:rPr>
        <w:t>II.  THE FIVE REGISTERS OF CRT'S WORK</w:t>
      </w:r>
    </w:p>
    <w:p w14:paraId="141A3353" w14:textId="77777777" w:rsidR="00843CA5" w:rsidRDefault="006749D5">
      <w:pPr>
        <w:spacing w:line="480" w:lineRule="auto"/>
        <w:ind w:firstLine="720"/>
        <w:jc w:val="both"/>
      </w:pPr>
      <w:r>
        <w:rPr>
          <w:sz w:val="24"/>
          <w:szCs w:val="24"/>
        </w:rPr>
        <w:t xml:space="preserve">An Aristotelian taxonomy of knowledge illuminates how CRT's registers developed, how they became entangled, and what the field lost when the entanglement became its defining structural feature. The five registers are episteme, </w:t>
      </w:r>
      <w:proofErr w:type="spellStart"/>
      <w:r>
        <w:rPr>
          <w:sz w:val="24"/>
          <w:szCs w:val="24"/>
        </w:rPr>
        <w:t>historia</w:t>
      </w:r>
      <w:proofErr w:type="spellEnd"/>
      <w:r>
        <w:rPr>
          <w:sz w:val="24"/>
          <w:szCs w:val="24"/>
        </w:rPr>
        <w:t xml:space="preserve">, techne, phronesis, and </w:t>
      </w:r>
      <w:proofErr w:type="spellStart"/>
      <w:r>
        <w:rPr>
          <w:sz w:val="24"/>
          <w:szCs w:val="24"/>
        </w:rPr>
        <w:t>sophia</w:t>
      </w:r>
      <w:proofErr w:type="spellEnd"/>
      <w:r>
        <w:rPr>
          <w:sz w:val="24"/>
          <w:szCs w:val="24"/>
        </w:rPr>
        <w:t xml:space="preserve">. Each represents a distinct mode of intellectual activity with distinct standards of evaluation. CRT </w:t>
      </w:r>
      <w:r>
        <w:rPr>
          <w:sz w:val="24"/>
          <w:szCs w:val="24"/>
        </w:rPr>
        <w:lastRenderedPageBreak/>
        <w:t>produced distinguished work in all five. It produced no methodology for distinguishing among them.</w:t>
      </w:r>
    </w:p>
    <w:p w14:paraId="4C2FA42F" w14:textId="77777777" w:rsidR="00843CA5" w:rsidRDefault="006749D5">
      <w:pPr>
        <w:spacing w:before="360" w:after="120" w:line="480" w:lineRule="auto"/>
        <w:ind w:firstLine="720"/>
      </w:pPr>
      <w:r>
        <w:rPr>
          <w:b/>
          <w:bCs/>
          <w:i/>
          <w:iCs/>
          <w:sz w:val="24"/>
          <w:szCs w:val="24"/>
        </w:rPr>
        <w:t>A.  Episteme: Theoretical Claims</w:t>
      </w:r>
    </w:p>
    <w:p w14:paraId="5ABA7F48" w14:textId="77777777" w:rsidR="00843CA5" w:rsidRDefault="006749D5">
      <w:pPr>
        <w:spacing w:line="480" w:lineRule="auto"/>
        <w:ind w:firstLine="720"/>
        <w:jc w:val="both"/>
      </w:pPr>
      <w:r>
        <w:rPr>
          <w:sz w:val="24"/>
          <w:szCs w:val="24"/>
        </w:rPr>
        <w:t>Episteme -- theoretical knowledge aimed at universal principles -- appears in CRT in its most rigorous, analytically separable form. Bell's interest-convergence thesis, published in a 1980 Harvard Law Review article, is the clearest example.</w:t>
      </w:r>
      <w:r>
        <w:rPr>
          <w:rStyle w:val="FootnoteReference"/>
        </w:rPr>
        <w:footnoteReference w:id="8"/>
      </w:r>
      <w:r>
        <w:rPr>
          <w:sz w:val="24"/>
          <w:szCs w:val="24"/>
        </w:rPr>
        <w:t xml:space="preserve"> Bell argued that Black civil rights advances occur only when they converge with the interests of white Americans and white institutional elites. The thesis is falsifiable, has generated substantial empirical and historical scholarship, and has been contested on both methodological and substantive grounds. It is theoretical in the Aristotelian sense: it aims at a universal principle about how law operates with respect to race across cases, jurisdictions, and historical periods.</w:t>
      </w:r>
    </w:p>
    <w:p w14:paraId="3FB1CFB0" w14:textId="77777777" w:rsidR="00843CA5" w:rsidRDefault="006749D5">
      <w:pPr>
        <w:spacing w:line="480" w:lineRule="auto"/>
        <w:ind w:firstLine="720"/>
        <w:jc w:val="both"/>
      </w:pPr>
      <w:r>
        <w:rPr>
          <w:sz w:val="24"/>
          <w:szCs w:val="24"/>
        </w:rPr>
        <w:t>Crenshaw's intersectionality framework, developed in her 1989 and 1991 Stanford Law Review articles, is a theoretical proposition about how multiple systems of subordination interact.</w:t>
      </w:r>
      <w:r>
        <w:rPr>
          <w:rStyle w:val="FootnoteReference"/>
        </w:rPr>
        <w:footnoteReference w:id="9"/>
      </w:r>
      <w:r>
        <w:rPr>
          <w:rStyle w:val="FootnoteReference"/>
        </w:rPr>
        <w:footnoteReference w:id="10"/>
      </w:r>
      <w:r>
        <w:rPr>
          <w:sz w:val="24"/>
          <w:szCs w:val="24"/>
        </w:rPr>
        <w:t xml:space="preserve"> It is not an advocacy position. It is an analytical claim about the structure of discrimination. Intersectionality has been adopted as a methodological framework in sociology, public health, political science, and organizational behavior -- not because of its political valence, but because of its analytical precision.</w:t>
      </w:r>
    </w:p>
    <w:p w14:paraId="2379674F" w14:textId="77777777" w:rsidR="00843CA5" w:rsidRDefault="006749D5">
      <w:pPr>
        <w:spacing w:line="480" w:lineRule="auto"/>
        <w:ind w:firstLine="720"/>
        <w:jc w:val="both"/>
      </w:pPr>
      <w:r>
        <w:rPr>
          <w:sz w:val="24"/>
          <w:szCs w:val="24"/>
        </w:rPr>
        <w:t xml:space="preserve">What happened in CRT is that these theoretical contributions were not consistently claimed as theory. They were presented alongside counter-stories, personal narratives, and advocacy positions as part of a unified field without methodological markers distinguishing one kind of work </w:t>
      </w:r>
      <w:r>
        <w:rPr>
          <w:sz w:val="24"/>
          <w:szCs w:val="24"/>
        </w:rPr>
        <w:lastRenderedPageBreak/>
        <w:t>from another. When a critic attacked a CRT narrative as biased, defenders found themselves defending it as theory. When the theory was attacked as biased, defenders found themselves defending it as experience. The registers collapsed into each other.</w:t>
      </w:r>
    </w:p>
    <w:p w14:paraId="037D0969" w14:textId="77777777" w:rsidR="00843CA5" w:rsidRDefault="006749D5">
      <w:pPr>
        <w:spacing w:before="360" w:after="120" w:line="480" w:lineRule="auto"/>
        <w:ind w:firstLine="720"/>
      </w:pPr>
      <w:r>
        <w:rPr>
          <w:b/>
          <w:bCs/>
          <w:i/>
          <w:iCs/>
          <w:sz w:val="24"/>
          <w:szCs w:val="24"/>
        </w:rPr>
        <w:t>B.  Historia: Empirical Investigation</w:t>
      </w:r>
    </w:p>
    <w:p w14:paraId="6EDEAE19" w14:textId="77777777" w:rsidR="00843CA5" w:rsidRDefault="006749D5">
      <w:pPr>
        <w:spacing w:line="480" w:lineRule="auto"/>
        <w:ind w:firstLine="720"/>
        <w:jc w:val="both"/>
      </w:pPr>
      <w:r>
        <w:rPr>
          <w:sz w:val="24"/>
          <w:szCs w:val="24"/>
        </w:rPr>
        <w:t xml:space="preserve">Historia -- empirical investigation of </w:t>
      </w:r>
      <w:proofErr w:type="gramStart"/>
      <w:r>
        <w:rPr>
          <w:sz w:val="24"/>
          <w:szCs w:val="24"/>
        </w:rPr>
        <w:t>particular cases</w:t>
      </w:r>
      <w:proofErr w:type="gramEnd"/>
      <w:r>
        <w:rPr>
          <w:sz w:val="24"/>
          <w:szCs w:val="24"/>
        </w:rPr>
        <w:t xml:space="preserve"> -- appears in CRT in its historical and sociological scholarship on how law has operated to construct and maintain racial hierarchy. Cheryl Harris's 1993 Harvard Law Review article, "Whiteness as Property," is an exercise in </w:t>
      </w:r>
      <w:proofErr w:type="spellStart"/>
      <w:r>
        <w:rPr>
          <w:sz w:val="24"/>
          <w:szCs w:val="24"/>
        </w:rPr>
        <w:t>historia</w:t>
      </w:r>
      <w:proofErr w:type="spellEnd"/>
      <w:r>
        <w:rPr>
          <w:sz w:val="24"/>
          <w:szCs w:val="24"/>
        </w:rPr>
        <w:t>.</w:t>
      </w:r>
      <w:r>
        <w:rPr>
          <w:rStyle w:val="FootnoteReference"/>
        </w:rPr>
        <w:footnoteReference w:id="11"/>
      </w:r>
      <w:r>
        <w:rPr>
          <w:sz w:val="24"/>
          <w:szCs w:val="24"/>
        </w:rPr>
        <w:t xml:space="preserve"> Harris documented the historical construction of whiteness as a legal category with property-like attributes -- a category that conferred enforceable entitlements against competition from non-white persons. The article investigates </w:t>
      </w:r>
      <w:proofErr w:type="gramStart"/>
      <w:r>
        <w:rPr>
          <w:sz w:val="24"/>
          <w:szCs w:val="24"/>
        </w:rPr>
        <w:t>particular cases</w:t>
      </w:r>
      <w:proofErr w:type="gramEnd"/>
      <w:r>
        <w:rPr>
          <w:sz w:val="24"/>
          <w:szCs w:val="24"/>
        </w:rPr>
        <w:t>, doctrines, and historical events. It is subject to empirical standards: accuracy of historical description, adequacy of evidence, reliability of inference.</w:t>
      </w:r>
    </w:p>
    <w:p w14:paraId="6FC9F4AF" w14:textId="77777777" w:rsidR="00843CA5" w:rsidRDefault="006749D5">
      <w:pPr>
        <w:spacing w:line="480" w:lineRule="auto"/>
        <w:ind w:firstLine="720"/>
        <w:jc w:val="both"/>
      </w:pPr>
      <w:r>
        <w:rPr>
          <w:sz w:val="24"/>
          <w:szCs w:val="24"/>
        </w:rPr>
        <w:t>These are legitimate empirical contributions, and they are also highly contested. CRT scholars, having rejected conventional standards of objectivity, were sometimes reluctant to subject their empirical claims to conventional standards of verification. This produced a structural problem. When empirical findings were challenged, the challenge could be deflected by arguing that the critic's "objective" standards were themselves ideologically loaded. That defense may sometimes be correct. But as a general matt</w:t>
      </w:r>
      <w:r>
        <w:rPr>
          <w:sz w:val="24"/>
          <w:szCs w:val="24"/>
        </w:rPr>
        <w:t>er, it makes empirical claims structurally unfalsifiable. An empirical claim that cannot be tested against evidence has ceased to function as empirical work.</w:t>
      </w:r>
    </w:p>
    <w:p w14:paraId="31BCC44D" w14:textId="77777777" w:rsidR="00843CA5" w:rsidRDefault="006749D5">
      <w:pPr>
        <w:spacing w:before="360" w:after="120" w:line="480" w:lineRule="auto"/>
        <w:ind w:firstLine="720"/>
      </w:pPr>
      <w:r>
        <w:rPr>
          <w:b/>
          <w:bCs/>
          <w:i/>
          <w:iCs/>
          <w:sz w:val="24"/>
          <w:szCs w:val="24"/>
        </w:rPr>
        <w:t>C.  Techne: Doctrinal Contributions</w:t>
      </w:r>
    </w:p>
    <w:p w14:paraId="31C39903" w14:textId="77777777" w:rsidR="00843CA5" w:rsidRDefault="006749D5">
      <w:pPr>
        <w:spacing w:line="480" w:lineRule="auto"/>
        <w:ind w:firstLine="720"/>
        <w:jc w:val="both"/>
      </w:pPr>
      <w:r>
        <w:rPr>
          <w:sz w:val="24"/>
          <w:szCs w:val="24"/>
        </w:rPr>
        <w:lastRenderedPageBreak/>
        <w:t xml:space="preserve">Techne -- practical knowledge directed toward making something -- appears in CRT in its doctrinal scholarship: proposals for how law should be reformed to address racial subordination. Charles Lawrence III's influential 1987 article argued that the discriminatory purpose requirement under the Equal Protection Clause, established in </w:t>
      </w:r>
      <w:r>
        <w:rPr>
          <w:i/>
          <w:iCs/>
          <w:sz w:val="24"/>
          <w:szCs w:val="24"/>
        </w:rPr>
        <w:t>Washington v. Davis</w:t>
      </w:r>
      <w:r>
        <w:rPr>
          <w:sz w:val="24"/>
          <w:szCs w:val="24"/>
        </w:rPr>
        <w:t>,</w:t>
      </w:r>
      <w:r>
        <w:rPr>
          <w:rStyle w:val="FootnoteReference"/>
        </w:rPr>
        <w:footnoteReference w:id="12"/>
      </w:r>
      <w:r>
        <w:rPr>
          <w:sz w:val="24"/>
          <w:szCs w:val="24"/>
        </w:rPr>
        <w:t xml:space="preserve"> was inadequate to address unconscious racial bias, and proposed a cultural meaning test.</w:t>
      </w:r>
      <w:r>
        <w:rPr>
          <w:rStyle w:val="FootnoteReference"/>
        </w:rPr>
        <w:footnoteReference w:id="13"/>
      </w:r>
      <w:r>
        <w:rPr>
          <w:sz w:val="24"/>
          <w:szCs w:val="24"/>
        </w:rPr>
        <w:t xml:space="preserve"> Matsuda, Delgado, and Lawrence collaborated on proposals for campus hate speech regulation that shaped one of the most contentious areas of First Amendment law in the 1990s.</w:t>
      </w:r>
    </w:p>
    <w:p w14:paraId="37D1D62A" w14:textId="77777777" w:rsidR="00843CA5" w:rsidRDefault="006749D5">
      <w:pPr>
        <w:spacing w:line="480" w:lineRule="auto"/>
        <w:ind w:firstLine="720"/>
        <w:jc w:val="both"/>
      </w:pPr>
      <w:r>
        <w:rPr>
          <w:sz w:val="24"/>
          <w:szCs w:val="24"/>
        </w:rPr>
        <w:t>These are technical proposals in the Aristotelian sense -- aimed at producing revised legal doctrine or proposed legislation that could be deployed in real legal contexts. They should be evaluated by the standards appropriate to technical work: doctrinal fit, functional efficacy, institutional feasibility. What happened, again, is that these proposals were not consistently evaluated by those standards. When opponents argued that CRT's hate speech regulations violated the First Amendment, CRT scholars someti</w:t>
      </w:r>
      <w:r>
        <w:rPr>
          <w:sz w:val="24"/>
          <w:szCs w:val="24"/>
        </w:rPr>
        <w:t xml:space="preserve">mes responded not with doctrinal </w:t>
      </w:r>
      <w:proofErr w:type="gramStart"/>
      <w:r>
        <w:rPr>
          <w:sz w:val="24"/>
          <w:szCs w:val="24"/>
        </w:rPr>
        <w:t>counter-argument</w:t>
      </w:r>
      <w:proofErr w:type="gramEnd"/>
      <w:r>
        <w:rPr>
          <w:sz w:val="24"/>
          <w:szCs w:val="24"/>
        </w:rPr>
        <w:t xml:space="preserve"> but with epistemological challenge: your First Amendment framework is itself a product of racial hierarchy. That may be true. It is not a doctrinal response. The inability to maintain a consistent doctrinal register left CRT's practical proposals vulnerable.</w:t>
      </w:r>
    </w:p>
    <w:p w14:paraId="0811ED71" w14:textId="77777777" w:rsidR="00843CA5" w:rsidRDefault="006749D5">
      <w:pPr>
        <w:spacing w:before="360" w:after="120" w:line="480" w:lineRule="auto"/>
        <w:ind w:firstLine="720"/>
      </w:pPr>
      <w:r>
        <w:rPr>
          <w:b/>
          <w:bCs/>
          <w:i/>
          <w:iCs/>
          <w:sz w:val="24"/>
          <w:szCs w:val="24"/>
        </w:rPr>
        <w:t>D.  Phronesis: Advocacy and Counter-Storytelling</w:t>
      </w:r>
    </w:p>
    <w:p w14:paraId="32CEB5E8" w14:textId="77777777" w:rsidR="00843CA5" w:rsidRDefault="006749D5">
      <w:pPr>
        <w:spacing w:line="480" w:lineRule="auto"/>
        <w:ind w:firstLine="720"/>
        <w:jc w:val="both"/>
      </w:pPr>
      <w:r>
        <w:rPr>
          <w:sz w:val="24"/>
          <w:szCs w:val="24"/>
        </w:rPr>
        <w:t xml:space="preserve">Phronesis -- practical wisdom directed toward action in particular contexts -- appears in CRT most visibly in its counter-storytelling methodology and its explicit advocacy for legislative and policy reform. Patricia Williams' </w:t>
      </w:r>
      <w:r>
        <w:rPr>
          <w:i/>
          <w:iCs/>
          <w:sz w:val="24"/>
          <w:szCs w:val="24"/>
        </w:rPr>
        <w:t>The Alchemy of Race and Rights</w:t>
      </w:r>
      <w:r>
        <w:rPr>
          <w:sz w:val="24"/>
          <w:szCs w:val="24"/>
        </w:rPr>
        <w:t xml:space="preserve"> (1991) is the exemplary </w:t>
      </w:r>
      <w:r>
        <w:rPr>
          <w:sz w:val="24"/>
          <w:szCs w:val="24"/>
        </w:rPr>
        <w:lastRenderedPageBreak/>
        <w:t>text.</w:t>
      </w:r>
      <w:r>
        <w:rPr>
          <w:rStyle w:val="FootnoteReference"/>
        </w:rPr>
        <w:footnoteReference w:id="14"/>
      </w:r>
      <w:r>
        <w:rPr>
          <w:sz w:val="24"/>
          <w:szCs w:val="24"/>
        </w:rPr>
        <w:t xml:space="preserve"> Williams combined personal narrative, doctrinal analysis, theoretical reflection, and advocacy in a form that was explicitly designed to resist generic categorization. The book is one of the most original contributions to legal literature of the late twentieth century.</w:t>
      </w:r>
    </w:p>
    <w:p w14:paraId="3F25656A" w14:textId="77777777" w:rsidR="00843CA5" w:rsidRDefault="006749D5">
      <w:pPr>
        <w:spacing w:line="480" w:lineRule="auto"/>
        <w:ind w:firstLine="720"/>
        <w:jc w:val="both"/>
      </w:pPr>
      <w:r>
        <w:rPr>
          <w:sz w:val="24"/>
          <w:szCs w:val="24"/>
        </w:rPr>
        <w:t>It is also the clearest illustration of the underdifferentiation problem. When critics attacked the book, what were they attacking? Personal narrative? Theoretical argument? Doctrinal proposal? Advocacy? All of them, because the text deliberately resists the distinctions. The same quality that makes the book intellectually radical makes it strategically vulnerable. There is no way to defend one part of it while conceding another, because the parts are not distinguished. Counter-storytelling as a method exte</w:t>
      </w:r>
      <w:r>
        <w:rPr>
          <w:sz w:val="24"/>
          <w:szCs w:val="24"/>
        </w:rPr>
        <w:t>nds this vulnerability across the field.</w:t>
      </w:r>
    </w:p>
    <w:p w14:paraId="18B06F13" w14:textId="77777777" w:rsidR="00843CA5" w:rsidRDefault="006749D5">
      <w:pPr>
        <w:spacing w:before="360" w:after="120" w:line="480" w:lineRule="auto"/>
        <w:ind w:firstLine="720"/>
      </w:pPr>
      <w:r>
        <w:rPr>
          <w:b/>
          <w:bCs/>
          <w:i/>
          <w:iCs/>
          <w:sz w:val="24"/>
          <w:szCs w:val="24"/>
        </w:rPr>
        <w:t>E.  Sophia: The Integrative Register</w:t>
      </w:r>
    </w:p>
    <w:p w14:paraId="43A1DE08" w14:textId="77777777" w:rsidR="00843CA5" w:rsidRDefault="006749D5">
      <w:pPr>
        <w:spacing w:line="480" w:lineRule="auto"/>
        <w:ind w:firstLine="720"/>
        <w:jc w:val="both"/>
      </w:pPr>
      <w:r>
        <w:rPr>
          <w:sz w:val="24"/>
          <w:szCs w:val="24"/>
        </w:rPr>
        <w:t>Sophia -- the integrative wisdom that synthesizes the other four registers in the work of a scholar or a scholarly community -- is the register that CRT scholars demonstrated individually but that the field never developed as a shared institutional resource.</w:t>
      </w:r>
    </w:p>
    <w:p w14:paraId="33CFA03D" w14:textId="77777777" w:rsidR="00843CA5" w:rsidRDefault="006749D5">
      <w:pPr>
        <w:spacing w:line="480" w:lineRule="auto"/>
        <w:ind w:firstLine="720"/>
        <w:jc w:val="both"/>
      </w:pPr>
      <w:r>
        <w:rPr>
          <w:sz w:val="24"/>
          <w:szCs w:val="24"/>
        </w:rPr>
        <w:t xml:space="preserve">Bell, Crenshaw, and Williams each exhibited </w:t>
      </w:r>
      <w:proofErr w:type="spellStart"/>
      <w:r>
        <w:rPr>
          <w:sz w:val="24"/>
          <w:szCs w:val="24"/>
        </w:rPr>
        <w:t>sophia</w:t>
      </w:r>
      <w:proofErr w:type="spellEnd"/>
      <w:r>
        <w:rPr>
          <w:sz w:val="24"/>
          <w:szCs w:val="24"/>
        </w:rPr>
        <w:t xml:space="preserve"> in their individual careers. Bell's interest-convergence thesis (episteme) was grounded in his empirical study of civil rights litigation (</w:t>
      </w:r>
      <w:proofErr w:type="spellStart"/>
      <w:r>
        <w:rPr>
          <w:sz w:val="24"/>
          <w:szCs w:val="24"/>
        </w:rPr>
        <w:t>historia</w:t>
      </w:r>
      <w:proofErr w:type="spellEnd"/>
      <w:r>
        <w:rPr>
          <w:sz w:val="24"/>
          <w:szCs w:val="24"/>
        </w:rPr>
        <w:t xml:space="preserve">), informed his doctrinal proposals for restructuring civil rights law (techne), and animated his advocacy for </w:t>
      </w:r>
      <w:proofErr w:type="gramStart"/>
      <w:r>
        <w:rPr>
          <w:sz w:val="24"/>
          <w:szCs w:val="24"/>
        </w:rPr>
        <w:t>particular reforms</w:t>
      </w:r>
      <w:proofErr w:type="gramEnd"/>
      <w:r>
        <w:rPr>
          <w:sz w:val="24"/>
          <w:szCs w:val="24"/>
        </w:rPr>
        <w:t xml:space="preserve"> (phronesis). These registers were integrated in the person of Bell and in the arc of his career. What the field did not develop was a shared vocabulary for identifying which register any </w:t>
      </w:r>
      <w:proofErr w:type="gramStart"/>
      <w:r>
        <w:rPr>
          <w:sz w:val="24"/>
          <w:szCs w:val="24"/>
        </w:rPr>
        <w:t>particular claim</w:t>
      </w:r>
      <w:proofErr w:type="gramEnd"/>
      <w:r>
        <w:rPr>
          <w:sz w:val="24"/>
          <w:szCs w:val="24"/>
        </w:rPr>
        <w:t xml:space="preserve"> occupied at any </w:t>
      </w:r>
      <w:proofErr w:type="gramStart"/>
      <w:r>
        <w:rPr>
          <w:sz w:val="24"/>
          <w:szCs w:val="24"/>
        </w:rPr>
        <w:t>particul</w:t>
      </w:r>
      <w:r>
        <w:rPr>
          <w:sz w:val="24"/>
          <w:szCs w:val="24"/>
        </w:rPr>
        <w:t>ar moment</w:t>
      </w:r>
      <w:proofErr w:type="gramEnd"/>
      <w:r>
        <w:rPr>
          <w:sz w:val="24"/>
          <w:szCs w:val="24"/>
        </w:rPr>
        <w:t xml:space="preserve">. The individual scholars had </w:t>
      </w:r>
      <w:proofErr w:type="spellStart"/>
      <w:r>
        <w:rPr>
          <w:sz w:val="24"/>
          <w:szCs w:val="24"/>
        </w:rPr>
        <w:t>sophia</w:t>
      </w:r>
      <w:proofErr w:type="spellEnd"/>
      <w:r>
        <w:rPr>
          <w:sz w:val="24"/>
          <w:szCs w:val="24"/>
        </w:rPr>
        <w:t>. The field lacked its institutional expression.</w:t>
      </w:r>
    </w:p>
    <w:p w14:paraId="3F431B01" w14:textId="77777777" w:rsidR="00843CA5" w:rsidRDefault="006749D5">
      <w:pPr>
        <w:spacing w:line="480" w:lineRule="auto"/>
        <w:ind w:firstLine="720"/>
        <w:jc w:val="both"/>
      </w:pPr>
      <w:r>
        <w:rPr>
          <w:sz w:val="24"/>
          <w:szCs w:val="24"/>
        </w:rPr>
        <w:lastRenderedPageBreak/>
        <w:t xml:space="preserve">This is the omission that made defensive fragility structural rather than incidental. A field that has developed </w:t>
      </w:r>
      <w:proofErr w:type="spellStart"/>
      <w:r>
        <w:rPr>
          <w:sz w:val="24"/>
          <w:szCs w:val="24"/>
        </w:rPr>
        <w:t>sophia</w:t>
      </w:r>
      <w:proofErr w:type="spellEnd"/>
      <w:r>
        <w:rPr>
          <w:sz w:val="24"/>
          <w:szCs w:val="24"/>
        </w:rPr>
        <w:t xml:space="preserve"> at the institutional level can say: "This claim is epistemic; evaluate it by epistemic standards. That claim is </w:t>
      </w:r>
      <w:proofErr w:type="spellStart"/>
      <w:r>
        <w:rPr>
          <w:sz w:val="24"/>
          <w:szCs w:val="24"/>
        </w:rPr>
        <w:t>phronetic</w:t>
      </w:r>
      <w:proofErr w:type="spellEnd"/>
      <w:r>
        <w:rPr>
          <w:sz w:val="24"/>
          <w:szCs w:val="24"/>
        </w:rPr>
        <w:t xml:space="preserve">; evaluate it by the standards appropriate to practical wisdom and advocacy." CRT could not say that. It had </w:t>
      </w:r>
      <w:proofErr w:type="spellStart"/>
      <w:r>
        <w:rPr>
          <w:sz w:val="24"/>
          <w:szCs w:val="24"/>
        </w:rPr>
        <w:t>sophia</w:t>
      </w:r>
      <w:proofErr w:type="spellEnd"/>
      <w:r>
        <w:rPr>
          <w:sz w:val="24"/>
          <w:szCs w:val="24"/>
        </w:rPr>
        <w:t xml:space="preserve"> in its individual voices but not in its collective methodology. The result was that the field's most integrative quality -- the capacity of its leading scholars to move fluidly across registers -- became, in the absence of a shared vocabulary, its most acute vulnerabi</w:t>
      </w:r>
      <w:r>
        <w:rPr>
          <w:sz w:val="24"/>
          <w:szCs w:val="24"/>
        </w:rPr>
        <w:t>lity.</w:t>
      </w:r>
    </w:p>
    <w:p w14:paraId="0C6FBCD9" w14:textId="77777777" w:rsidR="00843CA5" w:rsidRDefault="006749D5">
      <w:pPr>
        <w:spacing w:before="480" w:after="240" w:line="480" w:lineRule="auto"/>
      </w:pPr>
      <w:r>
        <w:rPr>
          <w:b/>
          <w:bCs/>
          <w:sz w:val="24"/>
          <w:szCs w:val="24"/>
        </w:rPr>
        <w:t>III.  THE UNDERDIFFERENTIATION PROBLEM AND ITS CONSEQUENCES</w:t>
      </w:r>
    </w:p>
    <w:p w14:paraId="35AC8F40" w14:textId="77777777" w:rsidR="00843CA5" w:rsidRDefault="006749D5">
      <w:pPr>
        <w:spacing w:line="480" w:lineRule="auto"/>
        <w:ind w:firstLine="720"/>
        <w:jc w:val="both"/>
      </w:pPr>
      <w:r>
        <w:rPr>
          <w:sz w:val="24"/>
          <w:szCs w:val="24"/>
        </w:rPr>
        <w:t>Defensive fragility does not emerge from weak ideas. It emerges from structural choices about how ideas are organized, labeled, and defended. This Part analyzes the principled argument CRT made against methodological differentiation, takes it seriously on its own terms, and then explains why it was insufficient -- not because it was wrong, but because it conflated two moves that were logically separable.</w:t>
      </w:r>
    </w:p>
    <w:p w14:paraId="3800497E" w14:textId="77777777" w:rsidR="00843CA5" w:rsidRDefault="006749D5">
      <w:pPr>
        <w:spacing w:before="360" w:after="120" w:line="480" w:lineRule="auto"/>
        <w:ind w:firstLine="720"/>
      </w:pPr>
      <w:r>
        <w:rPr>
          <w:b/>
          <w:bCs/>
          <w:i/>
          <w:iCs/>
          <w:sz w:val="24"/>
          <w:szCs w:val="24"/>
        </w:rPr>
        <w:t>A.  The Principled Case Against Differentiation and Why It Was Insufficient</w:t>
      </w:r>
    </w:p>
    <w:p w14:paraId="7E1025EF" w14:textId="77777777" w:rsidR="00843CA5" w:rsidRDefault="006749D5">
      <w:pPr>
        <w:spacing w:line="480" w:lineRule="auto"/>
        <w:ind w:firstLine="720"/>
        <w:jc w:val="both"/>
      </w:pPr>
      <w:r>
        <w:rPr>
          <w:sz w:val="24"/>
          <w:szCs w:val="24"/>
        </w:rPr>
        <w:t>The founding CRT scholars were not unaware of the risks of methodological underdifferentiation. They accepted those risks because they believed the alternatives were worse. Understanding why requires taking their epistemological argument seriously.</w:t>
      </w:r>
    </w:p>
    <w:p w14:paraId="4C8C46BF" w14:textId="77777777" w:rsidR="00843CA5" w:rsidRDefault="006749D5">
      <w:pPr>
        <w:spacing w:line="480" w:lineRule="auto"/>
        <w:ind w:firstLine="720"/>
        <w:jc w:val="both"/>
      </w:pPr>
      <w:r>
        <w:rPr>
          <w:sz w:val="24"/>
          <w:szCs w:val="24"/>
        </w:rPr>
        <w:t xml:space="preserve">The mainstream legal academy of the 1970s and 1980s claimed methodological neutrality. Law review articles were written in the impersonal third person. Personal experience was not data. Political commitment disqualified a scholar from writing about the subject to which she was committed. CRT scholars recognized this pretense as a mechanism of exclusion. Miranda Fricker's </w:t>
      </w:r>
      <w:r>
        <w:rPr>
          <w:sz w:val="24"/>
          <w:szCs w:val="24"/>
        </w:rPr>
        <w:lastRenderedPageBreak/>
        <w:t>account of epistemic injustice provides the clearest philosophical vocabulary for why they were right to do so.</w:t>
      </w:r>
      <w:r>
        <w:rPr>
          <w:rStyle w:val="FootnoteReference"/>
        </w:rPr>
        <w:footnoteReference w:id="15"/>
      </w:r>
      <w:r>
        <w:rPr>
          <w:sz w:val="24"/>
          <w:szCs w:val="24"/>
        </w:rPr>
        <w:t xml:space="preserve"> Fricker identifies two forms of epistemic injustice: testimonial injustice, in which a speaker's credibility is deflated due to identity prejudice, and hermeneutical injustice, in which a gap in collective interpretive resources puts someone at an unfair disadvantage in making sense of their own social experience. Both forms operated in the mainstream legal academy that CRT confronted. The demand for neutral scholarship was not neutral. It was a demand for scholarship written from a perspective that had no</w:t>
      </w:r>
      <w:r>
        <w:rPr>
          <w:sz w:val="24"/>
          <w:szCs w:val="24"/>
        </w:rPr>
        <w:t xml:space="preserve"> stake in the outcome -- which is to say, a perspective that had already won. CRT scholars were right to refuse it.</w:t>
      </w:r>
    </w:p>
    <w:p w14:paraId="3C82F011" w14:textId="77777777" w:rsidR="00843CA5" w:rsidRDefault="006749D5">
      <w:pPr>
        <w:spacing w:line="480" w:lineRule="auto"/>
        <w:ind w:firstLine="720"/>
        <w:jc w:val="both"/>
      </w:pPr>
      <w:r>
        <w:rPr>
          <w:sz w:val="24"/>
          <w:szCs w:val="24"/>
        </w:rPr>
        <w:t>The Fricker framework, however, also provides the sharpest available argument against CRT's methodological conflation -- an argument Fricker herself demonstrates in practice rather than merely stating.</w:t>
      </w:r>
      <w:r>
        <w:rPr>
          <w:rStyle w:val="FootnoteReference"/>
        </w:rPr>
        <w:footnoteReference w:id="16"/>
      </w:r>
      <w:r>
        <w:rPr>
          <w:sz w:val="24"/>
          <w:szCs w:val="24"/>
        </w:rPr>
        <w:t xml:space="preserve"> Epistemic Injustice is a rigorously differentiated scholarly work. Fricker identifies her theoretical claims (testimonial and hermeneutical injustice are distinct forms of epistemic wrongdoing), assembles her empirical evidence (drawn from literary texts, psychological research on stereotype-based credibility discounting, and legal cases), advances her doctrinal proposals (reforms to testimonial practice that would reduce credibility deflation), and makes her normative case (epistemic justice is a genuine </w:t>
      </w:r>
      <w:r>
        <w:rPr>
          <w:sz w:val="24"/>
          <w:szCs w:val="24"/>
        </w:rPr>
        <w:t xml:space="preserve">virtue, and its violation is a genuine </w:t>
      </w:r>
      <w:r>
        <w:rPr>
          <w:sz w:val="24"/>
          <w:szCs w:val="24"/>
        </w:rPr>
        <w:lastRenderedPageBreak/>
        <w:t>wrong). At no point does she treat these registers as interchangeable. A reader who disagrees with her normative advocacy is not thereby entitled to dismiss her theoretical framework. A critic who challenges her empirical evidence is not thereby contesting her legal proposals. Fricker simultaneously validates CRT's epistemological critique of false objectivity and demonstrates, by the structure of her own work, that the critique does not require the collapse of methodo</w:t>
      </w:r>
      <w:r>
        <w:rPr>
          <w:sz w:val="24"/>
          <w:szCs w:val="24"/>
        </w:rPr>
        <w:t>logical registers.</w:t>
      </w:r>
    </w:p>
    <w:p w14:paraId="06409E7C" w14:textId="77777777" w:rsidR="00843CA5" w:rsidRDefault="006749D5">
      <w:pPr>
        <w:spacing w:line="480" w:lineRule="auto"/>
        <w:ind w:firstLine="720"/>
        <w:jc w:val="both"/>
      </w:pPr>
      <w:r>
        <w:rPr>
          <w:sz w:val="24"/>
          <w:szCs w:val="24"/>
        </w:rPr>
        <w:t xml:space="preserve">The inference from CRT's epistemological premise to its methodological conclusion was therefore not logically required. CRT scholars were right that a Black woman scholar knows things about discrimination that a white male scholar does not. That insight is compatible with holding simultaneously that the theoretical claim she makes </w:t>
      </w:r>
      <w:proofErr w:type="gramStart"/>
      <w:r>
        <w:rPr>
          <w:sz w:val="24"/>
          <w:szCs w:val="24"/>
        </w:rPr>
        <w:t>on the basis of</w:t>
      </w:r>
      <w:proofErr w:type="gramEnd"/>
      <w:r>
        <w:rPr>
          <w:sz w:val="24"/>
          <w:szCs w:val="24"/>
        </w:rPr>
        <w:t xml:space="preserve"> that knowledge is a theoretical claim subject to the standards of theoretical knowledge, that her empirical research is subject to the standards of empirical inquiry, and that her doctrinal proposal is to be evaluated on its doctrinal merits. Testimonial injustice is remedied not by eliminating the distinction between testimony and theory but by ensuring that testimony is evaluated without the deflation imposed by identity prejudice. The founding generation conflated the epistemological argu</w:t>
      </w:r>
      <w:r>
        <w:rPr>
          <w:sz w:val="24"/>
          <w:szCs w:val="24"/>
        </w:rPr>
        <w:t>ment with the methodological conclusion. They were not required to.</w:t>
      </w:r>
    </w:p>
    <w:p w14:paraId="780CBA82" w14:textId="77777777" w:rsidR="00843CA5" w:rsidRDefault="006749D5">
      <w:pPr>
        <w:spacing w:line="480" w:lineRule="auto"/>
        <w:ind w:firstLine="720"/>
        <w:jc w:val="both"/>
      </w:pPr>
      <w:r>
        <w:rPr>
          <w:sz w:val="24"/>
          <w:szCs w:val="24"/>
        </w:rPr>
        <w:t>The same point emerges from within the CRT tradition itself. Richard Delgado, in his 1989 symposium piece on storytelling for oppositionists, acknowledged that counter-stories face the objection that "they are just stories" and proposed, without fully resolving, how experiential narrative might be evaluated against empirical standards.</w:t>
      </w:r>
      <w:r>
        <w:rPr>
          <w:rStyle w:val="FootnoteReference"/>
        </w:rPr>
        <w:footnoteReference w:id="17"/>
      </w:r>
      <w:r>
        <w:rPr>
          <w:sz w:val="24"/>
          <w:szCs w:val="24"/>
        </w:rPr>
        <w:t xml:space="preserve"> Jerome Culp raised parallel concerns about whether autobiographical narrative could bear the evidentiary weight the methodology </w:t>
      </w:r>
      <w:r>
        <w:rPr>
          <w:sz w:val="24"/>
          <w:szCs w:val="24"/>
        </w:rPr>
        <w:lastRenderedPageBreak/>
        <w:t>assigned to it.</w:t>
      </w:r>
      <w:r>
        <w:rPr>
          <w:rStyle w:val="FootnoteReference"/>
        </w:rPr>
        <w:footnoteReference w:id="18"/>
      </w:r>
      <w:r>
        <w:rPr>
          <w:sz w:val="24"/>
          <w:szCs w:val="24"/>
        </w:rPr>
        <w:t xml:space="preserve"> These were internal voices raising the differentiation question. The founding generation heard them and chose to proceed without resolution. That choice -- defensible in the institutional context of the late 1980s -- proved costly in the political context of the 2020s.</w:t>
      </w:r>
    </w:p>
    <w:p w14:paraId="1B5C07A9" w14:textId="77777777" w:rsidR="00843CA5" w:rsidRDefault="006749D5">
      <w:pPr>
        <w:spacing w:line="480" w:lineRule="auto"/>
        <w:ind w:firstLine="720"/>
        <w:jc w:val="both"/>
      </w:pPr>
      <w:r>
        <w:rPr>
          <w:sz w:val="24"/>
          <w:szCs w:val="24"/>
        </w:rPr>
        <w:t>The conclusion is not that CRT's founders were wrong about their epistemology. They were right that standpoint epistemology is philosophically defensible. The conclusion is that they expressed a correct epistemological insight in a form -- the wholesale collapse of methodological registers -- that the insight did not require. A field can acknowledge that its theoretical claims carry normative implications, that its empirical work reflects prior commitments, and that its advocacy is continuous with its schol</w:t>
      </w:r>
      <w:r>
        <w:rPr>
          <w:sz w:val="24"/>
          <w:szCs w:val="24"/>
        </w:rPr>
        <w:t>arship, and still maintain the capacity to defend each register independently when it comes under attack. That capacity requires shared vocabulary, not ideological purity.</w:t>
      </w:r>
    </w:p>
    <w:p w14:paraId="349EB098" w14:textId="77777777" w:rsidR="00843CA5" w:rsidRDefault="006749D5">
      <w:pPr>
        <w:spacing w:before="360" w:after="120" w:line="480" w:lineRule="auto"/>
        <w:ind w:firstLine="720"/>
      </w:pPr>
      <w:r>
        <w:rPr>
          <w:b/>
          <w:bCs/>
          <w:i/>
          <w:iCs/>
          <w:sz w:val="24"/>
          <w:szCs w:val="24"/>
        </w:rPr>
        <w:t>B.  The Evaluation Problem and the Structural Accumulation of Fragility</w:t>
      </w:r>
    </w:p>
    <w:p w14:paraId="46E974A9" w14:textId="77777777" w:rsidR="00843CA5" w:rsidRDefault="006749D5">
      <w:pPr>
        <w:spacing w:line="480" w:lineRule="auto"/>
        <w:ind w:firstLine="720"/>
        <w:jc w:val="both"/>
      </w:pPr>
      <w:r>
        <w:rPr>
          <w:sz w:val="24"/>
          <w:szCs w:val="24"/>
        </w:rPr>
        <w:t>The immediate cost of underdifferentiation is the evaluation problem: when different kinds of work are evaluated by the wrong standards, no piece of work can fully succeed, and no piece of work can be fully defended.</w:t>
      </w:r>
    </w:p>
    <w:p w14:paraId="052D4F24" w14:textId="77777777" w:rsidR="00843CA5" w:rsidRDefault="006749D5">
      <w:pPr>
        <w:spacing w:line="480" w:lineRule="auto"/>
        <w:ind w:firstLine="720"/>
        <w:jc w:val="both"/>
      </w:pPr>
      <w:r>
        <w:rPr>
          <w:sz w:val="24"/>
          <w:szCs w:val="24"/>
        </w:rPr>
        <w:t xml:space="preserve">A theoretical claim evaluated as advocacy is unscholarly. An empirical claim evaluated as personal narrative is anecdotal. A doctrinal proposal evaluated as political activism is non-legal. CRT's refusal to differentiate its registers meant that opponents could always choose which </w:t>
      </w:r>
      <w:r>
        <w:rPr>
          <w:sz w:val="24"/>
          <w:szCs w:val="24"/>
        </w:rPr>
        <w:lastRenderedPageBreak/>
        <w:t>standard to apply, and they consistently chose the standard most unfavorable to the work. This was not inevitability -- it was structural vulnerability that the field had designed into itself.</w:t>
      </w:r>
    </w:p>
    <w:p w14:paraId="3641C017" w14:textId="77777777" w:rsidR="00843CA5" w:rsidRDefault="006749D5">
      <w:pPr>
        <w:spacing w:line="480" w:lineRule="auto"/>
        <w:ind w:firstLine="720"/>
        <w:jc w:val="both"/>
      </w:pPr>
      <w:r>
        <w:rPr>
          <w:sz w:val="24"/>
          <w:szCs w:val="24"/>
        </w:rPr>
        <w:t>That vulnerability accumulated over thirty years. By the time Rufo launched his campaign in 2020, CRT had produced three decades of undifferentiated scholarship in which the theoretical, empirical, doctrinal, and advocacy registers had been presented as inseparable. That body of work could not be defended selectively. When a state legislature banned teaching that "individuals bear collective guilt" for historical racial injustice, CRT scholars could not say: "That is a prohibition on advocacy, not on schola</w:t>
      </w:r>
      <w:r>
        <w:rPr>
          <w:sz w:val="24"/>
          <w:szCs w:val="24"/>
        </w:rPr>
        <w:t>rship. Our theoretical and empirical work does not make that claim, and our scholars remain free to teach their scholarship." The field had no stable methodology for drawing that line. Everything was both.</w:t>
      </w:r>
    </w:p>
    <w:p w14:paraId="13730C0C" w14:textId="77777777" w:rsidR="00843CA5" w:rsidRDefault="006749D5">
      <w:pPr>
        <w:spacing w:before="480" w:after="240" w:line="480" w:lineRule="auto"/>
      </w:pPr>
      <w:r>
        <w:rPr>
          <w:b/>
          <w:bCs/>
          <w:sz w:val="24"/>
          <w:szCs w:val="24"/>
        </w:rPr>
        <w:t>IV.  THE ATTACK AND THE FAILURE TO RESPOND</w:t>
      </w:r>
    </w:p>
    <w:p w14:paraId="3FA1EC18" w14:textId="77777777" w:rsidR="00843CA5" w:rsidRDefault="006749D5">
      <w:pPr>
        <w:spacing w:line="480" w:lineRule="auto"/>
        <w:ind w:firstLine="720"/>
        <w:jc w:val="both"/>
      </w:pPr>
      <w:r>
        <w:rPr>
          <w:sz w:val="24"/>
          <w:szCs w:val="24"/>
        </w:rPr>
        <w:t>The anti-CRT campaign did not refute CRT's theoretical contributions. It exploited their structural entanglement with advocacy. This Part examines how the exploit worked, why CRT could not respond by register, and what the actual litigation record reveals about the damage differentiation might have limited.</w:t>
      </w:r>
    </w:p>
    <w:p w14:paraId="41EB365A" w14:textId="77777777" w:rsidR="00843CA5" w:rsidRDefault="006749D5">
      <w:pPr>
        <w:spacing w:before="360" w:after="120" w:line="480" w:lineRule="auto"/>
        <w:ind w:firstLine="720"/>
      </w:pPr>
      <w:r>
        <w:rPr>
          <w:b/>
          <w:bCs/>
          <w:i/>
          <w:iCs/>
          <w:sz w:val="24"/>
          <w:szCs w:val="24"/>
        </w:rPr>
        <w:t>A.  What Rufo Actually Targeted</w:t>
      </w:r>
    </w:p>
    <w:p w14:paraId="7790E82B" w14:textId="77777777" w:rsidR="00843CA5" w:rsidRDefault="006749D5">
      <w:pPr>
        <w:spacing w:line="480" w:lineRule="auto"/>
        <w:ind w:firstLine="720"/>
        <w:jc w:val="both"/>
      </w:pPr>
      <w:r>
        <w:rPr>
          <w:sz w:val="24"/>
          <w:szCs w:val="24"/>
        </w:rPr>
        <w:t xml:space="preserve">Rufo's campaign is a case study in the exploitation of defensive fragility. His explicit strategy was to use the term "critical race theory" as a container for a wide range of cultural anxieties about race education, diversity training, and pedagogical practice -- none of which were the theoretical propositions that Bell, Crenshaw, and Delgado had </w:t>
      </w:r>
      <w:proofErr w:type="gramStart"/>
      <w:r>
        <w:rPr>
          <w:sz w:val="24"/>
          <w:szCs w:val="24"/>
        </w:rPr>
        <w:t>actually developed</w:t>
      </w:r>
      <w:proofErr w:type="gramEnd"/>
      <w:r>
        <w:rPr>
          <w:sz w:val="24"/>
          <w:szCs w:val="24"/>
        </w:rPr>
        <w:t>.</w:t>
      </w:r>
    </w:p>
    <w:p w14:paraId="0D27B2C9" w14:textId="77777777" w:rsidR="00843CA5" w:rsidRDefault="006749D5">
      <w:pPr>
        <w:spacing w:line="480" w:lineRule="auto"/>
        <w:ind w:firstLine="720"/>
        <w:jc w:val="both"/>
      </w:pPr>
      <w:r>
        <w:rPr>
          <w:sz w:val="24"/>
          <w:szCs w:val="24"/>
        </w:rPr>
        <w:lastRenderedPageBreak/>
        <w:t>The genius of the campaign, from a strategic standpoint, was that it did not need to engage with CRT's actual theoretical claims. Rufo was not arguing that interest convergence is false, or that intersectionality mischaracterizes the relationship between legal categories, or that Harris's historical account of whiteness as property is empirically inaccurate. He was claiming that things happening in classrooms under the name "CRT" were harmful. And he was correct that some of those things -- simplified versi</w:t>
      </w:r>
      <w:r>
        <w:rPr>
          <w:sz w:val="24"/>
          <w:szCs w:val="24"/>
        </w:rPr>
        <w:t>ons of CRT concepts used as pedagogical frameworks -- were controversial.</w:t>
      </w:r>
    </w:p>
    <w:p w14:paraId="4702718E" w14:textId="77777777" w:rsidR="00843CA5" w:rsidRDefault="006749D5">
      <w:pPr>
        <w:spacing w:line="480" w:lineRule="auto"/>
        <w:ind w:firstLine="720"/>
        <w:jc w:val="both"/>
      </w:pPr>
      <w:r>
        <w:rPr>
          <w:sz w:val="24"/>
          <w:szCs w:val="24"/>
        </w:rPr>
        <w:t>By 2021, the campaign had produced a remarkable result: most of the eighteen states that enacted anti-CRT legislation did not define the term with precision. Only five of the seventeen states then with enacted legislation mentioned "critical race theory" by name, and only one came close to an accurate definition.</w:t>
      </w:r>
      <w:r>
        <w:rPr>
          <w:rStyle w:val="FootnoteReference"/>
        </w:rPr>
        <w:footnoteReference w:id="19"/>
      </w:r>
      <w:r>
        <w:rPr>
          <w:sz w:val="24"/>
          <w:szCs w:val="24"/>
        </w:rPr>
        <w:t xml:space="preserve"> The rest banned a floating category of "divisive concepts" -- a legislative term that captured advocacy and pedagogy while having no clear relationship to the body of theoretical scholarship that the term nominally referenced. This was not a methodological accident. It was a methodological exploit. The campaign worked precisely because there was no stable methodology within the CRT field to which scholars could appeal to say: "This legislation targets advocacy, not scholarship. These are different things."</w:t>
      </w:r>
    </w:p>
    <w:p w14:paraId="43CB38B1" w14:textId="77777777" w:rsidR="00843CA5" w:rsidRDefault="006749D5">
      <w:pPr>
        <w:spacing w:before="360" w:after="120" w:line="480" w:lineRule="auto"/>
        <w:ind w:firstLine="720"/>
      </w:pPr>
      <w:r>
        <w:rPr>
          <w:b/>
          <w:bCs/>
          <w:i/>
          <w:iCs/>
          <w:sz w:val="24"/>
          <w:szCs w:val="24"/>
        </w:rPr>
        <w:t>B.  CRT's Inability to Defend by Register</w:t>
      </w:r>
    </w:p>
    <w:p w14:paraId="664AAB8D" w14:textId="77777777" w:rsidR="00843CA5" w:rsidRDefault="006749D5">
      <w:pPr>
        <w:spacing w:line="480" w:lineRule="auto"/>
        <w:ind w:firstLine="720"/>
        <w:jc w:val="both"/>
      </w:pPr>
      <w:r>
        <w:rPr>
          <w:sz w:val="24"/>
          <w:szCs w:val="24"/>
        </w:rPr>
        <w:t>What would a methodologically differentiated field have said in response to the anti-CRT campaign?</w:t>
      </w:r>
    </w:p>
    <w:p w14:paraId="59A4247A" w14:textId="77777777" w:rsidR="00843CA5" w:rsidRDefault="006749D5">
      <w:pPr>
        <w:spacing w:line="480" w:lineRule="auto"/>
        <w:ind w:firstLine="720"/>
        <w:jc w:val="both"/>
      </w:pPr>
      <w:r>
        <w:rPr>
          <w:sz w:val="24"/>
          <w:szCs w:val="24"/>
        </w:rPr>
        <w:t xml:space="preserve">It would have said: you have banned pedagogical practice. You have not engaged with our theoretical scholarship. Our theoretical claims -- interest convergence, intersectionality, the social </w:t>
      </w:r>
      <w:r>
        <w:rPr>
          <w:sz w:val="24"/>
          <w:szCs w:val="24"/>
        </w:rPr>
        <w:lastRenderedPageBreak/>
        <w:t>construction of race in law -- remain standing. They are published in law reviews, cited by courts, and incorporated into social science methodology. If you wish to refute them, you must engage with them. Banning classrooms from simplified versions of our ideas is not a refutation of the ideas.</w:t>
      </w:r>
    </w:p>
    <w:p w14:paraId="09183783" w14:textId="77777777" w:rsidR="00843CA5" w:rsidRDefault="006749D5">
      <w:pPr>
        <w:spacing w:line="480" w:lineRule="auto"/>
        <w:ind w:firstLine="720"/>
        <w:jc w:val="both"/>
      </w:pPr>
      <w:r>
        <w:rPr>
          <w:sz w:val="24"/>
          <w:szCs w:val="24"/>
        </w:rPr>
        <w:t xml:space="preserve">CRT scholars said something like this, but without methodological force. Because the field had not consistently distinguished its pedagogical practice from its theoretical scholarship, the claim that the legislation was targeting "the wrong thing" sounded defensive rather than dispositive. Critics could -- and did -- respond: "Your theorists say the personal is political; your scholars say the classroom is the site of transformation. You cannot now claim that your scholarship is separate from your advocacy </w:t>
      </w:r>
      <w:r>
        <w:rPr>
          <w:sz w:val="24"/>
          <w:szCs w:val="24"/>
        </w:rPr>
        <w:t>when your own methodological statements have denied that separation." The critics were, on this point, correctly reading CRT's methodology. The field had earned its vulnerability.</w:t>
      </w:r>
    </w:p>
    <w:p w14:paraId="0116523E" w14:textId="77777777" w:rsidR="00843CA5" w:rsidRDefault="006749D5">
      <w:pPr>
        <w:spacing w:before="360" w:after="120" w:line="480" w:lineRule="auto"/>
        <w:ind w:firstLine="720"/>
      </w:pPr>
      <w:r>
        <w:rPr>
          <w:b/>
          <w:bCs/>
          <w:i/>
          <w:iCs/>
          <w:sz w:val="24"/>
          <w:szCs w:val="24"/>
        </w:rPr>
        <w:t>C.  The Counterfactual: Narrowing the Blast Radius</w:t>
      </w:r>
    </w:p>
    <w:p w14:paraId="505DCA19" w14:textId="77777777" w:rsidR="00843CA5" w:rsidRDefault="006749D5">
      <w:pPr>
        <w:spacing w:line="480" w:lineRule="auto"/>
        <w:ind w:firstLine="720"/>
        <w:jc w:val="both"/>
      </w:pPr>
      <w:r>
        <w:rPr>
          <w:sz w:val="24"/>
          <w:szCs w:val="24"/>
        </w:rPr>
        <w:t>The critical question is not whether methodological differentiation would have prevented the political attack. It would not have. Rufo's campaign was a branding operation, not a scholarly engagement. State legislators who voted for "divisive concepts" bans were responding to parent anxiety about curriculum content, not to any reading of Bell or Crenshaw. The counterfactual that matters is narrower and more important: would differentiation have narrowed the blast radius?</w:t>
      </w:r>
    </w:p>
    <w:p w14:paraId="391EF60D" w14:textId="77777777" w:rsidR="00843CA5" w:rsidRDefault="006749D5">
      <w:pPr>
        <w:spacing w:line="480" w:lineRule="auto"/>
        <w:ind w:firstLine="720"/>
        <w:jc w:val="both"/>
      </w:pPr>
      <w:r>
        <w:rPr>
          <w:sz w:val="24"/>
          <w:szCs w:val="24"/>
        </w:rPr>
        <w:t xml:space="preserve">The answer is yes, and the actual litigation record confirms it -- while also revealing the limitation. Florida's Individual Freedom Act (the Stop WOKE Act) was challenged almost immediately. In </w:t>
      </w:r>
      <w:r>
        <w:rPr>
          <w:i/>
          <w:iCs/>
          <w:sz w:val="24"/>
          <w:szCs w:val="24"/>
        </w:rPr>
        <w:t>Pernell v. Florida Board of Governors</w:t>
      </w:r>
      <w:r>
        <w:rPr>
          <w:sz w:val="24"/>
          <w:szCs w:val="24"/>
        </w:rPr>
        <w:t xml:space="preserve">, the Northern District of Florida enjoined the Act's higher education provisions as unconstitutional viewpoint discrimination and void for </w:t>
      </w:r>
      <w:r>
        <w:rPr>
          <w:sz w:val="24"/>
          <w:szCs w:val="24"/>
        </w:rPr>
        <w:lastRenderedPageBreak/>
        <w:t>vagueness; the Eleventh Circuit affirmed that injunction.</w:t>
      </w:r>
      <w:r>
        <w:rPr>
          <w:rStyle w:val="FootnoteReference"/>
        </w:rPr>
        <w:footnoteReference w:id="20"/>
      </w:r>
      <w:r>
        <w:rPr>
          <w:sz w:val="24"/>
          <w:szCs w:val="24"/>
        </w:rPr>
        <w:t xml:space="preserve"> The court found that statutory terms like "discomfort," "guilt," and "anguish" were impermissibly vague in the context of academic instruction -- precisely the kind of definitional inadequacy the paper had been warning about. Courts were, in short, receptive to the argument that the legislation was overbroad and undefined. That argument had real legal force.</w:t>
      </w:r>
    </w:p>
    <w:p w14:paraId="73D23546" w14:textId="77777777" w:rsidR="00843CA5" w:rsidRDefault="006749D5">
      <w:pPr>
        <w:spacing w:line="480" w:lineRule="auto"/>
        <w:ind w:firstLine="720"/>
        <w:jc w:val="both"/>
      </w:pPr>
      <w:r>
        <w:rPr>
          <w:sz w:val="24"/>
          <w:szCs w:val="24"/>
        </w:rPr>
        <w:t xml:space="preserve">What the litigation could not do was sharper. The vagueness challenges succeeded on First Amendment grounds -- protecting classroom speech from viewpoint-based government restriction. They </w:t>
      </w:r>
      <w:proofErr w:type="gramStart"/>
      <w:r>
        <w:rPr>
          <w:sz w:val="24"/>
          <w:szCs w:val="24"/>
        </w:rPr>
        <w:t>did not succeed</w:t>
      </w:r>
      <w:proofErr w:type="gramEnd"/>
      <w:r>
        <w:rPr>
          <w:sz w:val="24"/>
          <w:szCs w:val="24"/>
        </w:rPr>
        <w:t xml:space="preserve"> on the narrower ground that the legislation had conflated a scholarly methodology with a pedagogical practice, because the field had no stable account of that distinction to offer. Scholars testified, filed amicus briefs, and wrote op-eds arguing that the legislation targeted ideas and not just practices. But they could not point to a shared disciplinary methodology that separated the two, because no such methodology existed. A methodologically differentiated field could have pressed a clean</w:t>
      </w:r>
      <w:r>
        <w:rPr>
          <w:sz w:val="24"/>
          <w:szCs w:val="24"/>
        </w:rPr>
        <w:t>er and more specific argument: the legislation, by its own terms, reaches only "instruction" -- and instruction is a techne register, not an episteme register. Our theoretical framework is categorically outside the statute's reach. That argument was structurally unavailable to CRT because the field had no methodology for making it.</w:t>
      </w:r>
    </w:p>
    <w:p w14:paraId="6252B57D" w14:textId="77777777" w:rsidR="00843CA5" w:rsidRDefault="006749D5">
      <w:pPr>
        <w:spacing w:line="480" w:lineRule="auto"/>
        <w:ind w:firstLine="720"/>
        <w:jc w:val="both"/>
      </w:pPr>
      <w:r>
        <w:rPr>
          <w:sz w:val="24"/>
          <w:szCs w:val="24"/>
        </w:rPr>
        <w:t xml:space="preserve">The answer is yes, and the evidence is structural. A field with clear register-demarcation would have had statutory vagueness arguments available to it. The legislative bans targeted </w:t>
      </w:r>
      <w:r>
        <w:rPr>
          <w:sz w:val="24"/>
          <w:szCs w:val="24"/>
        </w:rPr>
        <w:lastRenderedPageBreak/>
        <w:t>"critical race theory" without defining the term with scholarly precision. A methodologically differentiated field could have gone to court -- and some scholars did, to some effect -- arguing that "critical race theory" as a statutory term must refer to the identifiable theoretical framework, not to all race-conscious pedagogy. The argument would have been more powerful, and more likely to succeed, if the field itself maintained a coherent account of what the theoretical framework was and what it was not.</w:t>
      </w:r>
    </w:p>
    <w:p w14:paraId="1A096E61" w14:textId="77777777" w:rsidR="00843CA5" w:rsidRDefault="006749D5">
      <w:pPr>
        <w:spacing w:line="480" w:lineRule="auto"/>
        <w:ind w:firstLine="720"/>
        <w:jc w:val="both"/>
      </w:pPr>
      <w:r>
        <w:rPr>
          <w:sz w:val="24"/>
          <w:szCs w:val="24"/>
        </w:rPr>
        <w:t xml:space="preserve">Bioethics faced its own crisis of politicization when end-of-life care, reproductive ethics, and stem cell research became targets of legislative and executive intervention in the early 2000s. The field survived those attacks in recognizable scholarly form because it had developed a </w:t>
      </w:r>
      <w:proofErr w:type="spellStart"/>
      <w:r>
        <w:rPr>
          <w:sz w:val="24"/>
          <w:szCs w:val="24"/>
        </w:rPr>
        <w:t>principlist</w:t>
      </w:r>
      <w:proofErr w:type="spellEnd"/>
      <w:r>
        <w:rPr>
          <w:sz w:val="24"/>
          <w:szCs w:val="24"/>
        </w:rPr>
        <w:t xml:space="preserve"> framework -- Beauchamp and Childress's four principles of autonomy, beneficence, non-maleficence, and justice -- that distinguished theoretical commitments from their clinical applications.</w:t>
      </w:r>
      <w:r>
        <w:rPr>
          <w:rStyle w:val="FootnoteReference"/>
        </w:rPr>
        <w:footnoteReference w:id="21"/>
      </w:r>
      <w:r>
        <w:rPr>
          <w:sz w:val="24"/>
          <w:szCs w:val="24"/>
        </w:rPr>
        <w:t xml:space="preserve"> This framework was itself internally contested: casuists challenged the priority of principles over cases, narrative ethicists emphasized the irreducibly particular character of clinical situations, and virtue ethicists argued that character mattered more than rules. But the internal contestation occurred within a shared methodological vocabulary. When President George W. </w:t>
      </w:r>
      <w:r>
        <w:rPr>
          <w:sz w:val="24"/>
          <w:szCs w:val="24"/>
        </w:rPr>
        <w:lastRenderedPageBreak/>
        <w:t>Bush's executive order restricted federal funding for embryonic stem cell research in 2001, bioethicists could distinguish their theoret</w:t>
      </w:r>
      <w:r>
        <w:rPr>
          <w:sz w:val="24"/>
          <w:szCs w:val="24"/>
        </w:rPr>
        <w:t xml:space="preserve">ical frameworks from the specific applied question of stem cell funding. That defense was available not because the field had achieved consensus, but because it had a shared vocabulary for identifying the register of any </w:t>
      </w:r>
      <w:proofErr w:type="gramStart"/>
      <w:r>
        <w:rPr>
          <w:sz w:val="24"/>
          <w:szCs w:val="24"/>
        </w:rPr>
        <w:t>particular claim</w:t>
      </w:r>
      <w:proofErr w:type="gramEnd"/>
      <w:r>
        <w:rPr>
          <w:sz w:val="24"/>
          <w:szCs w:val="24"/>
        </w:rPr>
        <w:t>.</w:t>
      </w:r>
    </w:p>
    <w:p w14:paraId="76DC3D47" w14:textId="77777777" w:rsidR="00843CA5" w:rsidRDefault="006749D5">
      <w:pPr>
        <w:spacing w:line="480" w:lineRule="auto"/>
        <w:ind w:firstLine="720"/>
        <w:jc w:val="both"/>
      </w:pPr>
      <w:r>
        <w:rPr>
          <w:sz w:val="24"/>
          <w:szCs w:val="24"/>
        </w:rPr>
        <w:t>Legal feminism offers a parallel positive example closer to CRT's own disciplinary home. Catharine MacKinnon's dominance theory, Martha Fineman's vulnerability theory, and Vicki Schultz's empirical analysis of workplace discrimination operate in identifiably different methodological registers within feminist legal scholarship.</w:t>
      </w:r>
      <w:r>
        <w:rPr>
          <w:rStyle w:val="FootnoteReference"/>
        </w:rPr>
        <w:footnoteReference w:id="22"/>
      </w:r>
      <w:r>
        <w:rPr>
          <w:sz w:val="24"/>
          <w:szCs w:val="24"/>
        </w:rPr>
        <w:t xml:space="preserve"> When Title IX enforcement became politically contested in the 2010s, feminist legal scholars could distinguish their theoretical frameworks from their doctrinal proposals from their policy advocacy. The National Women's Law Center could advocate for </w:t>
      </w:r>
      <w:proofErr w:type="gramStart"/>
      <w:r>
        <w:rPr>
          <w:sz w:val="24"/>
          <w:szCs w:val="24"/>
        </w:rPr>
        <w:t>particular Title IX</w:t>
      </w:r>
      <w:proofErr w:type="gramEnd"/>
      <w:r>
        <w:rPr>
          <w:sz w:val="24"/>
          <w:szCs w:val="24"/>
        </w:rPr>
        <w:t xml:space="preserve"> regulations while feminist legal theorists maintained that the theoretical framework of sex equality was unaffected by the administrative controversy. That capacity for register-specific defense was available because feminist legal scholarsh</w:t>
      </w:r>
      <w:r>
        <w:rPr>
          <w:sz w:val="24"/>
          <w:szCs w:val="24"/>
        </w:rPr>
        <w:t>ip had, unlike CRT, maintained methodological differentiation while preserving substantive commitment.</w:t>
      </w:r>
    </w:p>
    <w:p w14:paraId="7A27B5EA" w14:textId="77777777" w:rsidR="00843CA5" w:rsidRDefault="006749D5">
      <w:pPr>
        <w:spacing w:line="480" w:lineRule="auto"/>
        <w:ind w:firstLine="720"/>
        <w:jc w:val="both"/>
      </w:pPr>
      <w:r>
        <w:rPr>
          <w:sz w:val="24"/>
          <w:szCs w:val="24"/>
        </w:rPr>
        <w:t>CRT did not have an equivalent defense available. Not because it was less sophisticated -- it was not. Because it had, from its founding, rejected the distinction that would have made that defense possible. The blast radius was total because the architecture produced no firewalls.</w:t>
      </w:r>
    </w:p>
    <w:p w14:paraId="607ACC37" w14:textId="77777777" w:rsidR="00843CA5" w:rsidRDefault="006749D5">
      <w:pPr>
        <w:spacing w:before="480" w:after="240" w:line="480" w:lineRule="auto"/>
      </w:pPr>
      <w:r>
        <w:rPr>
          <w:b/>
          <w:bCs/>
          <w:sz w:val="24"/>
          <w:szCs w:val="24"/>
        </w:rPr>
        <w:lastRenderedPageBreak/>
        <w:t>V.  LESSONS FOR LAW AND ANTISEMITISM</w:t>
      </w:r>
    </w:p>
    <w:p w14:paraId="61F93DB5" w14:textId="77777777" w:rsidR="00843CA5" w:rsidRDefault="006749D5">
      <w:pPr>
        <w:spacing w:line="480" w:lineRule="auto"/>
        <w:ind w:firstLine="720"/>
        <w:jc w:val="both"/>
      </w:pPr>
      <w:r>
        <w:rPr>
          <w:sz w:val="24"/>
          <w:szCs w:val="24"/>
        </w:rPr>
        <w:t xml:space="preserve">The lesson of CRT is not a lesson about race. It is a lesson about disciplinary architecture. Any emerging field of legal scholarship that faces political pressure without methodological differentiation faces the same structural exposure. Law and antisemitism </w:t>
      </w:r>
      <w:proofErr w:type="gramStart"/>
      <w:r>
        <w:rPr>
          <w:sz w:val="24"/>
          <w:szCs w:val="24"/>
        </w:rPr>
        <w:t>is</w:t>
      </w:r>
      <w:proofErr w:type="gramEnd"/>
      <w:r>
        <w:rPr>
          <w:sz w:val="24"/>
          <w:szCs w:val="24"/>
        </w:rPr>
        <w:t xml:space="preserve"> that field today.</w:t>
      </w:r>
    </w:p>
    <w:p w14:paraId="31C13FE4" w14:textId="77777777" w:rsidR="00843CA5" w:rsidRDefault="006749D5">
      <w:pPr>
        <w:spacing w:before="360" w:after="120" w:line="480" w:lineRule="auto"/>
        <w:ind w:firstLine="720"/>
      </w:pPr>
      <w:r>
        <w:rPr>
          <w:b/>
          <w:bCs/>
          <w:i/>
          <w:iCs/>
          <w:sz w:val="24"/>
          <w:szCs w:val="24"/>
        </w:rPr>
        <w:t>A.  The Structural Parallel</w:t>
      </w:r>
    </w:p>
    <w:p w14:paraId="5DBCE053" w14:textId="77777777" w:rsidR="00843CA5" w:rsidRDefault="006749D5">
      <w:pPr>
        <w:spacing w:line="480" w:lineRule="auto"/>
        <w:ind w:firstLine="720"/>
        <w:jc w:val="both"/>
      </w:pPr>
      <w:r>
        <w:rPr>
          <w:sz w:val="24"/>
          <w:szCs w:val="24"/>
        </w:rPr>
        <w:t xml:space="preserve">Law and antisemitism </w:t>
      </w:r>
      <w:proofErr w:type="gramStart"/>
      <w:r>
        <w:rPr>
          <w:sz w:val="24"/>
          <w:szCs w:val="24"/>
        </w:rPr>
        <w:t>is</w:t>
      </w:r>
      <w:proofErr w:type="gramEnd"/>
      <w:r>
        <w:rPr>
          <w:sz w:val="24"/>
          <w:szCs w:val="24"/>
        </w:rPr>
        <w:t xml:space="preserve"> not CRT. Its substantive commitments are different, its political context is different, and the threats it faces are different. But its structural situation is remarkably similar to CRT's situation in the late 1980s -- and the resemblance should prompt concern.</w:t>
      </w:r>
      <w:r>
        <w:rPr>
          <w:rStyle w:val="FootnoteReference"/>
        </w:rPr>
        <w:footnoteReference w:id="23"/>
      </w:r>
    </w:p>
    <w:p w14:paraId="31F6A978" w14:textId="77777777" w:rsidR="00843CA5" w:rsidRDefault="006749D5">
      <w:pPr>
        <w:spacing w:line="480" w:lineRule="auto"/>
        <w:ind w:firstLine="720"/>
        <w:jc w:val="both"/>
      </w:pPr>
      <w:r>
        <w:rPr>
          <w:sz w:val="24"/>
          <w:szCs w:val="24"/>
        </w:rPr>
        <w:t>The field has reached an inflection point. It now possesses the institutional markers of an emerging discipline: a treatise, dedicated conferences, doctoral programs, international prosecutorial networks, and a growing body of scholarship. It is no longer orphaned. But it lacks the shared vocabulary for distinguishing between its different kinds of work. What makes a piece of scholarship in this field epistemic? What makes it empirical? What makes it doctrinal? What makes it advocacy? These questions are no</w:t>
      </w:r>
      <w:r>
        <w:rPr>
          <w:sz w:val="24"/>
          <w:szCs w:val="24"/>
        </w:rPr>
        <w:t>t being systematically asked.</w:t>
      </w:r>
    </w:p>
    <w:p w14:paraId="5ED027D9" w14:textId="77777777" w:rsidR="00843CA5" w:rsidRDefault="006749D5">
      <w:pPr>
        <w:spacing w:line="480" w:lineRule="auto"/>
        <w:ind w:firstLine="720"/>
        <w:jc w:val="both"/>
      </w:pPr>
      <w:r>
        <w:rPr>
          <w:sz w:val="24"/>
          <w:szCs w:val="24"/>
        </w:rPr>
        <w:t>This absence of methodological differentiation may feel harmless in the present. The field is young and unified around a common moral concern. Methodological disputes feel like luxuries the field cannot afford. This is exactly what CRT scholars said in the 1980s. They were not wrong about their moment. But moments change.</w:t>
      </w:r>
    </w:p>
    <w:p w14:paraId="7295A611" w14:textId="77777777" w:rsidR="00843CA5" w:rsidRDefault="006749D5">
      <w:pPr>
        <w:spacing w:before="360" w:after="120" w:line="480" w:lineRule="auto"/>
        <w:ind w:firstLine="720"/>
      </w:pPr>
      <w:r>
        <w:rPr>
          <w:b/>
          <w:bCs/>
          <w:i/>
          <w:iCs/>
          <w:sz w:val="24"/>
          <w:szCs w:val="24"/>
        </w:rPr>
        <w:t>B.  The Political Volatility of the Field and the Register-Collapse Already Occurring</w:t>
      </w:r>
    </w:p>
    <w:p w14:paraId="7210CC24" w14:textId="77777777" w:rsidR="00843CA5" w:rsidRDefault="006749D5">
      <w:pPr>
        <w:spacing w:line="480" w:lineRule="auto"/>
        <w:ind w:firstLine="720"/>
        <w:jc w:val="both"/>
      </w:pPr>
      <w:r>
        <w:rPr>
          <w:sz w:val="24"/>
          <w:szCs w:val="24"/>
        </w:rPr>
        <w:lastRenderedPageBreak/>
        <w:t>The register-collapse problem is not a future risk. It is already occurring. Three recent developments demonstrate the pattern.</w:t>
      </w:r>
    </w:p>
    <w:p w14:paraId="09746590" w14:textId="77777777" w:rsidR="00843CA5" w:rsidRDefault="006749D5">
      <w:pPr>
        <w:spacing w:line="480" w:lineRule="auto"/>
        <w:ind w:firstLine="720"/>
        <w:jc w:val="both"/>
      </w:pPr>
      <w:r>
        <w:rPr>
          <w:sz w:val="24"/>
          <w:szCs w:val="24"/>
        </w:rPr>
        <w:t>First: the Antisemitism Awareness Act, passed by the House of Representatives in May 2024, directs the Department of Education to use the International Holocaust Remembrance Alliance Working Definition of Antisemitism when enforcing Title VI of the Civil Rights Act.</w:t>
      </w:r>
      <w:r>
        <w:rPr>
          <w:rStyle w:val="FootnoteReference"/>
        </w:rPr>
        <w:footnoteReference w:id="24"/>
      </w:r>
      <w:r>
        <w:rPr>
          <w:sz w:val="24"/>
          <w:szCs w:val="24"/>
        </w:rPr>
        <w:t xml:space="preserve"> The IHRA definition is a theoretical claim about what antisemitism is -- an epistemic contribution to the question of definition. The Act deploys that theoretical claim as an enforcement tool -- a techne move. The result is a statutory instrument that collapses the distinction between defining antisemitism and prohibiting it. The consequences are already visible. Critics of the Act argue, with some force, that the IHRA definition's illustrative examples include some forms of political speech about Israel, </w:t>
      </w:r>
      <w:r>
        <w:rPr>
          <w:sz w:val="24"/>
          <w:szCs w:val="24"/>
        </w:rPr>
        <w:t>and that deploying the definition as an enforcement standard therefore raises First Amendment problems that would not arise if the theoretical definition and the enforcement standard were maintained as distinct. The field of law and antisemitism should be able to address that critique with precision, distinguishing the epistemic question of what antisemitism is from the doctrinal question of what legal standard best addresses it. A field without methodological differentiation cannot make that distinction cl</w:t>
      </w:r>
      <w:r>
        <w:rPr>
          <w:sz w:val="24"/>
          <w:szCs w:val="24"/>
        </w:rPr>
        <w:t>eanly.</w:t>
      </w:r>
    </w:p>
    <w:p w14:paraId="5168E8C1" w14:textId="77777777" w:rsidR="00843CA5" w:rsidRDefault="006749D5">
      <w:pPr>
        <w:spacing w:line="480" w:lineRule="auto"/>
        <w:ind w:firstLine="720"/>
        <w:jc w:val="both"/>
      </w:pPr>
      <w:r>
        <w:rPr>
          <w:sz w:val="24"/>
          <w:szCs w:val="24"/>
        </w:rPr>
        <w:t>Second: the IHRA definition debate within the field is itself a register-collapse problem.</w:t>
      </w:r>
      <w:r>
        <w:rPr>
          <w:rStyle w:val="FootnoteReference"/>
        </w:rPr>
        <w:footnoteReference w:id="25"/>
      </w:r>
      <w:r>
        <w:rPr>
          <w:sz w:val="24"/>
          <w:szCs w:val="24"/>
        </w:rPr>
        <w:t xml:space="preserve"> Scholars who argue that the IHRA definition is theoretically accurate are sometimes treated as </w:t>
      </w:r>
      <w:r>
        <w:rPr>
          <w:sz w:val="24"/>
          <w:szCs w:val="24"/>
        </w:rPr>
        <w:lastRenderedPageBreak/>
        <w:t>having also argued for its legal adoption as an enforcement standard. Scholars who argue that the IHRA definition is theoretically incomplete are sometimes treated as having also argued against any legal prohibition on antisemitism. These conflations are not logical necessities. They are consequences of a field that has not developed a shared vocabulary for distinguishing its theoretical propositions about what a</w:t>
      </w:r>
      <w:r>
        <w:rPr>
          <w:sz w:val="24"/>
          <w:szCs w:val="24"/>
        </w:rPr>
        <w:t>ntisemitism is from its doctrinal proposals about how law should address it.</w:t>
      </w:r>
    </w:p>
    <w:p w14:paraId="40B60ABB" w14:textId="77777777" w:rsidR="00843CA5" w:rsidRDefault="006749D5">
      <w:pPr>
        <w:spacing w:line="480" w:lineRule="auto"/>
        <w:ind w:firstLine="720"/>
        <w:jc w:val="both"/>
      </w:pPr>
      <w:r>
        <w:rPr>
          <w:sz w:val="24"/>
          <w:szCs w:val="24"/>
        </w:rPr>
        <w:t>Third: the Trump administration's approach to campus antisemitism -- deploying conditional federal funding as leverage for institutional compliance -- has accelerated the political pressure on the field without providing clarity about what scholarly claims the field is permitted to make.</w:t>
      </w:r>
      <w:r>
        <w:rPr>
          <w:rStyle w:val="FootnoteReference"/>
        </w:rPr>
        <w:footnoteReference w:id="26"/>
      </w:r>
      <w:r>
        <w:rPr>
          <w:sz w:val="24"/>
          <w:szCs w:val="24"/>
        </w:rPr>
        <w:t xml:space="preserve"> The compliance settlements that Harvard, Columbia, Brown, and Cornell entered did not address the governance failures that allowed antisemitism to flourish on their campuses. They addressed optics. Coercion addressed the symptoms. Compliance addressed the optics. Neither addressed the structure. The field of law and antisemitism should be able to say clearly: "The settlements address one thing; the theoretical and doctrinal problems we study address another; these are not the same." A methodologically diff</w:t>
      </w:r>
      <w:r>
        <w:rPr>
          <w:sz w:val="24"/>
          <w:szCs w:val="24"/>
        </w:rPr>
        <w:t>erentiated field can say that. A field organized around moral urgency without methodological infrastructure cannot.</w:t>
      </w:r>
    </w:p>
    <w:p w14:paraId="22C680E0" w14:textId="77777777" w:rsidR="00843CA5" w:rsidRDefault="006749D5">
      <w:pPr>
        <w:spacing w:before="360" w:after="120" w:line="480" w:lineRule="auto"/>
        <w:ind w:firstLine="720"/>
      </w:pPr>
      <w:r>
        <w:rPr>
          <w:b/>
          <w:bCs/>
          <w:i/>
          <w:iCs/>
          <w:sz w:val="24"/>
          <w:szCs w:val="24"/>
        </w:rPr>
        <w:t>C.  The Imperative of Differentiation: Building the Architecture</w:t>
      </w:r>
    </w:p>
    <w:p w14:paraId="344ADC28" w14:textId="77777777" w:rsidR="00843CA5" w:rsidRDefault="006749D5">
      <w:pPr>
        <w:spacing w:line="480" w:lineRule="auto"/>
        <w:ind w:firstLine="720"/>
        <w:jc w:val="both"/>
      </w:pPr>
      <w:r>
        <w:rPr>
          <w:sz w:val="24"/>
          <w:szCs w:val="24"/>
        </w:rPr>
        <w:t>The lesson from CRT is specific. Law and antisemitism should not repeat CRT's founding choice against methodological differentiation, and it should do so consciously and explicitly -- as a positive commitment, not merely as an absence of error.</w:t>
      </w:r>
    </w:p>
    <w:p w14:paraId="36ECA8A6" w14:textId="77777777" w:rsidR="00843CA5" w:rsidRDefault="006749D5">
      <w:pPr>
        <w:spacing w:line="480" w:lineRule="auto"/>
        <w:ind w:firstLine="720"/>
        <w:jc w:val="both"/>
      </w:pPr>
      <w:r>
        <w:rPr>
          <w:sz w:val="24"/>
          <w:szCs w:val="24"/>
        </w:rPr>
        <w:lastRenderedPageBreak/>
        <w:t xml:space="preserve">Concretely, this means developing shared standards for distinguishing epistemic work -- theoretical scholarship aimed at understanding the relationship between law and antisemitism -- from </w:t>
      </w:r>
      <w:proofErr w:type="spellStart"/>
      <w:r>
        <w:rPr>
          <w:sz w:val="24"/>
          <w:szCs w:val="24"/>
        </w:rPr>
        <w:t>historia</w:t>
      </w:r>
      <w:proofErr w:type="spellEnd"/>
      <w:r>
        <w:rPr>
          <w:sz w:val="24"/>
          <w:szCs w:val="24"/>
        </w:rPr>
        <w:t xml:space="preserve">, the empirical investigation of </w:t>
      </w:r>
      <w:proofErr w:type="gramStart"/>
      <w:r>
        <w:rPr>
          <w:sz w:val="24"/>
          <w:szCs w:val="24"/>
        </w:rPr>
        <w:t>particular cases</w:t>
      </w:r>
      <w:proofErr w:type="gramEnd"/>
      <w:r>
        <w:rPr>
          <w:sz w:val="24"/>
          <w:szCs w:val="24"/>
        </w:rPr>
        <w:t xml:space="preserve">, doctrines, and patterns. It means distinguishing doctrinal work -- proposals for legal reform -- from </w:t>
      </w:r>
      <w:proofErr w:type="spellStart"/>
      <w:r>
        <w:rPr>
          <w:sz w:val="24"/>
          <w:szCs w:val="24"/>
        </w:rPr>
        <w:t>phronetic</w:t>
      </w:r>
      <w:proofErr w:type="spellEnd"/>
      <w:r>
        <w:rPr>
          <w:sz w:val="24"/>
          <w:szCs w:val="24"/>
        </w:rPr>
        <w:t xml:space="preserve"> work, the practical advocacy and counseling that applies legal knowledge to </w:t>
      </w:r>
      <w:proofErr w:type="gramStart"/>
      <w:r>
        <w:rPr>
          <w:sz w:val="24"/>
          <w:szCs w:val="24"/>
        </w:rPr>
        <w:t>particular contexts</w:t>
      </w:r>
      <w:proofErr w:type="gramEnd"/>
      <w:r>
        <w:rPr>
          <w:sz w:val="24"/>
          <w:szCs w:val="24"/>
        </w:rPr>
        <w:t xml:space="preserve">. And it means cultivating </w:t>
      </w:r>
      <w:proofErr w:type="spellStart"/>
      <w:r>
        <w:rPr>
          <w:sz w:val="24"/>
          <w:szCs w:val="24"/>
        </w:rPr>
        <w:t>sophia</w:t>
      </w:r>
      <w:proofErr w:type="spellEnd"/>
      <w:r>
        <w:rPr>
          <w:sz w:val="24"/>
          <w:szCs w:val="24"/>
        </w:rPr>
        <w:t xml:space="preserve">: the integrative wisdom that allows individual scholars to move across registers while the community maintains the vocabulary for identifying which register any </w:t>
      </w:r>
      <w:proofErr w:type="gramStart"/>
      <w:r>
        <w:rPr>
          <w:sz w:val="24"/>
          <w:szCs w:val="24"/>
        </w:rPr>
        <w:t>particular claim</w:t>
      </w:r>
      <w:proofErr w:type="gramEnd"/>
      <w:r>
        <w:rPr>
          <w:sz w:val="24"/>
          <w:szCs w:val="24"/>
        </w:rPr>
        <w:t xml:space="preserve"> occupies.</w:t>
      </w:r>
    </w:p>
    <w:p w14:paraId="300EB209" w14:textId="77777777" w:rsidR="00843CA5" w:rsidRDefault="006749D5">
      <w:pPr>
        <w:spacing w:line="480" w:lineRule="auto"/>
        <w:ind w:firstLine="720"/>
        <w:jc w:val="both"/>
      </w:pPr>
      <w:r>
        <w:rPr>
          <w:sz w:val="24"/>
          <w:szCs w:val="24"/>
        </w:rPr>
        <w:t>These distinctions do not need to be rigid. They do not need to produce separate journals or separate conferences for each register, though that may be appropriate as the field matures. They need to produce shared vocabulary. A common language for identifying what kind of claim is being made, so that when any one kind of claim is challenged, the challenge can be localized rather than generalized.</w:t>
      </w:r>
    </w:p>
    <w:p w14:paraId="3ED0D2EB" w14:textId="77777777" w:rsidR="00843CA5" w:rsidRDefault="006749D5">
      <w:pPr>
        <w:spacing w:line="480" w:lineRule="auto"/>
        <w:ind w:firstLine="720"/>
        <w:jc w:val="both"/>
      </w:pPr>
      <w:r>
        <w:rPr>
          <w:sz w:val="24"/>
          <w:szCs w:val="24"/>
        </w:rPr>
        <w:t xml:space="preserve">Bell's interest-convergence thesis did not require defensive fragility to be powerful. Crenshaw's intersectionality did not become less important because it was associated with pedagogical advocacy that state legislatures were able to ban. The theoretical contributions stand. The field's vulnerability was not in its ideas but in its inability to defend them separately from its advocacy. Law and antisemitism can avoid that vulnerability by building the infrastructure of methodological differentiation before </w:t>
      </w:r>
      <w:r>
        <w:rPr>
          <w:sz w:val="24"/>
          <w:szCs w:val="24"/>
        </w:rPr>
        <w:t>it is needed -- not after, when the political pressure is already applied.</w:t>
      </w:r>
    </w:p>
    <w:p w14:paraId="6C385E6E" w14:textId="77777777" w:rsidR="00843CA5" w:rsidRDefault="006749D5">
      <w:pPr>
        <w:spacing w:before="360" w:after="120" w:line="480" w:lineRule="auto"/>
        <w:ind w:firstLine="720"/>
      </w:pPr>
      <w:r>
        <w:rPr>
          <w:b/>
          <w:bCs/>
          <w:i/>
          <w:iCs/>
          <w:sz w:val="24"/>
          <w:szCs w:val="24"/>
        </w:rPr>
        <w:t>D.  The Counter-Storytelling Question</w:t>
      </w:r>
    </w:p>
    <w:p w14:paraId="498B92BA" w14:textId="77777777" w:rsidR="00843CA5" w:rsidRDefault="006749D5">
      <w:pPr>
        <w:spacing w:line="480" w:lineRule="auto"/>
        <w:ind w:firstLine="720"/>
        <w:jc w:val="both"/>
      </w:pPr>
      <w:r>
        <w:rPr>
          <w:sz w:val="24"/>
          <w:szCs w:val="24"/>
        </w:rPr>
        <w:t xml:space="preserve">Testimony of lived antisemitism -- accounts of personal experience, survivor testimony, firsthand descriptions of institutional exclusion -- is powerfully relevant to the field's subject </w:t>
      </w:r>
      <w:r>
        <w:rPr>
          <w:sz w:val="24"/>
          <w:szCs w:val="24"/>
        </w:rPr>
        <w:lastRenderedPageBreak/>
        <w:t>matter. It is also epistemically valuable in ways that conventional scholarship sometimes fails to capture. The question is how to incorporate it without reproducing CRT's underdifferentiation problem.</w:t>
      </w:r>
    </w:p>
    <w:p w14:paraId="0A88D1A6" w14:textId="77777777" w:rsidR="00843CA5" w:rsidRDefault="006749D5">
      <w:pPr>
        <w:spacing w:line="480" w:lineRule="auto"/>
        <w:ind w:firstLine="720"/>
        <w:jc w:val="both"/>
      </w:pPr>
      <w:r>
        <w:rPr>
          <w:sz w:val="24"/>
          <w:szCs w:val="24"/>
        </w:rPr>
        <w:t xml:space="preserve">The answer lies in methodological labeling, not methodological exclusion. Counter-storytelling and testimony should be explicitly identified as </w:t>
      </w:r>
      <w:proofErr w:type="spellStart"/>
      <w:r>
        <w:rPr>
          <w:sz w:val="24"/>
          <w:szCs w:val="24"/>
        </w:rPr>
        <w:t>phronetic</w:t>
      </w:r>
      <w:proofErr w:type="spellEnd"/>
      <w:r>
        <w:rPr>
          <w:sz w:val="24"/>
          <w:szCs w:val="24"/>
        </w:rPr>
        <w:t xml:space="preserve"> work -- practical wisdom derived from </w:t>
      </w:r>
      <w:proofErr w:type="gramStart"/>
      <w:r>
        <w:rPr>
          <w:sz w:val="24"/>
          <w:szCs w:val="24"/>
        </w:rPr>
        <w:t>particular experience</w:t>
      </w:r>
      <w:proofErr w:type="gramEnd"/>
      <w:r>
        <w:rPr>
          <w:sz w:val="24"/>
          <w:szCs w:val="24"/>
        </w:rPr>
        <w:t xml:space="preserve"> -- and evaluated by the standards appropriate to that register: its authenticity, its relevance to the </w:t>
      </w:r>
      <w:proofErr w:type="gramStart"/>
      <w:r>
        <w:rPr>
          <w:sz w:val="24"/>
          <w:szCs w:val="24"/>
        </w:rPr>
        <w:t>particular context</w:t>
      </w:r>
      <w:proofErr w:type="gramEnd"/>
      <w:r>
        <w:rPr>
          <w:sz w:val="24"/>
          <w:szCs w:val="24"/>
        </w:rPr>
        <w:t>, its showing of the gap between doctrine and lived experience. It should not be presented as if it were epistemic work, subject to the standards of theoretical rigor. And epistemic work should not be defended by appeal to experiential testimony when it is challenged on theoretical grounds.</w:t>
      </w:r>
    </w:p>
    <w:p w14:paraId="3DDF8C3F" w14:textId="77777777" w:rsidR="00843CA5" w:rsidRDefault="006749D5">
      <w:pPr>
        <w:spacing w:line="480" w:lineRule="auto"/>
        <w:ind w:firstLine="720"/>
        <w:jc w:val="both"/>
      </w:pPr>
      <w:r>
        <w:rPr>
          <w:sz w:val="24"/>
          <w:szCs w:val="24"/>
        </w:rPr>
        <w:t xml:space="preserve">This is not a demand that the personal be separated from the political. It is a demand that the field develop the vocabulary to say what kind of claim is being made when any </w:t>
      </w:r>
      <w:proofErr w:type="gramStart"/>
      <w:r>
        <w:rPr>
          <w:sz w:val="24"/>
          <w:szCs w:val="24"/>
        </w:rPr>
        <w:t>particular piece</w:t>
      </w:r>
      <w:proofErr w:type="gramEnd"/>
      <w:r>
        <w:rPr>
          <w:sz w:val="24"/>
          <w:szCs w:val="24"/>
        </w:rPr>
        <w:t xml:space="preserve"> of work is offered to the scholarly community. That vocabulary is what law and antisemitism currently lacks. Building it is the urgent task.</w:t>
      </w:r>
    </w:p>
    <w:p w14:paraId="4414168B" w14:textId="77777777" w:rsidR="00843CA5" w:rsidRDefault="006749D5">
      <w:pPr>
        <w:spacing w:before="480" w:after="240" w:line="480" w:lineRule="auto"/>
      </w:pPr>
      <w:r>
        <w:rPr>
          <w:b/>
          <w:bCs/>
          <w:sz w:val="24"/>
          <w:szCs w:val="24"/>
        </w:rPr>
        <w:t>CONCLUSION</w:t>
      </w:r>
    </w:p>
    <w:p w14:paraId="51B19B2D" w14:textId="77777777" w:rsidR="00843CA5" w:rsidRDefault="006749D5">
      <w:pPr>
        <w:spacing w:line="480" w:lineRule="auto"/>
        <w:ind w:firstLine="720"/>
        <w:jc w:val="both"/>
      </w:pPr>
      <w:r>
        <w:rPr>
          <w:sz w:val="24"/>
          <w:szCs w:val="24"/>
        </w:rPr>
        <w:t xml:space="preserve">Christopher Rufo described critical race theory as the "perfect villain." What he meant was that it was a perfect target: a label that could be detached from its referent and reattached to anything politically inconvenient. The label worked as a target because the field behind it had made the label synonymous with </w:t>
      </w:r>
      <w:proofErr w:type="gramStart"/>
      <w:r>
        <w:rPr>
          <w:sz w:val="24"/>
          <w:szCs w:val="24"/>
        </w:rPr>
        <w:t>all of</w:t>
      </w:r>
      <w:proofErr w:type="gramEnd"/>
      <w:r>
        <w:rPr>
          <w:sz w:val="24"/>
          <w:szCs w:val="24"/>
        </w:rPr>
        <w:t xml:space="preserve"> its work -- theoretical, empirical, doctrinal, and advocacy -- simultaneously. When the label was attacked, everything was attacked. The Stop WOKE Act litigation confirmed this in the adversarial record: courts enjoined viewpoint-discriminatory instruction bans on First Amendment grounds, but they could not engage the narrower claim that </w:t>
      </w:r>
      <w:r>
        <w:rPr>
          <w:sz w:val="24"/>
          <w:szCs w:val="24"/>
        </w:rPr>
        <w:lastRenderedPageBreak/>
        <w:t>scholarship and pedagogy were different things, because the field had no shared methodology for making that distinction stick.</w:t>
      </w:r>
    </w:p>
    <w:p w14:paraId="259AEE88" w14:textId="77777777" w:rsidR="00843CA5" w:rsidRDefault="006749D5">
      <w:pPr>
        <w:spacing w:line="480" w:lineRule="auto"/>
        <w:ind w:firstLine="720"/>
        <w:jc w:val="both"/>
      </w:pPr>
      <w:r>
        <w:rPr>
          <w:sz w:val="24"/>
          <w:szCs w:val="24"/>
        </w:rPr>
        <w:t>Miranda Fricker's work stands as the most precise rebuke to CRT's founding conflation -- and the most useful resource for building what law and antisemitism now needs. Fricker demonstrated, in the structure of her own scholarship, that one can fully endorse the epistemological critique of false objectivity while maintaining rigorous methodological differentiation. She validated CRT's most important philosophical insight and simultaneously modeled the practice CRT refused to adopt. The philosopher who best s</w:t>
      </w:r>
      <w:r>
        <w:rPr>
          <w:sz w:val="24"/>
          <w:szCs w:val="24"/>
        </w:rPr>
        <w:t>upports CRT's critique of the mainstream legal academy is also the philosopher who most clearly shows that the critique did not require defensive fragility.</w:t>
      </w:r>
    </w:p>
    <w:p w14:paraId="43BDA16F" w14:textId="77777777" w:rsidR="00843CA5" w:rsidRDefault="006749D5">
      <w:pPr>
        <w:spacing w:line="480" w:lineRule="auto"/>
        <w:ind w:firstLine="720"/>
        <w:jc w:val="both"/>
      </w:pPr>
      <w:r>
        <w:rPr>
          <w:sz w:val="24"/>
          <w:szCs w:val="24"/>
        </w:rPr>
        <w:t xml:space="preserve">Legal feminism confirms the structural lesson. MacKinnon, Fineman, and Schultz operated across identifiably different methodological registers within feminist legal scholarship. When Title IX enforcement became politically contested, feminist legal scholars could defend their theoretical frameworks without defending their advocacy </w:t>
      </w:r>
      <w:proofErr w:type="gramStart"/>
      <w:r>
        <w:rPr>
          <w:sz w:val="24"/>
          <w:szCs w:val="24"/>
        </w:rPr>
        <w:t>positions, and</w:t>
      </w:r>
      <w:proofErr w:type="gramEnd"/>
      <w:r>
        <w:rPr>
          <w:sz w:val="24"/>
          <w:szCs w:val="24"/>
        </w:rPr>
        <w:t xml:space="preserve"> defend their advocacy positions without claiming that the political controversy had resolved any theoretical question. That capacity for register-specific defense came from the field's architecture, not from the strength of its ideas. CRT had stronger ideas and weaker architecture. The architecture lost.</w:t>
      </w:r>
    </w:p>
    <w:p w14:paraId="5CE70AD8" w14:textId="77777777" w:rsidR="00843CA5" w:rsidRDefault="006749D5">
      <w:pPr>
        <w:spacing w:line="480" w:lineRule="auto"/>
        <w:ind w:firstLine="720"/>
        <w:jc w:val="both"/>
      </w:pPr>
      <w:r>
        <w:rPr>
          <w:sz w:val="24"/>
          <w:szCs w:val="24"/>
        </w:rPr>
        <w:t xml:space="preserve">Law and antisemitism now </w:t>
      </w:r>
      <w:proofErr w:type="gramStart"/>
      <w:r>
        <w:rPr>
          <w:sz w:val="24"/>
          <w:szCs w:val="24"/>
        </w:rPr>
        <w:t>faces</w:t>
      </w:r>
      <w:proofErr w:type="gramEnd"/>
      <w:r>
        <w:rPr>
          <w:sz w:val="24"/>
          <w:szCs w:val="24"/>
        </w:rPr>
        <w:t xml:space="preserve"> the same structural question the CRT founding generation faced in the 1980s. The IHRA Working Definition debate has already produced the first instance of register-collapse: a theoretical claim about what antisemitism is has been inserted by statute into an enforcement mechanism that determines what is legally prohibited. The Antisemitism Awareness Act collapsed episteme into techne. The field of law and antisemitism should be able to address that collapse with precision -- saying clearly that the the</w:t>
      </w:r>
      <w:r>
        <w:rPr>
          <w:sz w:val="24"/>
          <w:szCs w:val="24"/>
        </w:rPr>
        <w:t xml:space="preserve">oretical question and the </w:t>
      </w:r>
      <w:r>
        <w:rPr>
          <w:sz w:val="24"/>
          <w:szCs w:val="24"/>
        </w:rPr>
        <w:lastRenderedPageBreak/>
        <w:t xml:space="preserve">doctrinal question are related but distinct, and that answering one does not answer the other. A methodologically differentiated field can say that. A field organized around moral urgency without methodological infrastructure </w:t>
      </w:r>
      <w:proofErr w:type="gramStart"/>
      <w:r>
        <w:rPr>
          <w:sz w:val="24"/>
          <w:szCs w:val="24"/>
        </w:rPr>
        <w:t>cannot, and</w:t>
      </w:r>
      <w:proofErr w:type="gramEnd"/>
      <w:r>
        <w:rPr>
          <w:sz w:val="24"/>
          <w:szCs w:val="24"/>
        </w:rPr>
        <w:t xml:space="preserve"> will find itself in exactly the position CRT occupied: defending everything at once because it has no architecture for defending each part independently.</w:t>
      </w:r>
    </w:p>
    <w:p w14:paraId="2697F369" w14:textId="77777777" w:rsidR="00843CA5" w:rsidRDefault="006749D5">
      <w:pPr>
        <w:spacing w:line="480" w:lineRule="auto"/>
        <w:ind w:firstLine="720"/>
        <w:jc w:val="both"/>
      </w:pPr>
      <w:r>
        <w:rPr>
          <w:sz w:val="24"/>
          <w:szCs w:val="24"/>
        </w:rPr>
        <w:t>The choice must be made now. Build the architecture before the siege.</w:t>
      </w:r>
    </w:p>
    <w:p w14:paraId="2E61CF0C" w14:textId="77777777" w:rsidR="00843CA5" w:rsidRDefault="00843CA5"/>
    <w:sectPr w:rsidR="00843CA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E629" w14:textId="77777777" w:rsidR="006749D5" w:rsidRDefault="006749D5">
      <w:r>
        <w:separator/>
      </w:r>
    </w:p>
  </w:endnote>
  <w:endnote w:type="continuationSeparator" w:id="0">
    <w:p w14:paraId="30749372" w14:textId="77777777" w:rsidR="006749D5" w:rsidRDefault="00674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3FAF" w14:textId="77777777" w:rsidR="006749D5" w:rsidRDefault="006749D5">
      <w:r>
        <w:separator/>
      </w:r>
    </w:p>
  </w:footnote>
  <w:footnote w:type="continuationSeparator" w:id="0">
    <w:p w14:paraId="64AF4A1A" w14:textId="77777777" w:rsidR="006749D5" w:rsidRDefault="006749D5">
      <w:r>
        <w:continuationSeparator/>
      </w:r>
    </w:p>
  </w:footnote>
  <w:footnote w:id="1">
    <w:p w14:paraId="059C8F2A" w14:textId="77777777" w:rsidR="00843CA5" w:rsidRDefault="006749D5">
      <w:pPr>
        <w:jc w:val="both"/>
      </w:pPr>
      <w:r>
        <w:rPr>
          <w:rStyle w:val="FootnoteReference"/>
        </w:rPr>
        <w:footnoteRef/>
      </w:r>
      <w:r>
        <w:t xml:space="preserve">Christopher Rufo, Twitter, March 15, 2021 (tweet subsequently deleted; quotation archived in contemporaneous journalism). The New Yorker interview appears in Andrew Marantz, </w:t>
      </w:r>
      <w:r>
        <w:rPr>
          <w:i/>
          <w:iCs/>
        </w:rPr>
        <w:t>A Conservative Activist's Handbook for Rooting Out Critical Race Theory in Your School District</w:t>
      </w:r>
      <w:r>
        <w:t>, The New Yorker, June 7, 2021. Note: The original draft cited May 25, 2021; the correct publication date is June 7, 2021. Researchers should consult the Internet Archive for the preserved tweet URL.</w:t>
      </w:r>
    </w:p>
  </w:footnote>
  <w:footnote w:id="2">
    <w:p w14:paraId="622CEC7D" w14:textId="77777777" w:rsidR="00843CA5" w:rsidRDefault="006749D5">
      <w:pPr>
        <w:jc w:val="both"/>
      </w:pPr>
      <w:r>
        <w:rPr>
          <w:rStyle w:val="FootnoteReference"/>
        </w:rPr>
        <w:footnoteRef/>
      </w:r>
      <w:r>
        <w:t xml:space="preserve">National Conference of State Legislatures, Critical Race Theory and the Law (updated through 2023). The specific count of eighteen states with enacted legislation should be confirmed against the NCSL database current as of the date of publication. On the definitional inadequacy of the legislation, see Jonathan Friedman &amp; James Tager, </w:t>
      </w:r>
      <w:proofErr w:type="gramStart"/>
      <w:r>
        <w:rPr>
          <w:i/>
          <w:iCs/>
        </w:rPr>
        <w:t>Banned</w:t>
      </w:r>
      <w:proofErr w:type="gramEnd"/>
      <w:r>
        <w:rPr>
          <w:i/>
          <w:iCs/>
        </w:rPr>
        <w:t xml:space="preserve"> in the USA: The Growing Movement to Censor Books in Schools</w:t>
      </w:r>
      <w:r>
        <w:t xml:space="preserve">, PEN America, Sep. 19, 2022 (documenting that only five of seventeen states mentioned "critical race theory" </w:t>
      </w:r>
      <w:r>
        <w:t>by name in enacted legislation, and only one approached a definition with scholarly accuracy).</w:t>
      </w:r>
    </w:p>
  </w:footnote>
  <w:footnote w:id="3">
    <w:p w14:paraId="70795405" w14:textId="77777777" w:rsidR="00843CA5" w:rsidRDefault="006749D5">
      <w:pPr>
        <w:jc w:val="both"/>
      </w:pPr>
      <w:r>
        <w:rPr>
          <w:rStyle w:val="FootnoteReference"/>
        </w:rPr>
        <w:footnoteRef/>
      </w:r>
      <w:r>
        <w:t>Seth C. Oranburg, Law and Antisemitism as a Discipline: Toward a Foundational Architecture [forthcoming] (developing the concept of the disciplinary infrastructure needed to sustain scholarship on law and antisemitism and proposing the Aristotelian taxonomy deployed in this Article).</w:t>
      </w:r>
    </w:p>
  </w:footnote>
  <w:footnote w:id="4">
    <w:p w14:paraId="79993122" w14:textId="77777777" w:rsidR="00843CA5" w:rsidRDefault="006749D5">
      <w:pPr>
        <w:jc w:val="both"/>
      </w:pPr>
      <w:r>
        <w:rPr>
          <w:rStyle w:val="FootnoteReference"/>
        </w:rPr>
        <w:footnoteRef/>
      </w:r>
      <w:r>
        <w:t xml:space="preserve">Richard Delgado &amp; Jean Stefancic, </w:t>
      </w:r>
      <w:r>
        <w:rPr>
          <w:i/>
          <w:iCs/>
        </w:rPr>
        <w:t>Critical Race Theory: An Introduction</w:t>
      </w:r>
      <w:r>
        <w:t xml:space="preserve"> (3d ed., NYU Press 2017). For Delgado's own account of the verification problem internal to counter-storytelling, see Richard Delgado, Storytelling for Oppositionists and Others: A Plea for Narrative, 87 </w:t>
      </w:r>
      <w:r>
        <w:rPr>
          <w:i/>
          <w:iCs/>
        </w:rPr>
        <w:t>Mich. L. Rev.</w:t>
      </w:r>
      <w:r>
        <w:t xml:space="preserve"> 2411, 2441–2443 (1989) (acknowledging that counter-stories face the objection that "they are just stories" and proposing, without fully resolving, how experiential narrative might be evaluated against empirical standards).</w:t>
      </w:r>
    </w:p>
  </w:footnote>
  <w:footnote w:id="5">
    <w:p w14:paraId="04FEE628" w14:textId="77777777" w:rsidR="00843CA5" w:rsidRDefault="006749D5">
      <w:pPr>
        <w:jc w:val="both"/>
      </w:pPr>
      <w:r>
        <w:rPr>
          <w:rStyle w:val="FootnoteReference"/>
        </w:rPr>
        <w:footnoteRef/>
      </w:r>
      <w:r>
        <w:t xml:space="preserve">Kimberlé Crenshaw, Neil Gotanda, Gary Peller &amp; Kendall Thomas, eds., </w:t>
      </w:r>
      <w:r>
        <w:rPr>
          <w:i/>
          <w:iCs/>
        </w:rPr>
        <w:t>Critical Race Theory: The Key Writings That Formed the Movement</w:t>
      </w:r>
      <w:r>
        <w:t xml:space="preserve"> (New Press 1995).</w:t>
      </w:r>
    </w:p>
  </w:footnote>
  <w:footnote w:id="6">
    <w:p w14:paraId="41D0494C" w14:textId="77777777" w:rsidR="00843CA5" w:rsidRDefault="006749D5">
      <w:pPr>
        <w:jc w:val="both"/>
      </w:pPr>
      <w:r>
        <w:rPr>
          <w:rStyle w:val="FootnoteReference"/>
        </w:rPr>
        <w:footnoteRef/>
      </w:r>
      <w:r>
        <w:t xml:space="preserve">Delgado &amp; Stefancic, </w:t>
      </w:r>
      <w:r>
        <w:rPr>
          <w:i/>
          <w:iCs/>
        </w:rPr>
        <w:t>supra</w:t>
      </w:r>
      <w:r>
        <w:t xml:space="preserve"> note 4.</w:t>
      </w:r>
    </w:p>
  </w:footnote>
  <w:footnote w:id="7">
    <w:p w14:paraId="6E98CE5C" w14:textId="77777777" w:rsidR="00843CA5" w:rsidRDefault="006749D5">
      <w:pPr>
        <w:jc w:val="both"/>
      </w:pPr>
      <w:r>
        <w:rPr>
          <w:rStyle w:val="FootnoteReference"/>
        </w:rPr>
        <w:footnoteRef/>
      </w:r>
      <w:r>
        <w:t xml:space="preserve">Mari Matsuda, Looking to the Bottom: Critical Legal Studies and Reparations, 22 </w:t>
      </w:r>
      <w:r>
        <w:rPr>
          <w:i/>
          <w:iCs/>
        </w:rPr>
        <w:t>Harv. C.R.-C.L. L. Rev.</w:t>
      </w:r>
      <w:r>
        <w:t xml:space="preserve"> 323 (1987). For the epistemological stakes of the "outsider" perspective, see also Patricia J. Williams, The Obliging Shell: An Informal Essay on Formal Equal Opportunity, 87 </w:t>
      </w:r>
      <w:r>
        <w:rPr>
          <w:i/>
          <w:iCs/>
        </w:rPr>
        <w:t>Mich. L. Rev.</w:t>
      </w:r>
      <w:r>
        <w:t xml:space="preserve"> 2128 (1989).</w:t>
      </w:r>
    </w:p>
  </w:footnote>
  <w:footnote w:id="8">
    <w:p w14:paraId="773192E2" w14:textId="77777777" w:rsidR="00843CA5" w:rsidRDefault="006749D5">
      <w:pPr>
        <w:jc w:val="both"/>
      </w:pPr>
      <w:r>
        <w:rPr>
          <w:rStyle w:val="FootnoteReference"/>
        </w:rPr>
        <w:footnoteRef/>
      </w:r>
      <w:r>
        <w:t xml:space="preserve">Derrick Bell, Brown v. Board of Education and the Interest-Convergence Dilemma, 93 </w:t>
      </w:r>
      <w:r>
        <w:rPr>
          <w:i/>
          <w:iCs/>
        </w:rPr>
        <w:t>Harv. L. Rev.</w:t>
      </w:r>
      <w:r>
        <w:t xml:space="preserve"> 518 (1980).</w:t>
      </w:r>
    </w:p>
  </w:footnote>
  <w:footnote w:id="9">
    <w:p w14:paraId="43DCE4DB" w14:textId="77777777" w:rsidR="00843CA5" w:rsidRDefault="006749D5">
      <w:pPr>
        <w:jc w:val="both"/>
      </w:pPr>
      <w:r>
        <w:rPr>
          <w:rStyle w:val="FootnoteReference"/>
        </w:rPr>
        <w:footnoteRef/>
      </w:r>
      <w:r>
        <w:t xml:space="preserve">Kimberlé Crenshaw, Demarginalizing the Intersection of Race and Sex: A Black Feminist Critique of Antidiscrimination Doctrine, Feminist Theory and Antiracist Politics, 1989 </w:t>
      </w:r>
      <w:r>
        <w:rPr>
          <w:i/>
          <w:iCs/>
        </w:rPr>
        <w:t>U. Chi. Legal F.</w:t>
      </w:r>
      <w:r>
        <w:t xml:space="preserve"> 139.</w:t>
      </w:r>
    </w:p>
  </w:footnote>
  <w:footnote w:id="10">
    <w:p w14:paraId="0C449009" w14:textId="77777777" w:rsidR="00843CA5" w:rsidRDefault="006749D5">
      <w:pPr>
        <w:jc w:val="both"/>
      </w:pPr>
      <w:r>
        <w:rPr>
          <w:rStyle w:val="FootnoteReference"/>
        </w:rPr>
        <w:footnoteRef/>
      </w:r>
      <w:r>
        <w:t xml:space="preserve">Kimberlé Crenshaw, Mapping the Margins: Intersectionality, Identity Politics, and Violence Against Women of Color, 43 </w:t>
      </w:r>
      <w:r>
        <w:rPr>
          <w:i/>
          <w:iCs/>
        </w:rPr>
        <w:t>Stan. L. Rev.</w:t>
      </w:r>
      <w:r>
        <w:t xml:space="preserve"> 1241 (1991).</w:t>
      </w:r>
    </w:p>
  </w:footnote>
  <w:footnote w:id="11">
    <w:p w14:paraId="3D566104" w14:textId="77777777" w:rsidR="00843CA5" w:rsidRDefault="006749D5">
      <w:pPr>
        <w:jc w:val="both"/>
      </w:pPr>
      <w:r>
        <w:rPr>
          <w:rStyle w:val="FootnoteReference"/>
        </w:rPr>
        <w:footnoteRef/>
      </w:r>
      <w:r>
        <w:t xml:space="preserve">Cheryl I. Harris, Whiteness as Property, 106 </w:t>
      </w:r>
      <w:r>
        <w:rPr>
          <w:i/>
          <w:iCs/>
        </w:rPr>
        <w:t>Harv. L. Rev.</w:t>
      </w:r>
      <w:r>
        <w:t xml:space="preserve"> 1707 (1993).</w:t>
      </w:r>
    </w:p>
  </w:footnote>
  <w:footnote w:id="12">
    <w:p w14:paraId="35D4B5B0" w14:textId="77777777" w:rsidR="00843CA5" w:rsidRDefault="006749D5">
      <w:pPr>
        <w:jc w:val="both"/>
      </w:pPr>
      <w:r>
        <w:rPr>
          <w:rStyle w:val="FootnoteReference"/>
        </w:rPr>
        <w:footnoteRef/>
      </w:r>
      <w:r>
        <w:rPr>
          <w:i/>
          <w:iCs/>
        </w:rPr>
        <w:t>Washington v. Davis</w:t>
      </w:r>
      <w:r>
        <w:t>, 426 U.S. 229 (1976).</w:t>
      </w:r>
    </w:p>
  </w:footnote>
  <w:footnote w:id="13">
    <w:p w14:paraId="3C4AF59B" w14:textId="77777777" w:rsidR="00843CA5" w:rsidRDefault="006749D5">
      <w:pPr>
        <w:jc w:val="both"/>
      </w:pPr>
      <w:r>
        <w:rPr>
          <w:rStyle w:val="FootnoteReference"/>
        </w:rPr>
        <w:footnoteRef/>
      </w:r>
      <w:r>
        <w:t xml:space="preserve">Charles R. Lawrence III, The Id, the Ego, and Equal Protection: Reckoning with Unconscious Racism, 39 </w:t>
      </w:r>
      <w:r>
        <w:rPr>
          <w:i/>
          <w:iCs/>
        </w:rPr>
        <w:t>Stan. L. Rev.</w:t>
      </w:r>
      <w:r>
        <w:t xml:space="preserve"> 317 (1987).</w:t>
      </w:r>
    </w:p>
  </w:footnote>
  <w:footnote w:id="14">
    <w:p w14:paraId="22BD1EE4" w14:textId="77777777" w:rsidR="00843CA5" w:rsidRDefault="006749D5">
      <w:pPr>
        <w:jc w:val="both"/>
      </w:pPr>
      <w:r>
        <w:rPr>
          <w:rStyle w:val="FootnoteReference"/>
        </w:rPr>
        <w:footnoteRef/>
      </w:r>
      <w:r>
        <w:t xml:space="preserve">Patricia J. Williams, </w:t>
      </w:r>
      <w:r>
        <w:rPr>
          <w:i/>
          <w:iCs/>
        </w:rPr>
        <w:t>The Alchemy of Race and Rights</w:t>
      </w:r>
      <w:r>
        <w:t xml:space="preserve"> (Harvard Univ. Press 1991).</w:t>
      </w:r>
    </w:p>
  </w:footnote>
  <w:footnote w:id="15">
    <w:p w14:paraId="4C56D3AA" w14:textId="77777777" w:rsidR="00843CA5" w:rsidRDefault="006749D5">
      <w:pPr>
        <w:jc w:val="both"/>
      </w:pPr>
      <w:r>
        <w:rPr>
          <w:rStyle w:val="FootnoteReference"/>
        </w:rPr>
        <w:footnoteRef/>
      </w:r>
      <w:r>
        <w:t xml:space="preserve">Miranda Fricker, </w:t>
      </w:r>
      <w:r>
        <w:rPr>
          <w:i/>
          <w:iCs/>
        </w:rPr>
        <w:t>Epistemic Injustice: Power and the Ethics of Knowing</w:t>
      </w:r>
      <w:r>
        <w:t xml:space="preserve"> (Oxford Univ. Press 2007). Fricker distinguishes two forms of epistemic injustice: testimonial injustice, in which a speaker's credibility is deflated due to identity prejudice, and hermeneutical injustice, in which a gap in collective interpretive resources puts someone at an unfair disadvantage in making sense of their own social experience. Both forms provide philosophical grounding for CRT's epistemological critique of mainstream lega</w:t>
      </w:r>
      <w:r>
        <w:t>l scholarship. Critically for the argument here, Fricker's own methodology is differentiated: she maintains a clear distinction between the theoretical claim (epistemic injustice operates in these two forms) and the normative response (here is how it ought to be addressed). Her framework thus demonstrates that one can acknowledge the epistemological force of standpoint epistemology while maintaining methodological differentiation.</w:t>
      </w:r>
    </w:p>
  </w:footnote>
  <w:footnote w:id="16">
    <w:p w14:paraId="3A02FB7F" w14:textId="77777777" w:rsidR="00843CA5" w:rsidRDefault="006749D5">
      <w:pPr>
        <w:jc w:val="both"/>
      </w:pPr>
      <w:r>
        <w:rPr>
          <w:rStyle w:val="FootnoteReference"/>
        </w:rPr>
        <w:footnoteRef/>
      </w:r>
      <w:r>
        <w:t xml:space="preserve">The demonstration occurs at the structural level of Fricker's work, not merely at the level of stated methodology. Each chapter of </w:t>
      </w:r>
      <w:r>
        <w:rPr>
          <w:i/>
          <w:iCs/>
        </w:rPr>
        <w:t>Epistemic Injustice</w:t>
      </w:r>
      <w:r>
        <w:t xml:space="preserve"> identifies a specific form of epistemic wrong (theoretical register), </w:t>
      </w:r>
      <w:proofErr w:type="gramStart"/>
      <w:r>
        <w:t>marshals</w:t>
      </w:r>
      <w:proofErr w:type="gramEnd"/>
      <w:r>
        <w:t xml:space="preserve"> evidence from literary texts and social psychology (empirical register), and derives normative obligations (advocacy register). The registers are internally distinguishable throughout -- which is precisely why a philosopher of science can engage the empirical evidence without there</w:t>
      </w:r>
      <w:r>
        <w:t>by endorsing the normative program, and a legal theorist can adopt the theoretical framework without accepting every practical application Fricker proposes.</w:t>
      </w:r>
    </w:p>
  </w:footnote>
  <w:footnote w:id="17">
    <w:p w14:paraId="1F770FB4" w14:textId="77777777" w:rsidR="00843CA5" w:rsidRDefault="006749D5">
      <w:pPr>
        <w:jc w:val="both"/>
      </w:pPr>
      <w:r>
        <w:rPr>
          <w:rStyle w:val="FootnoteReference"/>
        </w:rPr>
        <w:footnoteRef/>
      </w:r>
      <w:r>
        <w:t xml:space="preserve">Delgado, </w:t>
      </w:r>
      <w:r>
        <w:rPr>
          <w:i/>
          <w:iCs/>
        </w:rPr>
        <w:t>supra</w:t>
      </w:r>
      <w:r>
        <w:t xml:space="preserve"> note 4 (Storytelling for Oppositionists).</w:t>
      </w:r>
    </w:p>
  </w:footnote>
  <w:footnote w:id="18">
    <w:p w14:paraId="35A23AB1" w14:textId="77777777" w:rsidR="00843CA5" w:rsidRDefault="006749D5">
      <w:pPr>
        <w:jc w:val="both"/>
      </w:pPr>
      <w:r>
        <w:rPr>
          <w:rStyle w:val="FootnoteReference"/>
        </w:rPr>
        <w:footnoteRef/>
      </w:r>
      <w:r>
        <w:rPr>
          <w:i/>
          <w:iCs/>
        </w:rPr>
        <w:t>See</w:t>
      </w:r>
      <w:r>
        <w:t xml:space="preserve"> Jerome </w:t>
      </w:r>
      <w:proofErr w:type="spellStart"/>
      <w:r>
        <w:t>McCristal</w:t>
      </w:r>
      <w:proofErr w:type="spellEnd"/>
      <w:r>
        <w:t xml:space="preserve"> Culp, Jr., Autobiography and Legal Scholarship and Teaching: Finding the Me in the Legal Academy, 77 </w:t>
      </w:r>
      <w:r>
        <w:rPr>
          <w:i/>
          <w:iCs/>
        </w:rPr>
        <w:t>Va. L. Rev.</w:t>
      </w:r>
      <w:r>
        <w:t xml:space="preserve"> 539 (1991) (raising from within CRT-adjacent scholarship concerns about whether autobiographical narrative could bear the evidentiary weight the methodology assigned to it). Richard Delgado himself acknowledged the difficulty: the counter-story 'is a story. As such, it does not follow conventional academic rules.' Delgado, supra note 4, at 2412. What the founding generation d</w:t>
      </w:r>
      <w:r>
        <w:t>id not develop was a methodology for adjudicating between stories -- for saying when a particular narrative was functioning as empirical evidence, when as advocacy, and what standards should apply in each case.</w:t>
      </w:r>
    </w:p>
  </w:footnote>
  <w:footnote w:id="19">
    <w:p w14:paraId="2BB26B06" w14:textId="77777777" w:rsidR="00843CA5" w:rsidRDefault="006749D5">
      <w:pPr>
        <w:jc w:val="both"/>
      </w:pPr>
      <w:r>
        <w:rPr>
          <w:rStyle w:val="FootnoteReference"/>
        </w:rPr>
        <w:footnoteRef/>
      </w:r>
      <w:r>
        <w:t>See supra note 2 and sources cited therein.</w:t>
      </w:r>
    </w:p>
  </w:footnote>
  <w:footnote w:id="20">
    <w:p w14:paraId="76C08D08" w14:textId="77777777" w:rsidR="00843CA5" w:rsidRDefault="006749D5">
      <w:pPr>
        <w:jc w:val="both"/>
      </w:pPr>
      <w:r>
        <w:rPr>
          <w:rStyle w:val="FootnoteReference"/>
        </w:rPr>
        <w:footnoteRef/>
      </w:r>
      <w:r>
        <w:rPr>
          <w:i/>
          <w:iCs/>
        </w:rPr>
        <w:t>Pernell v. Florida Board of Governors</w:t>
      </w:r>
      <w:r>
        <w:t xml:space="preserve">, 641 F. Supp. 3d 1218 (N.D. Fla. 2022), aff'd in relevant part, </w:t>
      </w:r>
      <w:r>
        <w:rPr>
          <w:i/>
          <w:iCs/>
        </w:rPr>
        <w:t>Florida Board of Governors of the State University System v. Pernell</w:t>
      </w:r>
      <w:r>
        <w:t>, No. 22-13992 (11th Cir. 2023). Judge Walker's district court opinion found that Florida's Individual Freedom Act, S.B. 2006 (2022), constituted unconstitutional viewpoint discrimination by prohibiting instruction that caused students to feel "discomfort, guilt, anguish, or any other form of psychological distress" on account of their race</w:t>
      </w:r>
      <w:r>
        <w:t xml:space="preserve">, color, national origin, or sex. The Eleventh Circuit affirmed the injunction as to the higher education provisions on First Amendment grounds. The workplace training provisions of the same Act were separately enjoined in </w:t>
      </w:r>
      <w:r>
        <w:rPr>
          <w:i/>
          <w:iCs/>
        </w:rPr>
        <w:t>Honeyfund.com Inc. v. Governor of Florida</w:t>
      </w:r>
      <w:r>
        <w:t>, 622 F. Supp. 3d 1159 (N.D. Fla. 2022). These cases demonstrate both the legal receptiveness to vagueness challenges and their structural limitation: the courts' First Amendment holdings protected classroom speech without engaging the field's inab</w:t>
      </w:r>
      <w:r>
        <w:t>ility to distinguish its scholarly methodology from its pedagogical practice.</w:t>
      </w:r>
    </w:p>
  </w:footnote>
  <w:footnote w:id="21">
    <w:p w14:paraId="53EF7387" w14:textId="77777777" w:rsidR="00843CA5" w:rsidRDefault="006749D5">
      <w:pPr>
        <w:jc w:val="both"/>
      </w:pPr>
      <w:r>
        <w:rPr>
          <w:rStyle w:val="FootnoteReference"/>
        </w:rPr>
        <w:footnoteRef/>
      </w:r>
      <w:r>
        <w:t xml:space="preserve">Tom L. Beauchamp &amp; James F. Childress, </w:t>
      </w:r>
      <w:r>
        <w:rPr>
          <w:i/>
          <w:iCs/>
        </w:rPr>
        <w:t>Principles of Biomedical Ethics</w:t>
      </w:r>
      <w:r>
        <w:t xml:space="preserve"> (8th ed., Oxford Univ. Press 2019). On the internal contestation within bioethics, see Albert R. Jonsen &amp; Stephen Toulmin, </w:t>
      </w:r>
      <w:r>
        <w:rPr>
          <w:i/>
          <w:iCs/>
        </w:rPr>
        <w:t>The Abuse of Casuistry: A History of Moral Reasoning</w:t>
      </w:r>
      <w:r>
        <w:t xml:space="preserve"> (Univ. of Cal. Press 1988) (casuist critique of </w:t>
      </w:r>
      <w:proofErr w:type="spellStart"/>
      <w:r>
        <w:t>principlist</w:t>
      </w:r>
      <w:proofErr w:type="spellEnd"/>
      <w:r>
        <w:t xml:space="preserve"> methodology); Rita Charon, </w:t>
      </w:r>
      <w:r>
        <w:rPr>
          <w:i/>
          <w:iCs/>
        </w:rPr>
        <w:t>Narrative Medicine: Honoring the Stories of Illness</w:t>
      </w:r>
      <w:r>
        <w:t xml:space="preserve"> (Oxford Univ. Press 2006). The mechanism of structural protection operated as follows: when President George W. Bush issued Executive Order 13435 (2007) restricting federal funding for embryonic stem cell research, the American Society for Bioethics and Humanities and the Presidential Commission for the Study of Bioethical Issues each took public positions on the applied funding question while explicitly distinguishing those positions from the theoretical framework of </w:t>
      </w:r>
      <w:proofErr w:type="spellStart"/>
      <w:r>
        <w:t>principlism</w:t>
      </w:r>
      <w:proofErr w:type="spellEnd"/>
      <w:r>
        <w:t>. Their statements noted th</w:t>
      </w:r>
      <w:r>
        <w:t>at the four-</w:t>
      </w:r>
      <w:proofErr w:type="gramStart"/>
      <w:r>
        <w:t>principle</w:t>
      </w:r>
      <w:proofErr w:type="gramEnd"/>
      <w:r>
        <w:t xml:space="preserve"> framework (autonomy, beneficence, non-maleficence, justice) was internally neutral as between the applied positions being debated. That distinction held, practically, because the </w:t>
      </w:r>
      <w:proofErr w:type="spellStart"/>
      <w:r>
        <w:t>principlist</w:t>
      </w:r>
      <w:proofErr w:type="spellEnd"/>
      <w:r>
        <w:t xml:space="preserve"> vocabulary was institutionalized -- trained into medical school curricula, embedded in IRB review processes, and reproduced in a body of scholarship that had clearly separated theoretical principles from applied conclusions. When the Obama administration reversed the executive order in 2009, the re</w:t>
      </w:r>
      <w:r>
        <w:t>versal was administrative, not scholarly. But bioethics scholarship had survived the intervening eight years without being defunded, banned from medical schools, or subjected to the kind of legislative definition-by-legislation that CRT faced, in part because the field could say, credibly and with shared vocabulary, "restrict the application; you have not touched the framework." That defense is available only to a methodologically differentiated field.</w:t>
      </w:r>
    </w:p>
  </w:footnote>
  <w:footnote w:id="22">
    <w:p w14:paraId="242FD30B" w14:textId="77777777" w:rsidR="00843CA5" w:rsidRDefault="006749D5">
      <w:pPr>
        <w:jc w:val="both"/>
      </w:pPr>
      <w:r>
        <w:rPr>
          <w:rStyle w:val="FootnoteReference"/>
        </w:rPr>
        <w:footnoteRef/>
      </w:r>
      <w:r>
        <w:t xml:space="preserve">The legal feminism comparison is not offered as a perfect analogy. Feminist legal theory faced its own underdifferentiation critiques, and its methodological disputes remain ongoing. The comparison is structural and limited: feminist legal scholarship produced scholars such as Catharine A. MacKinnon, </w:t>
      </w:r>
      <w:r>
        <w:rPr>
          <w:i/>
          <w:iCs/>
        </w:rPr>
        <w:t>Toward a Feminist Theory of the State</w:t>
      </w:r>
      <w:r>
        <w:t xml:space="preserve"> (Harvard Univ. Press 1989) (dominance theory), Martha Albertson Fineman, The Vulnerable Subject: Anchoring Equality in the Human Condition, 20 </w:t>
      </w:r>
      <w:r>
        <w:rPr>
          <w:i/>
          <w:iCs/>
        </w:rPr>
        <w:t>Yale J.L. &amp; Feminism</w:t>
      </w:r>
      <w:r>
        <w:t xml:space="preserve"> 1 (2008)</w:t>
      </w:r>
      <w:r>
        <w:t xml:space="preserve"> (vulnerability theory), and Vicki Schultz, Reconceptualizing Sexual Harassment, 107 </w:t>
      </w:r>
      <w:r>
        <w:rPr>
          <w:i/>
          <w:iCs/>
        </w:rPr>
        <w:t>Yale L.J.</w:t>
      </w:r>
      <w:r>
        <w:t xml:space="preserve"> 1683 (1998) (empirical analysis of workplace discrimination), who operated across identifiably different methodological registers, providing the field with at least partial capacity for register-specific defense when particular claims came under political pressure.</w:t>
      </w:r>
    </w:p>
  </w:footnote>
  <w:footnote w:id="23">
    <w:p w14:paraId="59C00E08" w14:textId="77777777" w:rsidR="00843CA5" w:rsidRDefault="006749D5">
      <w:pPr>
        <w:jc w:val="both"/>
      </w:pPr>
      <w:r>
        <w:rPr>
          <w:rStyle w:val="FootnoteReference"/>
        </w:rPr>
        <w:footnoteRef/>
      </w:r>
      <w:r>
        <w:t xml:space="preserve">Oranburg, </w:t>
      </w:r>
      <w:r>
        <w:rPr>
          <w:i/>
          <w:iCs/>
        </w:rPr>
        <w:t>supra</w:t>
      </w:r>
      <w:r>
        <w:t xml:space="preserve"> note 19.</w:t>
      </w:r>
    </w:p>
  </w:footnote>
  <w:footnote w:id="24">
    <w:p w14:paraId="37E73C39" w14:textId="77777777" w:rsidR="00843CA5" w:rsidRDefault="006749D5">
      <w:pPr>
        <w:jc w:val="both"/>
      </w:pPr>
      <w:r>
        <w:rPr>
          <w:rStyle w:val="FootnoteReference"/>
        </w:rPr>
        <w:footnoteRef/>
      </w:r>
      <w:r>
        <w:t xml:space="preserve">Antisemitism Awareness Act of 2023, H.R. 6090, 118th Cong. (passed House May 2, 2024). For analysis of the constitutional implications of deploying the IHRA Working Definition as an enforcement standard, see </w:t>
      </w:r>
      <w:r>
        <w:rPr>
          <w:i/>
          <w:iCs/>
        </w:rPr>
        <w:t>id.</w:t>
      </w:r>
      <w:r>
        <w:t>, § 2 (directing the Department of Education to use the IHRA Working Definition of Antisemitism when enforcing Title VI of the Civil Rights Act of 1964). The First Amendment concerns are not resolved by the Senate's failure to pass the Act; they will recur in administrative enforcement contexts.</w:t>
      </w:r>
    </w:p>
  </w:footnote>
  <w:footnote w:id="25">
    <w:p w14:paraId="3CFE1F17" w14:textId="77777777" w:rsidR="00843CA5" w:rsidRDefault="006749D5">
      <w:pPr>
        <w:jc w:val="both"/>
      </w:pPr>
      <w:r>
        <w:rPr>
          <w:rStyle w:val="FootnoteReference"/>
        </w:rPr>
        <w:footnoteRef/>
      </w:r>
      <w:r>
        <w:t xml:space="preserve">International Holocaust Remembrance Alliance, Working Definition of Antisemitism (May 26, 2016), available at https://www.holocaustremembrance.com/resources/working-definitions-charters/working-definition-antisemitism. The IHRA definition includes illustrative examples referencing Israel, which have generated substantial scholarly debate about whether </w:t>
      </w:r>
      <w:proofErr w:type="gramStart"/>
      <w:r>
        <w:t>particular forms</w:t>
      </w:r>
      <w:proofErr w:type="gramEnd"/>
      <w:r>
        <w:t xml:space="preserve"> of political criticism of Israeli government policy fall within or outside the definition. That debate is an epistemic one -- it concerns wha</w:t>
      </w:r>
      <w:r>
        <w:t>t antisemitism is -- but it is regularly collapsed, in public and legislative discourse, into a debate about what should be legally prohibited.</w:t>
      </w:r>
    </w:p>
  </w:footnote>
  <w:footnote w:id="26">
    <w:p w14:paraId="7BFB7AA9" w14:textId="77777777" w:rsidR="00843CA5" w:rsidRDefault="006749D5">
      <w:pPr>
        <w:jc w:val="both"/>
      </w:pPr>
      <w:r>
        <w:rPr>
          <w:rStyle w:val="FootnoteReference"/>
        </w:rPr>
        <w:footnoteRef/>
      </w:r>
      <w:r>
        <w:t xml:space="preserve">Seth C. Oranburg, Institutional Antisemitism: Governance Failure as Discrimination Mechanism, </w:t>
      </w:r>
      <w:r>
        <w:rPr>
          <w:i/>
          <w:iCs/>
        </w:rPr>
        <w:t>Dartmouth Law Journal</w:t>
      </w:r>
      <w:r>
        <w:t xml:space="preserve"> [forthcoming] (analyzing the Trump administration's conditional funding approach and its compliance-without-reform consequences).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8DDE" w14:textId="77777777" w:rsidR="00843CA5" w:rsidRDefault="006749D5">
    <w:pPr>
      <w:jc w:val="right"/>
    </w:pPr>
    <w:r>
      <w:t xml:space="preserve">METHODOLOGICAL FAILURE OF CRITICAL RACE THEORY     </w:t>
    </w:r>
    <w:proofErr w:type="gramStart"/>
    <w:r>
      <w:t xml:space="preserve">   [</w:t>
    </w:r>
    <w:proofErr w:type="gramEnd"/>
    <w:r>
      <w:t>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00C36"/>
    <w:multiLevelType w:val="hybridMultilevel"/>
    <w:tmpl w:val="4DCACD6E"/>
    <w:lvl w:ilvl="0" w:tplc="B0764A5C">
      <w:start w:val="1"/>
      <w:numFmt w:val="bullet"/>
      <w:lvlText w:val="●"/>
      <w:lvlJc w:val="left"/>
      <w:pPr>
        <w:ind w:left="720" w:hanging="360"/>
      </w:pPr>
    </w:lvl>
    <w:lvl w:ilvl="1" w:tplc="361088F6">
      <w:start w:val="1"/>
      <w:numFmt w:val="bullet"/>
      <w:lvlText w:val="○"/>
      <w:lvlJc w:val="left"/>
      <w:pPr>
        <w:ind w:left="1440" w:hanging="360"/>
      </w:pPr>
    </w:lvl>
    <w:lvl w:ilvl="2" w:tplc="CF08E7C0">
      <w:start w:val="1"/>
      <w:numFmt w:val="bullet"/>
      <w:lvlText w:val="■"/>
      <w:lvlJc w:val="left"/>
      <w:pPr>
        <w:ind w:left="2160" w:hanging="360"/>
      </w:pPr>
    </w:lvl>
    <w:lvl w:ilvl="3" w:tplc="666E00C2">
      <w:start w:val="1"/>
      <w:numFmt w:val="bullet"/>
      <w:lvlText w:val="●"/>
      <w:lvlJc w:val="left"/>
      <w:pPr>
        <w:ind w:left="2880" w:hanging="360"/>
      </w:pPr>
    </w:lvl>
    <w:lvl w:ilvl="4" w:tplc="67967780">
      <w:start w:val="1"/>
      <w:numFmt w:val="bullet"/>
      <w:lvlText w:val="○"/>
      <w:lvlJc w:val="left"/>
      <w:pPr>
        <w:ind w:left="3600" w:hanging="360"/>
      </w:pPr>
    </w:lvl>
    <w:lvl w:ilvl="5" w:tplc="E81637C2">
      <w:start w:val="1"/>
      <w:numFmt w:val="bullet"/>
      <w:lvlText w:val="■"/>
      <w:lvlJc w:val="left"/>
      <w:pPr>
        <w:ind w:left="4320" w:hanging="360"/>
      </w:pPr>
    </w:lvl>
    <w:lvl w:ilvl="6" w:tplc="8F3EB5F6">
      <w:start w:val="1"/>
      <w:numFmt w:val="bullet"/>
      <w:lvlText w:val="●"/>
      <w:lvlJc w:val="left"/>
      <w:pPr>
        <w:ind w:left="5040" w:hanging="360"/>
      </w:pPr>
    </w:lvl>
    <w:lvl w:ilvl="7" w:tplc="294E23E6">
      <w:start w:val="1"/>
      <w:numFmt w:val="bullet"/>
      <w:lvlText w:val="●"/>
      <w:lvlJc w:val="left"/>
      <w:pPr>
        <w:ind w:left="5760" w:hanging="360"/>
      </w:pPr>
    </w:lvl>
    <w:lvl w:ilvl="8" w:tplc="B46AC938">
      <w:start w:val="1"/>
      <w:numFmt w:val="bullet"/>
      <w:lvlText w:val="●"/>
      <w:lvlJc w:val="left"/>
      <w:pPr>
        <w:ind w:left="6480" w:hanging="360"/>
      </w:pPr>
    </w:lvl>
  </w:abstractNum>
  <w:num w:numId="1" w16cid:durableId="742945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A5"/>
    <w:rsid w:val="006749D5"/>
    <w:rsid w:val="0083258F"/>
    <w:rsid w:val="00843CA5"/>
    <w:rsid w:val="00F36B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07E4019"/>
  <w15:docId w15:val="{F440AA24-91D6-9244-A912-EB336547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6696</Words>
  <Characters>39508</Characters>
  <Application>Microsoft Office Word</Application>
  <DocSecurity>0</DocSecurity>
  <Lines>548</Lines>
  <Paragraphs>123</Paragraphs>
  <ScaleCrop>false</ScaleCrop>
  <Company/>
  <LinksUpToDate>false</LinksUpToDate>
  <CharactersWithSpaces>46081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Oranburg</cp:lastModifiedBy>
  <cp:revision>2</cp:revision>
  <dcterms:created xsi:type="dcterms:W3CDTF">2026-03-08T15:50:00Z</dcterms:created>
  <dcterms:modified xsi:type="dcterms:W3CDTF">2026-03-08T15:50:00Z</dcterms:modified>
</cp:coreProperties>
</file>