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8 OF INTEGRATED PROJECT_GROUP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the Midterm Presentation and received valuable feedback from instructors Thomas and Ira.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Reviewed and discussed the catch-up meeting with instructors, focusing on the exposure rating and premium calculation.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clarified confusions regarding exposure rating using the illustration provided in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exposure_pricing_illustration.xlsx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progress on data clustering and fitting exposure curves to the data as per the research paper.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Issues: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team is confused with choices of different sets of parameters. There might be some challenges in interpreting the results and selecting the most appropriate parameters.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is still confused about the process of exposure rating and the premium calculation methodology.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Issues: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team is preparing for the Final Presentation and the Executive Summary, which requires careful structuring and incorporation of feedback from the Midterm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Continue refining the exposure rating and premium calculation models based on the feedback and discussions from the recent meetings.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Finalize the selection of parameters for the exposure curves and prepare a detailed analysis of the results.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Prepare for the next meeting on July 18, 2024, when Carlos will provide a more detailed explanation of exposure rating.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 the structure for the Final Presentation and the Executive Summary, incorporating the suggestions and guidelines provided by the instructors.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July 15, 2024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Recorded by: Orange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1GZWwYLRdcewkisZ_T_lzcC9XeksM3v_/edit?usp=drive_link&amp;ouid=11429512264524261499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9BfCsf3C/R2Ob1MSWl9vEaIkw==">CgMxLjAyCGguZ2pkZ3hzOAByITFmUUQtb2F3VTJyeWZvUFdPdXJvYlNkQ3VlS0ZPMnVLMA==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