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7324D"/>
          <w:sz w:val="56"/>
        </w:rPr>
        <w:t>BELLE REALTY</w:t>
        <w:br/>
        <w:t>MASTER LEASE v2.1</w:t>
      </w:r>
    </w:p>
    <w:p>
      <w:pPr>
        <w:jc w:val="center"/>
      </w:pPr>
      <w:r>
        <w:rPr>
          <w:b/>
          <w:color w:val="B89452"/>
          <w:sz w:val="28"/>
        </w:rPr>
        <w:t>FULL EXAMPLE - ON THE BOULEVARD SHOPPING CENTER</w:t>
      </w:r>
    </w:p>
    <w:p>
      <w:pPr>
        <w:jc w:val="center"/>
      </w:pPr>
      <w:r>
        <w:t>101-149 Arnould Boulevard | Lafayette, Louisiana 70506</w:t>
        <w:br/>
        <w:t>Landlord: Belle Realty of Lafayette, LLC</w:t>
      </w:r>
    </w:p>
    <w:p/>
    <w:tbl>
      <w:tblPr>
        <w:tblW w:type="auto" w:w="0"/>
        <w:tblLook w:firstColumn="1" w:firstRow="1" w:lastColumn="0" w:lastRow="0" w:noHBand="0" w:noVBand="1" w:val="04A0"/>
      </w:tblPr>
      <w:tblGrid>
        <w:gridCol w:w="9936"/>
      </w:tblGrid>
      <w:tr>
        <w:tc>
          <w:tcPr>
            <w:tcW w:type="dxa" w:w="9936"/>
            <w:shd w:fill="FFF2CC"/>
          </w:tcPr>
          <w:p>
            <w:r>
              <w:rPr>
                <w:b/>
                <w:color w:val="824E00"/>
              </w:rPr>
              <w:t>ILLUSTRATIVE WORKING FORM - NOT READY FOR SIGNATURE</w:t>
              <w:br/>
              <w:t>All bracketed fields and tenant/deal-specific items must be completed and approved. The included rent schedule is an illustrative V3.1 example, not a verified transaction. Louisiana counsel must review all provisions flagged in this document and the final execution version.</w:t>
            </w:r>
          </w:p>
        </w:tc>
      </w:tr>
    </w:tbl>
    <w:p>
      <w:r>
        <w:t>Source hierarchy: current OTB house form and V3.1 crosswalk for operations/economics; retail lease references for issue coverage; Entire Chat blueprint for summary -&gt; fixed articles -&gt; modular exhibits/addenda. No Minnesota law is adopted.</w:t>
      </w:r>
    </w:p>
    <w:p>
      <w:r>
        <w:br w:type="page"/>
      </w:r>
    </w:p>
    <w:p>
      <w:pPr>
        <w:pStyle w:val="Heading1"/>
      </w:pPr>
      <w:r>
        <w:t>LOUISIANA COUNSEL REVIEW INDEX</w:t>
      </w:r>
    </w:p>
    <w:p>
      <w:pPr>
        <w:pStyle w:val="ListBullet"/>
      </w:pPr>
      <w:r>
        <w:t>Default notices, cure periods, possession, abandonment, self-help, acceleration/damages, mitigation, and attorneys' fees.</w:t>
      </w:r>
    </w:p>
    <w:p>
      <w:pPr>
        <w:pStyle w:val="ListBullet"/>
      </w:pPr>
      <w:r>
        <w:t>Indemnity and defense scope; waivers; gross-negligence and willful-misconduct exceptions.</w:t>
      </w:r>
    </w:p>
    <w:p>
      <w:pPr>
        <w:pStyle w:val="ListBullet"/>
      </w:pPr>
      <w:r>
        <w:t>Casualty termination and rent-abatement mechanics; condemnation allocation.</w:t>
      </w:r>
    </w:p>
    <w:p>
      <w:pPr>
        <w:pStyle w:val="ListBullet"/>
      </w:pPr>
      <w:r>
        <w:t>Assignment standards, continuing guaranty liability, transfer-profit rights, and lender provisions.</w:t>
      </w:r>
    </w:p>
    <w:p>
      <w:pPr>
        <w:pStyle w:val="ListBullet"/>
      </w:pPr>
      <w:r>
        <w:t>Recordation/memorandum, venue, electronic signature, limitation of landlord liability, and severability.</w:t>
      </w:r>
    </w:p>
    <w:p>
      <w:pPr>
        <w:pStyle w:val="ListBullet"/>
      </w:pPr>
      <w:r>
        <w:t>Renewal option enforceability where renewal rent is negotiated rather than formula-based.</w:t>
      </w:r>
    </w:p>
    <w:p>
      <w:pPr>
        <w:pStyle w:val="ListBullet"/>
      </w:pPr>
      <w:r>
        <w:t>Guaranty execution, marital/community-property implications, and any spouse-consent requirements.</w:t>
      </w:r>
    </w:p>
    <w:p>
      <w:pPr>
        <w:pStyle w:val="ListBullet"/>
      </w:pPr>
      <w:r>
        <w:t>Insurance limits and endorsements with Landlord's insurance advisor.</w:t>
      </w:r>
    </w:p>
    <w:p>
      <w:pPr>
        <w:pStyle w:val="Heading1"/>
      </w:pPr>
      <w:r>
        <w:t>PLACEHOLDER AND MODULE RULES</w:t>
      </w:r>
    </w:p>
    <w:p>
      <w:r>
        <w:t>Bracketed fields are required inputs. Conditional addenda are included as a library and must be removed unless selected in the signed Lease Summary. Conflicts with existing tenant exclusives must be checked before any use or exclusive-use language is approved.</w:t>
      </w:r>
    </w:p>
    <w:p>
      <w:r>
        <w:br w:type="page"/>
      </w:r>
    </w:p>
    <w:p>
      <w:pPr>
        <w:pStyle w:val="Heading1"/>
      </w:pPr>
      <w:r>
        <w:t>LEASE SUMMARY AND ECONOMIC TERMS</w:t>
      </w:r>
    </w:p>
    <w:p>
      <w:pPr>
        <w:pStyle w:val="Title"/>
        <w:jc w:val="center"/>
      </w:pPr>
      <w:r>
        <w:t>OTB Lease Summary / Deal Sheet - V3.1</w:t>
      </w:r>
    </w:p>
    <w:p>
      <w:pPr>
        <w:jc w:val="center"/>
      </w:pPr>
      <w:r>
        <w:rPr>
          <w:rFonts w:ascii="Arial" w:hAnsi="Arial"/>
          <w:b/>
          <w:sz w:val="18"/>
        </w:rPr>
        <w:t>On the Boulevard Shopping Center | 101-149 Arnould Blvd., Lafayette, LA 70506</w:t>
      </w:r>
    </w:p>
    <w:p>
      <w:pPr>
        <w:jc w:val="center"/>
      </w:pPr>
      <w:r>
        <w:rPr>
          <w:rFonts w:ascii="Arial" w:hAnsi="Arial"/>
          <w:i/>
          <w:sz w:val="18"/>
        </w:rPr>
        <w:t>Front-end data sheet for automated lease generation and controlled deviations</w:t>
      </w:r>
    </w:p>
    <w:p>
      <w:pPr>
        <w:spacing w:after="80"/>
      </w:pPr>
      <w:r>
        <w:rPr>
          <w:rFonts w:ascii="Arial" w:hAnsi="Arial"/>
          <w:sz w:val="20"/>
        </w:rPr>
        <w:t>Instruction: complete this Summary first. The system should generate the Master Lease, rent schedule, addenda, onboarding packet, guaranty package, and extension package from this record.</w:t>
      </w:r>
    </w:p>
    <w:p>
      <w:pPr>
        <w:pStyle w:val="Heading1"/>
        <w:spacing w:after="80"/>
      </w:pPr>
      <w:r>
        <w:t>A. Core Deal Fields</w:t>
      </w:r>
    </w:p>
    <w:tbl>
      <w:tblPr>
        <w:tblStyle w:val="TableGrid"/>
        <w:tblW w:type="auto" w:w="0"/>
        <w:tblLook w:firstColumn="1" w:firstRow="1" w:lastColumn="0" w:lastRow="0" w:noHBand="0" w:noVBand="1" w:val="04A0"/>
      </w:tblPr>
      <w:tblGrid>
        <w:gridCol w:w="5040"/>
        <w:gridCol w:w="5040"/>
      </w:tblGrid>
      <w:tr>
        <w:tc>
          <w:tcPr>
            <w:tcW w:type="dxa" w:w="3168"/>
            <w:shd w:fill="B4C6E7" w:val="clear"/>
          </w:tcPr>
          <w:p>
            <w:r/>
            <w:r>
              <w:rPr>
                <w:rFonts w:ascii="Arial" w:hAnsi="Arial"/>
                <w:b/>
                <w:sz w:val="18"/>
              </w:rPr>
              <w:t>Field</w:t>
            </w:r>
          </w:p>
        </w:tc>
        <w:tc>
          <w:tcPr>
            <w:tcW w:type="dxa" w:w="7056"/>
            <w:shd w:fill="B4C6E7" w:val="clear"/>
          </w:tcPr>
          <w:p>
            <w:r/>
            <w:r>
              <w:rPr>
                <w:rFonts w:ascii="Arial" w:hAnsi="Arial"/>
                <w:b/>
                <w:sz w:val="18"/>
              </w:rPr>
              <w:t>Value / House Default</w:t>
            </w:r>
          </w:p>
        </w:tc>
      </w:tr>
      <w:tr>
        <w:tc>
          <w:tcPr>
            <w:tcW w:type="dxa" w:w="3168"/>
          </w:tcPr>
          <w:p>
            <w:r/>
            <w:r>
              <w:rPr>
                <w:rFonts w:ascii="Arial" w:hAnsi="Arial"/>
                <w:b/>
                <w:sz w:val="18"/>
              </w:rPr>
              <w:t>Transaction Type</w:t>
            </w:r>
          </w:p>
        </w:tc>
        <w:tc>
          <w:tcPr>
            <w:tcW w:type="dxa" w:w="7056"/>
          </w:tcPr>
          <w:p>
            <w:r>
              <w:t>NEW LEASE - SOURCE-RECONCILED EXAMPLE</w:t>
            </w:r>
          </w:p>
        </w:tc>
      </w:tr>
      <w:tr>
        <w:tc>
          <w:tcPr>
            <w:tcW w:type="dxa" w:w="3168"/>
          </w:tcPr>
          <w:p>
            <w:r/>
            <w:r>
              <w:rPr>
                <w:rFonts w:ascii="Arial" w:hAnsi="Arial"/>
                <w:b/>
                <w:sz w:val="18"/>
              </w:rPr>
              <w:t>Landlord</w:t>
            </w:r>
          </w:p>
        </w:tc>
        <w:tc>
          <w:tcPr>
            <w:tcW w:type="dxa" w:w="7056"/>
          </w:tcPr>
          <w:p>
            <w:r/>
            <w:r>
              <w:rPr>
                <w:rFonts w:ascii="Arial" w:hAnsi="Arial"/>
                <w:b w:val="0"/>
                <w:sz w:val="18"/>
              </w:rPr>
              <w:t>Belle Realty of Lafayette, LLC</w:t>
            </w:r>
          </w:p>
        </w:tc>
      </w:tr>
      <w:tr>
        <w:tc>
          <w:tcPr>
            <w:tcW w:type="dxa" w:w="3168"/>
          </w:tcPr>
          <w:p>
            <w:r/>
            <w:r>
              <w:rPr>
                <w:rFonts w:ascii="Arial" w:hAnsi="Arial"/>
                <w:b/>
                <w:sz w:val="18"/>
              </w:rPr>
              <w:t>Tenant</w:t>
            </w:r>
          </w:p>
        </w:tc>
        <w:tc>
          <w:tcPr>
            <w:tcW w:type="dxa" w:w="7056"/>
          </w:tcPr>
          <w:p>
            <w:r>
              <w:t>ROBERTSON FAMILY HOLDINGS, LLC</w:t>
            </w:r>
          </w:p>
        </w:tc>
      </w:tr>
      <w:tr>
        <w:tc>
          <w:tcPr>
            <w:tcW w:type="dxa" w:w="3168"/>
          </w:tcPr>
          <w:p>
            <w:r/>
            <w:r>
              <w:rPr>
                <w:rFonts w:ascii="Arial" w:hAnsi="Arial"/>
                <w:b/>
                <w:sz w:val="18"/>
              </w:rPr>
              <w:t>Guarantor Required</w:t>
            </w:r>
          </w:p>
        </w:tc>
        <w:tc>
          <w:tcPr>
            <w:tcW w:type="dxa" w:w="7056"/>
          </w:tcPr>
          <w:p>
            <w:r/>
            <w:r>
              <w:rPr>
                <w:rFonts w:ascii="Arial" w:hAnsi="Arial"/>
                <w:b w:val="0"/>
                <w:sz w:val="18"/>
              </w:rPr>
              <w:t>[YES / NO]</w:t>
            </w:r>
          </w:p>
        </w:tc>
      </w:tr>
      <w:tr>
        <w:tc>
          <w:tcPr>
            <w:tcW w:type="dxa" w:w="3168"/>
          </w:tcPr>
          <w:p>
            <w:r/>
            <w:r>
              <w:rPr>
                <w:rFonts w:ascii="Arial" w:hAnsi="Arial"/>
                <w:b/>
                <w:sz w:val="18"/>
              </w:rPr>
              <w:t>Suite / Premises Address</w:t>
            </w:r>
          </w:p>
        </w:tc>
        <w:tc>
          <w:tcPr>
            <w:tcW w:type="dxa" w:w="7056"/>
          </w:tcPr>
          <w:p>
            <w:r>
              <w:t>121 / 121 Arnould Boulevard, Lafayette, Louisiana 70506</w:t>
            </w:r>
          </w:p>
        </w:tc>
      </w:tr>
      <w:tr>
        <w:tc>
          <w:tcPr>
            <w:tcW w:type="dxa" w:w="3168"/>
          </w:tcPr>
          <w:p>
            <w:r/>
            <w:r>
              <w:rPr>
                <w:rFonts w:ascii="Arial" w:hAnsi="Arial"/>
                <w:b/>
                <w:sz w:val="18"/>
              </w:rPr>
              <w:t>Rentable Square Feet</w:t>
            </w:r>
          </w:p>
        </w:tc>
        <w:tc>
          <w:tcPr>
            <w:tcW w:type="dxa" w:w="7056"/>
          </w:tcPr>
          <w:p>
            <w:r>
              <w:t>1,709</w:t>
            </w:r>
          </w:p>
        </w:tc>
      </w:tr>
      <w:tr>
        <w:tc>
          <w:tcPr>
            <w:tcW w:type="dxa" w:w="3168"/>
          </w:tcPr>
          <w:p>
            <w:r/>
            <w:r>
              <w:rPr>
                <w:rFonts w:ascii="Arial" w:hAnsi="Arial"/>
                <w:b/>
                <w:sz w:val="18"/>
              </w:rPr>
              <w:t>Permitted Use</w:t>
            </w:r>
          </w:p>
        </w:tc>
        <w:tc>
          <w:tcPr>
            <w:tcW w:type="dxa" w:w="7056"/>
          </w:tcPr>
          <w:p>
            <w:r>
              <w:t>Full-service hair salon; customary hair-care services; incidental related retail products/accessories</w:t>
            </w:r>
          </w:p>
        </w:tc>
      </w:tr>
      <w:tr>
        <w:tc>
          <w:tcPr>
            <w:tcW w:type="dxa" w:w="3168"/>
          </w:tcPr>
          <w:p>
            <w:r/>
            <w:r>
              <w:rPr>
                <w:rFonts w:ascii="Arial" w:hAnsi="Arial"/>
                <w:b/>
                <w:sz w:val="18"/>
              </w:rPr>
              <w:t>Exclusive Use Granted</w:t>
            </w:r>
          </w:p>
        </w:tc>
        <w:tc>
          <w:tcPr>
            <w:tcW w:type="dxa" w:w="7056"/>
          </w:tcPr>
          <w:p>
            <w:r/>
            <w:r>
              <w:rPr>
                <w:rFonts w:ascii="Arial" w:hAnsi="Arial"/>
                <w:b w:val="0"/>
                <w:sz w:val="18"/>
              </w:rPr>
              <w:t>[NONE OR SPECIFY]</w:t>
            </w:r>
          </w:p>
        </w:tc>
      </w:tr>
      <w:tr>
        <w:tc>
          <w:tcPr>
            <w:tcW w:type="dxa" w:w="3168"/>
          </w:tcPr>
          <w:p>
            <w:r/>
            <w:r>
              <w:rPr>
                <w:rFonts w:ascii="Arial" w:hAnsi="Arial"/>
                <w:b/>
                <w:sz w:val="18"/>
              </w:rPr>
              <w:t>Current OTB Prohibited Use Preserved</w:t>
            </w:r>
          </w:p>
        </w:tc>
        <w:tc>
          <w:tcPr>
            <w:tcW w:type="dxa" w:w="7056"/>
          </w:tcPr>
          <w:p>
            <w:r/>
            <w:r>
              <w:rPr>
                <w:rFonts w:ascii="Arial" w:hAnsi="Arial"/>
                <w:b w:val="0"/>
                <w:sz w:val="18"/>
              </w:rPr>
              <w:t>[YES - DEFAULT / DEVIATION APPROVED]</w:t>
            </w:r>
          </w:p>
        </w:tc>
      </w:tr>
      <w:tr>
        <w:tc>
          <w:tcPr>
            <w:tcW w:type="dxa" w:w="3168"/>
          </w:tcPr>
          <w:p>
            <w:r/>
            <w:r>
              <w:rPr>
                <w:rFonts w:ascii="Arial" w:hAnsi="Arial"/>
                <w:b/>
                <w:sz w:val="18"/>
              </w:rPr>
              <w:t>Effective Date</w:t>
            </w:r>
          </w:p>
        </w:tc>
        <w:tc>
          <w:tcPr>
            <w:tcW w:type="dxa" w:w="7056"/>
          </w:tcPr>
          <w:p>
            <w:r>
              <w:t>July 1, 2025</w:t>
            </w:r>
          </w:p>
        </w:tc>
      </w:tr>
      <w:tr>
        <w:tc>
          <w:tcPr>
            <w:tcW w:type="dxa" w:w="3168"/>
          </w:tcPr>
          <w:p>
            <w:r/>
            <w:r>
              <w:rPr>
                <w:rFonts w:ascii="Arial" w:hAnsi="Arial"/>
                <w:b/>
                <w:sz w:val="18"/>
              </w:rPr>
              <w:t>Possession Date</w:t>
            </w:r>
          </w:p>
        </w:tc>
        <w:tc>
          <w:tcPr>
            <w:tcW w:type="dxa" w:w="7056"/>
          </w:tcPr>
          <w:p>
            <w:r/>
            <w:r>
              <w:rPr>
                <w:rFonts w:ascii="Arial" w:hAnsi="Arial"/>
                <w:b w:val="0"/>
                <w:sz w:val="18"/>
              </w:rPr>
              <w:t>[DATE]</w:t>
            </w:r>
          </w:p>
        </w:tc>
      </w:tr>
      <w:tr>
        <w:tc>
          <w:tcPr>
            <w:tcW w:type="dxa" w:w="3168"/>
          </w:tcPr>
          <w:p>
            <w:r/>
            <w:r>
              <w:rPr>
                <w:rFonts w:ascii="Arial" w:hAnsi="Arial"/>
                <w:b/>
                <w:sz w:val="18"/>
              </w:rPr>
              <w:t>Commencement Date</w:t>
            </w:r>
          </w:p>
        </w:tc>
        <w:tc>
          <w:tcPr>
            <w:tcW w:type="dxa" w:w="7056"/>
          </w:tcPr>
          <w:p>
            <w:r>
              <w:t>July 1, 2025</w:t>
            </w:r>
          </w:p>
        </w:tc>
      </w:tr>
      <w:tr>
        <w:tc>
          <w:tcPr>
            <w:tcW w:type="dxa" w:w="3168"/>
          </w:tcPr>
          <w:p>
            <w:r/>
            <w:r>
              <w:rPr>
                <w:rFonts w:ascii="Arial" w:hAnsi="Arial"/>
                <w:b/>
                <w:sz w:val="18"/>
              </w:rPr>
              <w:t>Rent Commencement Date</w:t>
            </w:r>
          </w:p>
        </w:tc>
        <w:tc>
          <w:tcPr>
            <w:tcW w:type="dxa" w:w="7056"/>
          </w:tcPr>
          <w:p>
            <w:r/>
            <w:r>
              <w:rPr>
                <w:rFonts w:ascii="Arial" w:hAnsi="Arial"/>
                <w:b w:val="0"/>
                <w:sz w:val="18"/>
              </w:rPr>
              <w:t>[DATE]</w:t>
            </w:r>
          </w:p>
        </w:tc>
      </w:tr>
      <w:tr>
        <w:tc>
          <w:tcPr>
            <w:tcW w:type="dxa" w:w="3168"/>
          </w:tcPr>
          <w:p>
            <w:r/>
            <w:r>
              <w:rPr>
                <w:rFonts w:ascii="Arial" w:hAnsi="Arial"/>
                <w:b/>
                <w:sz w:val="18"/>
              </w:rPr>
              <w:t>Expiration Date</w:t>
            </w:r>
          </w:p>
        </w:tc>
        <w:tc>
          <w:tcPr>
            <w:tcW w:type="dxa" w:w="7056"/>
          </w:tcPr>
          <w:p>
            <w:r>
              <w:t>December 31, 2031</w:t>
            </w:r>
          </w:p>
        </w:tc>
      </w:tr>
      <w:tr>
        <w:tc>
          <w:tcPr>
            <w:tcW w:type="dxa" w:w="3168"/>
          </w:tcPr>
          <w:p>
            <w:r/>
            <w:r>
              <w:rPr>
                <w:rFonts w:ascii="Arial" w:hAnsi="Arial"/>
                <w:b/>
                <w:sz w:val="18"/>
              </w:rPr>
              <w:t>Outside Opening Date</w:t>
            </w:r>
          </w:p>
        </w:tc>
        <w:tc>
          <w:tcPr>
            <w:tcW w:type="dxa" w:w="7056"/>
          </w:tcPr>
          <w:p>
            <w:r/>
            <w:r>
              <w:rPr>
                <w:rFonts w:ascii="Arial" w:hAnsi="Arial"/>
                <w:b w:val="0"/>
                <w:sz w:val="18"/>
              </w:rPr>
              <w:t>[DATE / NONE]</w:t>
            </w:r>
          </w:p>
        </w:tc>
      </w:tr>
      <w:tr>
        <w:tc>
          <w:tcPr>
            <w:tcW w:type="dxa" w:w="3168"/>
          </w:tcPr>
          <w:p>
            <w:r/>
            <w:r>
              <w:rPr>
                <w:rFonts w:ascii="Arial" w:hAnsi="Arial"/>
                <w:b/>
                <w:sz w:val="18"/>
              </w:rPr>
              <w:t>Security Deposit</w:t>
            </w:r>
          </w:p>
        </w:tc>
        <w:tc>
          <w:tcPr>
            <w:tcW w:type="dxa" w:w="7056"/>
          </w:tcPr>
          <w:p>
            <w:r>
              <w:t>$1,958.23; not last month rent</w:t>
            </w:r>
          </w:p>
        </w:tc>
      </w:tr>
      <w:tr>
        <w:tc>
          <w:tcPr>
            <w:tcW w:type="dxa" w:w="3168"/>
          </w:tcPr>
          <w:p>
            <w:r/>
            <w:r>
              <w:rPr>
                <w:rFonts w:ascii="Arial" w:hAnsi="Arial"/>
                <w:b/>
                <w:sz w:val="18"/>
              </w:rPr>
              <w:t>ACH Required</w:t>
            </w:r>
          </w:p>
        </w:tc>
        <w:tc>
          <w:tcPr>
            <w:tcW w:type="dxa" w:w="7056"/>
          </w:tcPr>
          <w:p>
            <w:r>
              <w:t>Landlord may require; Schedule F form required by current example</w:t>
            </w:r>
          </w:p>
        </w:tc>
      </w:tr>
      <w:tr>
        <w:tc>
          <w:tcPr>
            <w:tcW w:type="dxa" w:w="3168"/>
          </w:tcPr>
          <w:p>
            <w:r/>
            <w:r>
              <w:rPr>
                <w:rFonts w:ascii="Arial" w:hAnsi="Arial"/>
                <w:b/>
                <w:sz w:val="18"/>
              </w:rPr>
              <w:t>Late Charge Rule</w:t>
            </w:r>
          </w:p>
        </w:tc>
        <w:tc>
          <w:tcPr>
            <w:tcW w:type="dxa" w:w="7056"/>
          </w:tcPr>
          <w:p>
            <w:r/>
            <w:r>
              <w:rPr>
                <w:rFonts w:ascii="Arial" w:hAnsi="Arial"/>
                <w:b w:val="0"/>
                <w:sz w:val="18"/>
              </w:rPr>
              <w:t>$100 after day 5 + $25/day beginning day 6 unless approved deviation</w:t>
            </w:r>
          </w:p>
        </w:tc>
      </w:tr>
      <w:tr>
        <w:tc>
          <w:tcPr>
            <w:tcW w:type="dxa" w:w="3168"/>
          </w:tcPr>
          <w:p>
            <w:r/>
            <w:r>
              <w:rPr>
                <w:rFonts w:ascii="Arial" w:hAnsi="Arial"/>
                <w:b/>
                <w:sz w:val="18"/>
              </w:rPr>
              <w:t>CAM Rate / SF</w:t>
            </w:r>
          </w:p>
        </w:tc>
        <w:tc>
          <w:tcPr>
            <w:tcW w:type="dxa" w:w="7056"/>
          </w:tcPr>
          <w:p>
            <w:r>
              <w:t>$2.10/SF annually at commencement</w:t>
            </w:r>
          </w:p>
        </w:tc>
      </w:tr>
      <w:tr>
        <w:tc>
          <w:tcPr>
            <w:tcW w:type="dxa" w:w="3168"/>
          </w:tcPr>
          <w:p>
            <w:r/>
            <w:r>
              <w:rPr>
                <w:rFonts w:ascii="Arial" w:hAnsi="Arial"/>
                <w:b/>
                <w:sz w:val="18"/>
              </w:rPr>
              <w:t>Tax Rate / SF</w:t>
            </w:r>
          </w:p>
        </w:tc>
        <w:tc>
          <w:tcPr>
            <w:tcW w:type="dxa" w:w="7056"/>
          </w:tcPr>
          <w:p>
            <w:r>
              <w:t>$0.95/SF annually at commencement</w:t>
            </w:r>
          </w:p>
        </w:tc>
      </w:tr>
      <w:tr>
        <w:tc>
          <w:tcPr>
            <w:tcW w:type="dxa" w:w="3168"/>
          </w:tcPr>
          <w:p>
            <w:r/>
            <w:r>
              <w:rPr>
                <w:rFonts w:ascii="Arial" w:hAnsi="Arial"/>
                <w:b/>
                <w:sz w:val="18"/>
              </w:rPr>
              <w:t>Insurance Rate / SF</w:t>
            </w:r>
          </w:p>
        </w:tc>
        <w:tc>
          <w:tcPr>
            <w:tcW w:type="dxa" w:w="7056"/>
          </w:tcPr>
          <w:p>
            <w:r>
              <w:t>$1.95/SF annually at commencement</w:t>
            </w:r>
          </w:p>
        </w:tc>
      </w:tr>
      <w:tr>
        <w:tc>
          <w:tcPr>
            <w:tcW w:type="dxa" w:w="3168"/>
          </w:tcPr>
          <w:p>
            <w:r/>
            <w:r>
              <w:rPr>
                <w:rFonts w:ascii="Arial" w:hAnsi="Arial"/>
                <w:b/>
                <w:sz w:val="18"/>
              </w:rPr>
              <w:t>Annual Cap on CAM/Tax/Insurance Increase</w:t>
            </w:r>
          </w:p>
        </w:tc>
        <w:tc>
          <w:tcPr>
            <w:tcW w:type="dxa" w:w="7056"/>
          </w:tcPr>
          <w:p>
            <w:r>
              <w:t>5% over prior-calendar-year actual amounts</w:t>
            </w:r>
          </w:p>
        </w:tc>
      </w:tr>
      <w:tr>
        <w:tc>
          <w:tcPr>
            <w:tcW w:type="dxa" w:w="3168"/>
          </w:tcPr>
          <w:p>
            <w:r/>
            <w:r>
              <w:rPr>
                <w:rFonts w:ascii="Arial" w:hAnsi="Arial"/>
                <w:b/>
                <w:sz w:val="18"/>
              </w:rPr>
              <w:t>HVAC Repair Share</w:t>
            </w:r>
          </w:p>
        </w:tc>
        <w:tc>
          <w:tcPr>
            <w:tcW w:type="dxa" w:w="7056"/>
          </w:tcPr>
          <w:p>
            <w:r/>
            <w:r>
              <w:rPr>
                <w:rFonts w:ascii="Arial" w:hAnsi="Arial"/>
                <w:b w:val="0"/>
                <w:sz w:val="18"/>
              </w:rPr>
              <w:t>$1,500 first repair visit default</w:t>
            </w:r>
          </w:p>
        </w:tc>
      </w:tr>
      <w:tr>
        <w:tc>
          <w:tcPr>
            <w:tcW w:type="dxa" w:w="3168"/>
          </w:tcPr>
          <w:p>
            <w:r/>
            <w:r>
              <w:rPr>
                <w:rFonts w:ascii="Arial" w:hAnsi="Arial"/>
                <w:b/>
                <w:sz w:val="18"/>
              </w:rPr>
              <w:t>HVAC Replacement Share</w:t>
            </w:r>
          </w:p>
        </w:tc>
        <w:tc>
          <w:tcPr>
            <w:tcW w:type="dxa" w:w="7056"/>
          </w:tcPr>
          <w:p>
            <w:r/>
            <w:r>
              <w:rPr>
                <w:rFonts w:ascii="Arial" w:hAnsi="Arial"/>
                <w:b w:val="0"/>
                <w:sz w:val="18"/>
              </w:rPr>
              <w:t>50% default</w:t>
            </w:r>
          </w:p>
        </w:tc>
      </w:tr>
      <w:tr>
        <w:tc>
          <w:tcPr>
            <w:tcW w:type="dxa" w:w="3168"/>
          </w:tcPr>
          <w:p>
            <w:r/>
            <w:r>
              <w:rPr>
                <w:rFonts w:ascii="Arial" w:hAnsi="Arial"/>
                <w:b/>
                <w:sz w:val="18"/>
              </w:rPr>
              <w:t>Utility Admin Fee</w:t>
            </w:r>
          </w:p>
        </w:tc>
        <w:tc>
          <w:tcPr>
            <w:tcW w:type="dxa" w:w="7056"/>
          </w:tcPr>
          <w:p>
            <w:r/>
            <w:r>
              <w:rPr>
                <w:rFonts w:ascii="Arial" w:hAnsi="Arial"/>
                <w:b w:val="0"/>
                <w:sz w:val="18"/>
              </w:rPr>
              <w:t>$100 per Landlord-paid utility bill default</w:t>
            </w:r>
          </w:p>
        </w:tc>
      </w:tr>
      <w:tr>
        <w:tc>
          <w:tcPr>
            <w:tcW w:type="dxa" w:w="3168"/>
          </w:tcPr>
          <w:p>
            <w:r/>
            <w:r>
              <w:rPr>
                <w:rFonts w:ascii="Arial" w:hAnsi="Arial"/>
                <w:b/>
                <w:sz w:val="18"/>
              </w:rPr>
              <w:t>Operating Hours</w:t>
            </w:r>
          </w:p>
        </w:tc>
        <w:tc>
          <w:tcPr>
            <w:tcW w:type="dxa" w:w="7056"/>
          </w:tcPr>
          <w:p>
            <w:r/>
            <w:r>
              <w:rPr>
                <w:rFonts w:ascii="Arial" w:hAnsi="Arial"/>
                <w:b w:val="0"/>
                <w:sz w:val="18"/>
              </w:rPr>
              <w:t>Mon-Fri 10:00 a.m.-5:00 p.m. default unless approved deviation</w:t>
            </w:r>
          </w:p>
        </w:tc>
      </w:tr>
      <w:tr>
        <w:tc>
          <w:tcPr>
            <w:tcW w:type="dxa" w:w="3168"/>
          </w:tcPr>
          <w:p>
            <w:r/>
            <w:r>
              <w:rPr>
                <w:rFonts w:ascii="Arial" w:hAnsi="Arial"/>
                <w:b/>
                <w:sz w:val="18"/>
              </w:rPr>
              <w:t>Renewal Option</w:t>
            </w:r>
          </w:p>
        </w:tc>
        <w:tc>
          <w:tcPr>
            <w:tcW w:type="dxa" w:w="7056"/>
          </w:tcPr>
          <w:p>
            <w:r>
              <w:t>One 3-year renewal; 60-day notice; renewal rent negotiated</w:t>
            </w:r>
          </w:p>
        </w:tc>
      </w:tr>
      <w:tr>
        <w:tc>
          <w:tcPr>
            <w:tcW w:type="dxa" w:w="3168"/>
          </w:tcPr>
          <w:p>
            <w:r/>
            <w:r>
              <w:rPr>
                <w:rFonts w:ascii="Arial" w:hAnsi="Arial"/>
                <w:b/>
                <w:sz w:val="18"/>
              </w:rPr>
              <w:t>Holdover Rate</w:t>
            </w:r>
          </w:p>
        </w:tc>
        <w:tc>
          <w:tcPr>
            <w:tcW w:type="dxa" w:w="7056"/>
          </w:tcPr>
          <w:p>
            <w:r/>
            <w:r>
              <w:rPr>
                <w:rFonts w:ascii="Arial" w:hAnsi="Arial"/>
                <w:b w:val="0"/>
                <w:sz w:val="18"/>
              </w:rPr>
              <w:t>200% of monthly rental amount default</w:t>
            </w:r>
          </w:p>
        </w:tc>
      </w:tr>
      <w:tr>
        <w:tc>
          <w:tcPr>
            <w:tcW w:type="dxa" w:w="3168"/>
          </w:tcPr>
          <w:p>
            <w:r/>
            <w:r>
              <w:rPr>
                <w:rFonts w:ascii="Arial" w:hAnsi="Arial"/>
                <w:b/>
                <w:sz w:val="18"/>
              </w:rPr>
              <w:t>Notice to Landlord</w:t>
            </w:r>
          </w:p>
        </w:tc>
        <w:tc>
          <w:tcPr>
            <w:tcW w:type="dxa" w:w="7056"/>
          </w:tcPr>
          <w:p>
            <w:r>
              <w:t>Belle Realty of Lafayette, LLC, c/o Adam Abdalla, PO Box 62230, Lafayette, LA 70596</w:t>
            </w:r>
          </w:p>
        </w:tc>
      </w:tr>
      <w:tr>
        <w:tc>
          <w:tcPr>
            <w:tcW w:type="dxa" w:w="3168"/>
          </w:tcPr>
          <w:p>
            <w:r/>
            <w:r>
              <w:rPr>
                <w:rFonts w:ascii="Arial" w:hAnsi="Arial"/>
                <w:b/>
                <w:sz w:val="18"/>
              </w:rPr>
              <w:t>Required Exhibits</w:t>
            </w:r>
          </w:p>
        </w:tc>
        <w:tc>
          <w:tcPr>
            <w:tcW w:type="dxa" w:w="7056"/>
          </w:tcPr>
          <w:p>
            <w:r/>
            <w:r>
              <w:rPr>
                <w:rFonts w:ascii="Arial" w:hAnsi="Arial"/>
                <w:b w:val="0"/>
                <w:sz w:val="18"/>
              </w:rPr>
              <w:t>[E, F, G, H, J, K, L and others as triggered]</w:t>
            </w:r>
          </w:p>
        </w:tc>
      </w:tr>
    </w:tbl>
    <w:p>
      <w:pPr>
        <w:pStyle w:val="Heading1"/>
        <w:spacing w:after="80"/>
      </w:pPr>
      <w:r>
        <w:t>B. Current OTB House-Default Rent Architecture</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shd w:fill="B4C6E7" w:val="clear"/>
          </w:tcPr>
          <w:p>
            <w:r/>
            <w:r>
              <w:rPr>
                <w:rFonts w:ascii="Arial" w:hAnsi="Arial"/>
                <w:b/>
                <w:sz w:val="17"/>
              </w:rPr>
              <w:t>Period</w:t>
            </w:r>
          </w:p>
        </w:tc>
        <w:tc>
          <w:tcPr>
            <w:tcW w:type="dxa" w:w="1152"/>
            <w:shd w:fill="B4C6E7" w:val="clear"/>
          </w:tcPr>
          <w:p>
            <w:r/>
            <w:r>
              <w:rPr>
                <w:rFonts w:ascii="Arial" w:hAnsi="Arial"/>
                <w:b/>
                <w:sz w:val="17"/>
              </w:rPr>
              <w:t>Base</w:t>
            </w:r>
          </w:p>
        </w:tc>
        <w:tc>
          <w:tcPr>
            <w:tcW w:type="dxa" w:w="1152"/>
            <w:shd w:fill="B4C6E7" w:val="clear"/>
          </w:tcPr>
          <w:p>
            <w:r/>
            <w:r>
              <w:rPr>
                <w:rFonts w:ascii="Arial" w:hAnsi="Arial"/>
                <w:b/>
                <w:sz w:val="17"/>
              </w:rPr>
              <w:t>CAM</w:t>
            </w:r>
          </w:p>
        </w:tc>
        <w:tc>
          <w:tcPr>
            <w:tcW w:type="dxa" w:w="1152"/>
            <w:shd w:fill="B4C6E7" w:val="clear"/>
          </w:tcPr>
          <w:p>
            <w:r/>
            <w:r>
              <w:rPr>
                <w:rFonts w:ascii="Arial" w:hAnsi="Arial"/>
                <w:b/>
                <w:sz w:val="17"/>
              </w:rPr>
              <w:t>Taxes</w:t>
            </w:r>
          </w:p>
        </w:tc>
        <w:tc>
          <w:tcPr>
            <w:tcW w:type="dxa" w:w="1224"/>
            <w:shd w:fill="B4C6E7" w:val="clear"/>
          </w:tcPr>
          <w:p>
            <w:r/>
            <w:r>
              <w:rPr>
                <w:rFonts w:ascii="Arial" w:hAnsi="Arial"/>
                <w:b/>
                <w:sz w:val="17"/>
              </w:rPr>
              <w:t>Insurance</w:t>
            </w:r>
          </w:p>
        </w:tc>
        <w:tc>
          <w:tcPr>
            <w:tcW w:type="dxa" w:w="1296"/>
            <w:shd w:fill="B4C6E7" w:val="clear"/>
          </w:tcPr>
          <w:p>
            <w:r/>
            <w:r>
              <w:rPr>
                <w:rFonts w:ascii="Arial" w:hAnsi="Arial"/>
                <w:b/>
                <w:sz w:val="17"/>
              </w:rPr>
              <w:t>Total</w:t>
            </w:r>
          </w:p>
        </w:tc>
        <w:tc>
          <w:tcPr>
            <w:tcW w:type="dxa" w:w="2880"/>
            <w:shd w:fill="B4C6E7" w:val="clear"/>
          </w:tcPr>
          <w:p>
            <w:r/>
            <w:r>
              <w:rPr>
                <w:rFonts w:ascii="Arial" w:hAnsi="Arial"/>
                <w:b/>
                <w:sz w:val="17"/>
              </w:rPr>
              <w:t>Notes</w:t>
            </w:r>
          </w:p>
        </w:tc>
      </w:tr>
      <w:tr>
        <w:tc>
          <w:tcPr>
            <w:tcW w:type="dxa" w:w="1440"/>
          </w:tcPr>
          <w:p>
            <w:r/>
            <w:r>
              <w:rPr>
                <w:rFonts w:ascii="Arial" w:hAnsi="Arial"/>
                <w:b w:val="0"/>
                <w:sz w:val="16"/>
              </w:rPr>
              <w:t>Months 1-3</w:t>
            </w:r>
          </w:p>
        </w:tc>
        <w:tc>
          <w:tcPr>
            <w:tcW w:type="dxa" w:w="1152"/>
          </w:tcPr>
          <w:p>
            <w:r/>
            <w:r>
              <w:rPr>
                <w:rFonts w:ascii="Arial" w:hAnsi="Arial"/>
                <w:b w:val="0"/>
                <w:sz w:val="16"/>
              </w:rPr>
              <w:t>$0.00</w:t>
            </w:r>
          </w:p>
        </w:tc>
        <w:tc>
          <w:tcPr>
            <w:tcW w:type="dxa" w:w="1152"/>
          </w:tcPr>
          <w:p>
            <w:r/>
            <w:r>
              <w:rPr>
                <w:rFonts w:ascii="Arial" w:hAnsi="Arial"/>
                <w:b w:val="0"/>
                <w:sz w:val="16"/>
              </w:rPr>
              <w:t>$0.00</w:t>
            </w:r>
          </w:p>
        </w:tc>
        <w:tc>
          <w:tcPr>
            <w:tcW w:type="dxa" w:w="1152"/>
          </w:tcPr>
          <w:p>
            <w:r/>
            <w:r>
              <w:rPr>
                <w:rFonts w:ascii="Arial" w:hAnsi="Arial"/>
                <w:b w:val="0"/>
                <w:sz w:val="16"/>
              </w:rPr>
              <w:t>$0.00</w:t>
            </w:r>
          </w:p>
        </w:tc>
        <w:tc>
          <w:tcPr>
            <w:tcW w:type="dxa" w:w="1224"/>
          </w:tcPr>
          <w:p>
            <w:r/>
            <w:r>
              <w:rPr>
                <w:rFonts w:ascii="Arial" w:hAnsi="Arial"/>
                <w:b w:val="0"/>
                <w:sz w:val="16"/>
              </w:rPr>
              <w:t>$0.00</w:t>
            </w:r>
          </w:p>
        </w:tc>
        <w:tc>
          <w:tcPr>
            <w:tcW w:type="dxa" w:w="1296"/>
          </w:tcPr>
          <w:p>
            <w:r/>
            <w:r>
              <w:rPr>
                <w:rFonts w:ascii="Arial" w:hAnsi="Arial"/>
                <w:b w:val="0"/>
                <w:sz w:val="16"/>
              </w:rPr>
              <w:t>$0.00</w:t>
            </w:r>
          </w:p>
        </w:tc>
        <w:tc>
          <w:tcPr>
            <w:tcW w:type="dxa" w:w="2880"/>
          </w:tcPr>
          <w:p>
            <w:r/>
            <w:r>
              <w:rPr>
                <w:rFonts w:ascii="Arial" w:hAnsi="Arial"/>
                <w:b w:val="0"/>
                <w:sz w:val="16"/>
              </w:rPr>
              <w:t>Construction / full abatement</w:t>
            </w:r>
          </w:p>
        </w:tc>
      </w:tr>
      <w:tr>
        <w:tc>
          <w:tcPr>
            <w:tcW w:type="dxa" w:w="1440"/>
          </w:tcPr>
          <w:p>
            <w:r/>
            <w:r>
              <w:rPr>
                <w:rFonts w:ascii="Arial" w:hAnsi="Arial"/>
                <w:b w:val="0"/>
                <w:sz w:val="16"/>
              </w:rPr>
              <w:t>Months 4-6</w:t>
            </w:r>
          </w:p>
        </w:tc>
        <w:tc>
          <w:tcPr>
            <w:tcW w:type="dxa" w:w="1152"/>
          </w:tcPr>
          <w:p>
            <w:r/>
            <w:r>
              <w:rPr>
                <w:rFonts w:ascii="Arial" w:hAnsi="Arial"/>
                <w:b w:val="0"/>
                <w:sz w:val="16"/>
              </w:rPr>
              <w:t>$0.00</w:t>
            </w:r>
          </w:p>
        </w:tc>
        <w:tc>
          <w:tcPr>
            <w:tcW w:type="dxa" w:w="1152"/>
          </w:tcPr>
          <w:p>
            <w:r/>
            <w:r>
              <w:rPr>
                <w:rFonts w:ascii="Arial" w:hAnsi="Arial"/>
                <w:b w:val="0"/>
                <w:sz w:val="16"/>
              </w:rPr>
              <w:t>$299.08</w:t>
            </w:r>
          </w:p>
        </w:tc>
        <w:tc>
          <w:tcPr>
            <w:tcW w:type="dxa" w:w="1152"/>
          </w:tcPr>
          <w:p>
            <w:r/>
            <w:r>
              <w:rPr>
                <w:rFonts w:ascii="Arial" w:hAnsi="Arial"/>
                <w:b w:val="0"/>
                <w:sz w:val="16"/>
              </w:rPr>
              <w:t>$135.30</w:t>
            </w:r>
          </w:p>
        </w:tc>
        <w:tc>
          <w:tcPr>
            <w:tcW w:type="dxa" w:w="1224"/>
          </w:tcPr>
          <w:p>
            <w:r/>
            <w:r>
              <w:rPr>
                <w:rFonts w:ascii="Arial" w:hAnsi="Arial"/>
                <w:b w:val="0"/>
                <w:sz w:val="16"/>
              </w:rPr>
              <w:t>$277.71</w:t>
            </w:r>
          </w:p>
        </w:tc>
        <w:tc>
          <w:tcPr>
            <w:tcW w:type="dxa" w:w="1296"/>
          </w:tcPr>
          <w:p>
            <w:r/>
            <w:r>
              <w:rPr>
                <w:rFonts w:ascii="Arial" w:hAnsi="Arial"/>
                <w:b w:val="0"/>
                <w:sz w:val="16"/>
              </w:rPr>
              <w:t>$712.08</w:t>
            </w:r>
          </w:p>
        </w:tc>
        <w:tc>
          <w:tcPr>
            <w:tcW w:type="dxa" w:w="2880"/>
          </w:tcPr>
          <w:p>
            <w:r/>
            <w:r>
              <w:rPr>
                <w:rFonts w:ascii="Arial" w:hAnsi="Arial"/>
                <w:b w:val="0"/>
                <w:sz w:val="16"/>
              </w:rPr>
              <w:t>Additional rent only</w:t>
            </w:r>
          </w:p>
        </w:tc>
      </w:tr>
      <w:tr>
        <w:tc>
          <w:tcPr>
            <w:tcW w:type="dxa" w:w="1440"/>
          </w:tcPr>
          <w:p>
            <w:r/>
            <w:r>
              <w:rPr>
                <w:rFonts w:ascii="Arial" w:hAnsi="Arial"/>
                <w:b w:val="0"/>
                <w:sz w:val="16"/>
              </w:rPr>
              <w:t>Year 1</w:t>
            </w:r>
          </w:p>
        </w:tc>
        <w:tc>
          <w:tcPr>
            <w:tcW w:type="dxa" w:w="1152"/>
          </w:tcPr>
          <w:p>
            <w:r/>
            <w:r>
              <w:rPr>
                <w:rFonts w:ascii="Arial" w:hAnsi="Arial"/>
                <w:b w:val="0"/>
                <w:sz w:val="16"/>
              </w:rPr>
              <w:t>$1,815.81</w:t>
            </w:r>
          </w:p>
        </w:tc>
        <w:tc>
          <w:tcPr>
            <w:tcW w:type="dxa" w:w="1152"/>
          </w:tcPr>
          <w:p>
            <w:r/>
            <w:r>
              <w:rPr>
                <w:rFonts w:ascii="Arial" w:hAnsi="Arial"/>
                <w:b w:val="0"/>
                <w:sz w:val="16"/>
              </w:rPr>
              <w:t>$299.08</w:t>
            </w:r>
          </w:p>
        </w:tc>
        <w:tc>
          <w:tcPr>
            <w:tcW w:type="dxa" w:w="1152"/>
          </w:tcPr>
          <w:p>
            <w:r/>
            <w:r>
              <w:rPr>
                <w:rFonts w:ascii="Arial" w:hAnsi="Arial"/>
                <w:b w:val="0"/>
                <w:sz w:val="16"/>
              </w:rPr>
              <w:t>$135.30</w:t>
            </w:r>
          </w:p>
        </w:tc>
        <w:tc>
          <w:tcPr>
            <w:tcW w:type="dxa" w:w="1224"/>
          </w:tcPr>
          <w:p>
            <w:r/>
            <w:r>
              <w:rPr>
                <w:rFonts w:ascii="Arial" w:hAnsi="Arial"/>
                <w:b w:val="0"/>
                <w:sz w:val="16"/>
              </w:rPr>
              <w:t>$277.71</w:t>
            </w:r>
          </w:p>
        </w:tc>
        <w:tc>
          <w:tcPr>
            <w:tcW w:type="dxa" w:w="1296"/>
          </w:tcPr>
          <w:p>
            <w:r/>
            <w:r>
              <w:rPr>
                <w:rFonts w:ascii="Arial" w:hAnsi="Arial"/>
                <w:b w:val="0"/>
                <w:sz w:val="16"/>
              </w:rPr>
              <w:t>$2,527.90</w:t>
            </w:r>
          </w:p>
        </w:tc>
        <w:tc>
          <w:tcPr>
            <w:tcW w:type="dxa" w:w="2880"/>
          </w:tcPr>
          <w:p>
            <w:r/>
            <w:r>
              <w:rPr>
                <w:rFonts w:ascii="Arial" w:hAnsi="Arial"/>
                <w:b w:val="0"/>
                <w:sz w:val="16"/>
              </w:rPr>
              <w:t>$12.75/SF base</w:t>
            </w:r>
          </w:p>
        </w:tc>
      </w:tr>
      <w:tr>
        <w:tc>
          <w:tcPr>
            <w:tcW w:type="dxa" w:w="1440"/>
          </w:tcPr>
          <w:p>
            <w:r/>
            <w:r>
              <w:rPr>
                <w:rFonts w:ascii="Arial" w:hAnsi="Arial"/>
                <w:b w:val="0"/>
                <w:sz w:val="16"/>
              </w:rPr>
              <w:t>Year 2</w:t>
            </w:r>
          </w:p>
        </w:tc>
        <w:tc>
          <w:tcPr>
            <w:tcW w:type="dxa" w:w="1152"/>
          </w:tcPr>
          <w:p>
            <w:r/>
            <w:r>
              <w:rPr>
                <w:rFonts w:ascii="Arial" w:hAnsi="Arial"/>
                <w:b w:val="0"/>
                <w:sz w:val="16"/>
              </w:rPr>
              <w:t>$1,887.02</w:t>
            </w:r>
          </w:p>
        </w:tc>
        <w:tc>
          <w:tcPr>
            <w:tcW w:type="dxa" w:w="1152"/>
          </w:tcPr>
          <w:p>
            <w:r/>
            <w:r>
              <w:rPr>
                <w:rFonts w:ascii="Arial" w:hAnsi="Arial"/>
                <w:b w:val="0"/>
                <w:sz w:val="16"/>
              </w:rPr>
              <w:t>$299.08</w:t>
            </w:r>
          </w:p>
        </w:tc>
        <w:tc>
          <w:tcPr>
            <w:tcW w:type="dxa" w:w="1152"/>
          </w:tcPr>
          <w:p>
            <w:r/>
            <w:r>
              <w:rPr>
                <w:rFonts w:ascii="Arial" w:hAnsi="Arial"/>
                <w:b w:val="0"/>
                <w:sz w:val="16"/>
              </w:rPr>
              <w:t>$135.30</w:t>
            </w:r>
          </w:p>
        </w:tc>
        <w:tc>
          <w:tcPr>
            <w:tcW w:type="dxa" w:w="1224"/>
          </w:tcPr>
          <w:p>
            <w:r/>
            <w:r>
              <w:rPr>
                <w:rFonts w:ascii="Arial" w:hAnsi="Arial"/>
                <w:b w:val="0"/>
                <w:sz w:val="16"/>
              </w:rPr>
              <w:t>$277.71</w:t>
            </w:r>
          </w:p>
        </w:tc>
        <w:tc>
          <w:tcPr>
            <w:tcW w:type="dxa" w:w="1296"/>
          </w:tcPr>
          <w:p>
            <w:r/>
            <w:r>
              <w:rPr>
                <w:rFonts w:ascii="Arial" w:hAnsi="Arial"/>
                <w:b w:val="0"/>
                <w:sz w:val="16"/>
              </w:rPr>
              <w:t>$2,599.10</w:t>
            </w:r>
          </w:p>
        </w:tc>
        <w:tc>
          <w:tcPr>
            <w:tcW w:type="dxa" w:w="2880"/>
          </w:tcPr>
          <w:p>
            <w:r/>
            <w:r>
              <w:rPr>
                <w:rFonts w:ascii="Arial" w:hAnsi="Arial"/>
                <w:b w:val="0"/>
                <w:sz w:val="16"/>
              </w:rPr>
              <w:t>$13.25/SF base</w:t>
            </w:r>
          </w:p>
        </w:tc>
      </w:tr>
      <w:tr>
        <w:tc>
          <w:tcPr>
            <w:tcW w:type="dxa" w:w="1440"/>
          </w:tcPr>
          <w:p>
            <w:r/>
            <w:r>
              <w:rPr>
                <w:rFonts w:ascii="Arial" w:hAnsi="Arial"/>
                <w:b w:val="0"/>
                <w:sz w:val="16"/>
              </w:rPr>
              <w:t>Year 3</w:t>
            </w:r>
          </w:p>
        </w:tc>
        <w:tc>
          <w:tcPr>
            <w:tcW w:type="dxa" w:w="1152"/>
          </w:tcPr>
          <w:p>
            <w:r/>
            <w:r>
              <w:rPr>
                <w:rFonts w:ascii="Arial" w:hAnsi="Arial"/>
                <w:b w:val="0"/>
                <w:sz w:val="16"/>
              </w:rPr>
              <w:t>$1,958.23</w:t>
            </w:r>
          </w:p>
        </w:tc>
        <w:tc>
          <w:tcPr>
            <w:tcW w:type="dxa" w:w="1152"/>
          </w:tcPr>
          <w:p>
            <w:r/>
            <w:r>
              <w:rPr>
                <w:rFonts w:ascii="Arial" w:hAnsi="Arial"/>
                <w:b w:val="0"/>
                <w:sz w:val="16"/>
              </w:rPr>
              <w:t>$299.08</w:t>
            </w:r>
          </w:p>
        </w:tc>
        <w:tc>
          <w:tcPr>
            <w:tcW w:type="dxa" w:w="1152"/>
          </w:tcPr>
          <w:p>
            <w:r/>
            <w:r>
              <w:rPr>
                <w:rFonts w:ascii="Arial" w:hAnsi="Arial"/>
                <w:b w:val="0"/>
                <w:sz w:val="16"/>
              </w:rPr>
              <w:t>$135.30</w:t>
            </w:r>
          </w:p>
        </w:tc>
        <w:tc>
          <w:tcPr>
            <w:tcW w:type="dxa" w:w="1224"/>
          </w:tcPr>
          <w:p>
            <w:r/>
            <w:r>
              <w:rPr>
                <w:rFonts w:ascii="Arial" w:hAnsi="Arial"/>
                <w:b w:val="0"/>
                <w:sz w:val="16"/>
              </w:rPr>
              <w:t>$277.71</w:t>
            </w:r>
          </w:p>
        </w:tc>
        <w:tc>
          <w:tcPr>
            <w:tcW w:type="dxa" w:w="1296"/>
          </w:tcPr>
          <w:p>
            <w:r/>
            <w:r>
              <w:rPr>
                <w:rFonts w:ascii="Arial" w:hAnsi="Arial"/>
                <w:b w:val="0"/>
                <w:sz w:val="16"/>
              </w:rPr>
              <w:t>$2,670.31</w:t>
            </w:r>
          </w:p>
        </w:tc>
        <w:tc>
          <w:tcPr>
            <w:tcW w:type="dxa" w:w="2880"/>
          </w:tcPr>
          <w:p>
            <w:r/>
            <w:r>
              <w:rPr>
                <w:rFonts w:ascii="Arial" w:hAnsi="Arial"/>
                <w:b w:val="0"/>
                <w:sz w:val="16"/>
              </w:rPr>
              <w:t>$13.75/SF base</w:t>
            </w:r>
          </w:p>
        </w:tc>
      </w:tr>
      <w:tr>
        <w:tc>
          <w:tcPr>
            <w:tcW w:type="dxa" w:w="1440"/>
          </w:tcPr>
          <w:p>
            <w:r/>
            <w:r>
              <w:rPr>
                <w:rFonts w:ascii="Arial" w:hAnsi="Arial"/>
                <w:b w:val="0"/>
                <w:sz w:val="16"/>
              </w:rPr>
              <w:t>Year 4</w:t>
            </w:r>
          </w:p>
        </w:tc>
        <w:tc>
          <w:tcPr>
            <w:tcW w:type="dxa" w:w="1152"/>
          </w:tcPr>
          <w:p>
            <w:r/>
            <w:r>
              <w:rPr>
                <w:rFonts w:ascii="Arial" w:hAnsi="Arial"/>
                <w:b w:val="0"/>
                <w:sz w:val="16"/>
              </w:rPr>
              <w:t>$1,993.83</w:t>
            </w:r>
          </w:p>
        </w:tc>
        <w:tc>
          <w:tcPr>
            <w:tcW w:type="dxa" w:w="1152"/>
          </w:tcPr>
          <w:p>
            <w:r/>
            <w:r>
              <w:rPr>
                <w:rFonts w:ascii="Arial" w:hAnsi="Arial"/>
                <w:b w:val="0"/>
                <w:sz w:val="16"/>
              </w:rPr>
              <w:t>$299.08</w:t>
            </w:r>
          </w:p>
        </w:tc>
        <w:tc>
          <w:tcPr>
            <w:tcW w:type="dxa" w:w="1152"/>
          </w:tcPr>
          <w:p>
            <w:r/>
            <w:r>
              <w:rPr>
                <w:rFonts w:ascii="Arial" w:hAnsi="Arial"/>
                <w:b w:val="0"/>
                <w:sz w:val="16"/>
              </w:rPr>
              <w:t>$135.30</w:t>
            </w:r>
          </w:p>
        </w:tc>
        <w:tc>
          <w:tcPr>
            <w:tcW w:type="dxa" w:w="1224"/>
          </w:tcPr>
          <w:p>
            <w:r/>
            <w:r>
              <w:rPr>
                <w:rFonts w:ascii="Arial" w:hAnsi="Arial"/>
                <w:b w:val="0"/>
                <w:sz w:val="16"/>
              </w:rPr>
              <w:t>$277.71</w:t>
            </w:r>
          </w:p>
        </w:tc>
        <w:tc>
          <w:tcPr>
            <w:tcW w:type="dxa" w:w="1296"/>
          </w:tcPr>
          <w:p>
            <w:r/>
            <w:r>
              <w:rPr>
                <w:rFonts w:ascii="Arial" w:hAnsi="Arial"/>
                <w:b w:val="0"/>
                <w:sz w:val="16"/>
              </w:rPr>
              <w:t>$2,705.92</w:t>
            </w:r>
          </w:p>
        </w:tc>
        <w:tc>
          <w:tcPr>
            <w:tcW w:type="dxa" w:w="2880"/>
          </w:tcPr>
          <w:p>
            <w:r/>
            <w:r>
              <w:rPr>
                <w:rFonts w:ascii="Arial" w:hAnsi="Arial"/>
                <w:b w:val="0"/>
                <w:sz w:val="16"/>
              </w:rPr>
              <w:t>$14.00/SF base</w:t>
            </w:r>
          </w:p>
        </w:tc>
      </w:tr>
      <w:tr>
        <w:tc>
          <w:tcPr>
            <w:tcW w:type="dxa" w:w="1440"/>
          </w:tcPr>
          <w:p>
            <w:r/>
            <w:r>
              <w:rPr>
                <w:rFonts w:ascii="Arial" w:hAnsi="Arial"/>
                <w:b w:val="0"/>
                <w:sz w:val="16"/>
              </w:rPr>
              <w:t>Year 5</w:t>
            </w:r>
          </w:p>
        </w:tc>
        <w:tc>
          <w:tcPr>
            <w:tcW w:type="dxa" w:w="1152"/>
          </w:tcPr>
          <w:p>
            <w:r/>
            <w:r>
              <w:rPr>
                <w:rFonts w:ascii="Arial" w:hAnsi="Arial"/>
                <w:b w:val="0"/>
                <w:sz w:val="16"/>
              </w:rPr>
              <w:t>$2,029.44</w:t>
            </w:r>
          </w:p>
        </w:tc>
        <w:tc>
          <w:tcPr>
            <w:tcW w:type="dxa" w:w="1152"/>
          </w:tcPr>
          <w:p>
            <w:r/>
            <w:r>
              <w:rPr>
                <w:rFonts w:ascii="Arial" w:hAnsi="Arial"/>
                <w:b w:val="0"/>
                <w:sz w:val="16"/>
              </w:rPr>
              <w:t>$299.08</w:t>
            </w:r>
          </w:p>
        </w:tc>
        <w:tc>
          <w:tcPr>
            <w:tcW w:type="dxa" w:w="1152"/>
          </w:tcPr>
          <w:p>
            <w:r/>
            <w:r>
              <w:rPr>
                <w:rFonts w:ascii="Arial" w:hAnsi="Arial"/>
                <w:b w:val="0"/>
                <w:sz w:val="16"/>
              </w:rPr>
              <w:t>$135.30</w:t>
            </w:r>
          </w:p>
        </w:tc>
        <w:tc>
          <w:tcPr>
            <w:tcW w:type="dxa" w:w="1224"/>
          </w:tcPr>
          <w:p>
            <w:r/>
            <w:r>
              <w:rPr>
                <w:rFonts w:ascii="Arial" w:hAnsi="Arial"/>
                <w:b w:val="0"/>
                <w:sz w:val="16"/>
              </w:rPr>
              <w:t>$277.71</w:t>
            </w:r>
          </w:p>
        </w:tc>
        <w:tc>
          <w:tcPr>
            <w:tcW w:type="dxa" w:w="1296"/>
          </w:tcPr>
          <w:p>
            <w:r/>
            <w:r>
              <w:rPr>
                <w:rFonts w:ascii="Arial" w:hAnsi="Arial"/>
                <w:b w:val="0"/>
                <w:sz w:val="16"/>
              </w:rPr>
              <w:t>$2,741.52</w:t>
            </w:r>
          </w:p>
        </w:tc>
        <w:tc>
          <w:tcPr>
            <w:tcW w:type="dxa" w:w="2880"/>
          </w:tcPr>
          <w:p>
            <w:r/>
            <w:r>
              <w:rPr>
                <w:rFonts w:ascii="Arial" w:hAnsi="Arial"/>
                <w:b w:val="0"/>
                <w:sz w:val="16"/>
              </w:rPr>
              <w:t>$14.25/SF base</w:t>
            </w:r>
          </w:p>
        </w:tc>
      </w:tr>
    </w:tbl>
    <w:p>
      <w:pPr>
        <w:pStyle w:val="Heading1"/>
        <w:spacing w:after="80"/>
      </w:pPr>
      <w:r>
        <w:t>C. Approval and Deviation Controls</w:t>
      </w:r>
    </w:p>
    <w:p>
      <w:pPr>
        <w:pStyle w:val="ListBullet"/>
      </w:pPr>
      <w:r>
        <w:rPr>
          <w:rFonts w:ascii="Arial" w:hAnsi="Arial"/>
          <w:sz w:val="20"/>
        </w:rPr>
        <w:t>If a deal changes the current OTB business terms, the system must capture an approved deviation memo and identify the approving user and date.</w:t>
      </w:r>
    </w:p>
    <w:p>
      <w:pPr>
        <w:pStyle w:val="ListBullet"/>
      </w:pPr>
      <w:r>
        <w:rPr>
          <w:rFonts w:ascii="Arial" w:hAnsi="Arial"/>
          <w:sz w:val="20"/>
        </w:rPr>
        <w:t>Do not let users free-type legal clauses in the body of the lease. Use controlled fields, controlled clause profiles, and approved addenda only.</w:t>
      </w:r>
    </w:p>
    <w:p>
      <w:pPr>
        <w:pStyle w:val="ListBullet"/>
      </w:pPr>
      <w:r>
        <w:rPr>
          <w:rFonts w:ascii="Arial" w:hAnsi="Arial"/>
          <w:sz w:val="20"/>
        </w:rPr>
        <w:t>If renewal rent will be negotiated instead of formula-driven, store that status explicitly and trigger a renewal/extension drafting task no later than the option notice deadline.</w:t>
      </w:r>
    </w:p>
    <w:p>
      <w:pPr>
        <w:pStyle w:val="Heading1"/>
        <w:spacing w:after="80"/>
      </w:pPr>
      <w:r>
        <w:t>D. Required Sign-Offs</w:t>
      </w:r>
    </w:p>
    <w:tbl>
      <w:tblPr>
        <w:tblStyle w:val="TableGrid"/>
        <w:tblW w:type="auto" w:w="0"/>
        <w:tblLook w:firstColumn="1" w:firstRow="1" w:lastColumn="0" w:lastRow="0" w:noHBand="0" w:noVBand="1" w:val="04A0"/>
      </w:tblPr>
      <w:tblGrid>
        <w:gridCol w:w="5040"/>
        <w:gridCol w:w="5040"/>
      </w:tblGrid>
      <w:tr>
        <w:tc>
          <w:tcPr>
            <w:tcW w:type="dxa" w:w="3168"/>
            <w:shd w:fill="B4C6E7" w:val="clear"/>
          </w:tcPr>
          <w:p>
            <w:r/>
            <w:r>
              <w:rPr>
                <w:rFonts w:ascii="Arial" w:hAnsi="Arial"/>
                <w:b/>
                <w:sz w:val="18"/>
              </w:rPr>
              <w:t>Approval Step</w:t>
            </w:r>
          </w:p>
        </w:tc>
        <w:tc>
          <w:tcPr>
            <w:tcW w:type="dxa" w:w="7056"/>
            <w:shd w:fill="B4C6E7" w:val="clear"/>
          </w:tcPr>
          <w:p>
            <w:r/>
            <w:r>
              <w:rPr>
                <w:rFonts w:ascii="Arial" w:hAnsi="Arial"/>
                <w:b/>
                <w:sz w:val="18"/>
              </w:rPr>
              <w:t>Entry</w:t>
            </w:r>
          </w:p>
        </w:tc>
      </w:tr>
      <w:tr>
        <w:tc>
          <w:tcPr>
            <w:tcW w:type="dxa" w:w="3168"/>
          </w:tcPr>
          <w:p>
            <w:r/>
            <w:r>
              <w:rPr>
                <w:rFonts w:ascii="Arial" w:hAnsi="Arial"/>
                <w:b/>
                <w:sz w:val="18"/>
              </w:rPr>
              <w:t>Leasing Approval</w:t>
            </w:r>
          </w:p>
        </w:tc>
        <w:tc>
          <w:tcPr>
            <w:tcW w:type="dxa" w:w="7056"/>
          </w:tcPr>
          <w:p>
            <w:r/>
            <w:r>
              <w:rPr>
                <w:rFonts w:ascii="Arial" w:hAnsi="Arial"/>
                <w:b w:val="0"/>
                <w:sz w:val="18"/>
              </w:rPr>
              <w:t>[NAME / DATE]</w:t>
            </w:r>
          </w:p>
        </w:tc>
      </w:tr>
      <w:tr>
        <w:tc>
          <w:tcPr>
            <w:tcW w:type="dxa" w:w="3168"/>
          </w:tcPr>
          <w:p>
            <w:r/>
            <w:r>
              <w:rPr>
                <w:rFonts w:ascii="Arial" w:hAnsi="Arial"/>
                <w:b/>
                <w:sz w:val="18"/>
              </w:rPr>
              <w:t>Ownership Approval</w:t>
            </w:r>
          </w:p>
        </w:tc>
        <w:tc>
          <w:tcPr>
            <w:tcW w:type="dxa" w:w="7056"/>
          </w:tcPr>
          <w:p>
            <w:r/>
            <w:r>
              <w:rPr>
                <w:rFonts w:ascii="Arial" w:hAnsi="Arial"/>
                <w:b w:val="0"/>
                <w:sz w:val="18"/>
              </w:rPr>
              <w:t>[NAME / DATE]</w:t>
            </w:r>
          </w:p>
        </w:tc>
      </w:tr>
      <w:tr>
        <w:tc>
          <w:tcPr>
            <w:tcW w:type="dxa" w:w="3168"/>
          </w:tcPr>
          <w:p>
            <w:r/>
            <w:r>
              <w:rPr>
                <w:rFonts w:ascii="Arial" w:hAnsi="Arial"/>
                <w:b/>
                <w:sz w:val="18"/>
              </w:rPr>
              <w:t>Legal Review Needed</w:t>
            </w:r>
          </w:p>
        </w:tc>
        <w:tc>
          <w:tcPr>
            <w:tcW w:type="dxa" w:w="7056"/>
          </w:tcPr>
          <w:p>
            <w:r/>
            <w:r>
              <w:rPr>
                <w:rFonts w:ascii="Arial" w:hAnsi="Arial"/>
                <w:b w:val="0"/>
                <w:sz w:val="18"/>
              </w:rPr>
              <w:t>[YES / NO]</w:t>
            </w:r>
          </w:p>
        </w:tc>
      </w:tr>
      <w:tr>
        <w:tc>
          <w:tcPr>
            <w:tcW w:type="dxa" w:w="3168"/>
          </w:tcPr>
          <w:p>
            <w:r/>
            <w:r>
              <w:rPr>
                <w:rFonts w:ascii="Arial" w:hAnsi="Arial"/>
                <w:b/>
                <w:sz w:val="18"/>
              </w:rPr>
              <w:t>Software Record Locked</w:t>
            </w:r>
          </w:p>
        </w:tc>
        <w:tc>
          <w:tcPr>
            <w:tcW w:type="dxa" w:w="7056"/>
          </w:tcPr>
          <w:p>
            <w:r/>
            <w:r>
              <w:rPr>
                <w:rFonts w:ascii="Arial" w:hAnsi="Arial"/>
                <w:b w:val="0"/>
                <w:sz w:val="18"/>
              </w:rPr>
              <w:t>[YES / NO AFTER FINAL APPROVAL]</w:t>
            </w:r>
          </w:p>
        </w:tc>
      </w:tr>
    </w:tbl>
    <w:p>
      <w:r>
        <w:br w:type="page"/>
      </w:r>
    </w:p>
    <w:p>
      <w:pPr>
        <w:pStyle w:val="Heading1"/>
      </w:pPr>
      <w:r>
        <w:t>FIXED MASTER LEASE ARTICLES</w:t>
      </w:r>
    </w:p>
    <w:p>
      <w:pPr>
        <w:pStyle w:val="Title"/>
        <w:jc w:val="center"/>
      </w:pPr>
      <w:r>
        <w:t>OTB Master Lease - V3.1 Software-Ready House Form</w:t>
      </w:r>
    </w:p>
    <w:p>
      <w:pPr>
        <w:jc w:val="center"/>
      </w:pPr>
      <w:r>
        <w:rPr>
          <w:rFonts w:ascii="Arial" w:hAnsi="Arial"/>
          <w:b/>
          <w:sz w:val="18"/>
        </w:rPr>
        <w:t>On the Boulevard Shopping Center | 101-149 Arnould Blvd., Lafayette, LA 70506</w:t>
      </w:r>
    </w:p>
    <w:p>
      <w:pPr>
        <w:jc w:val="center"/>
      </w:pPr>
      <w:r>
        <w:rPr>
          <w:rFonts w:ascii="Arial" w:hAnsi="Arial"/>
          <w:i/>
          <w:sz w:val="18"/>
        </w:rPr>
        <w:t>Preserves current OTB deal DNA while reorganizing terms for controlled assembly</w:t>
      </w:r>
    </w:p>
    <w:p>
      <w:pPr>
        <w:spacing w:after="80"/>
      </w:pPr>
      <w:r>
        <w:rPr>
          <w:rFonts w:ascii="Arial" w:hAnsi="Arial"/>
          <w:sz w:val="20"/>
        </w:rPr>
        <w:t>This house form is designed to track the current On the Boulevard lease business terms on a general level, while moving variable deal points into a front-end Lease Summary and keeping fixed legal language in the master body.</w:t>
      </w:r>
    </w:p>
    <w:tbl>
      <w:tblPr>
        <w:tblStyle w:val="TableGrid"/>
        <w:tblW w:type="auto" w:w="0"/>
        <w:tblLook w:firstColumn="1" w:firstRow="1" w:lastColumn="0" w:lastRow="0" w:noHBand="0" w:noVBand="1" w:val="04A0"/>
      </w:tblPr>
      <w:tblGrid>
        <w:gridCol w:w="5040"/>
        <w:gridCol w:w="5040"/>
      </w:tblGrid>
      <w:tr>
        <w:tc>
          <w:tcPr>
            <w:tcW w:type="dxa" w:w="3168"/>
            <w:shd w:fill="B4C6E7" w:val="clear"/>
          </w:tcPr>
          <w:p>
            <w:r/>
            <w:r>
              <w:rPr>
                <w:rFonts w:ascii="Arial" w:hAnsi="Arial"/>
                <w:b/>
                <w:sz w:val="18"/>
              </w:rPr>
              <w:t>Core Variable</w:t>
            </w:r>
          </w:p>
        </w:tc>
        <w:tc>
          <w:tcPr>
            <w:tcW w:type="dxa" w:w="7056"/>
            <w:shd w:fill="B4C6E7" w:val="clear"/>
          </w:tcPr>
          <w:p>
            <w:r/>
            <w:r>
              <w:rPr>
                <w:rFonts w:ascii="Arial" w:hAnsi="Arial"/>
                <w:b/>
                <w:sz w:val="18"/>
              </w:rPr>
              <w:t>House Form Instruction</w:t>
            </w:r>
          </w:p>
        </w:tc>
      </w:tr>
      <w:tr>
        <w:tc>
          <w:tcPr>
            <w:tcW w:type="dxa" w:w="3168"/>
          </w:tcPr>
          <w:p>
            <w:r/>
            <w:r>
              <w:rPr>
                <w:rFonts w:ascii="Arial" w:hAnsi="Arial"/>
                <w:b/>
                <w:sz w:val="18"/>
              </w:rPr>
              <w:t>Landlord</w:t>
            </w:r>
          </w:p>
        </w:tc>
        <w:tc>
          <w:tcPr>
            <w:tcW w:type="dxa" w:w="7056"/>
          </w:tcPr>
          <w:p>
            <w:r/>
            <w:r>
              <w:rPr>
                <w:rFonts w:ascii="Arial" w:hAnsi="Arial"/>
                <w:b w:val="0"/>
                <w:sz w:val="18"/>
              </w:rPr>
              <w:t>[LANDLORD LEGAL NAME]</w:t>
            </w:r>
          </w:p>
        </w:tc>
      </w:tr>
      <w:tr>
        <w:tc>
          <w:tcPr>
            <w:tcW w:type="dxa" w:w="3168"/>
          </w:tcPr>
          <w:p>
            <w:r/>
            <w:r>
              <w:rPr>
                <w:rFonts w:ascii="Arial" w:hAnsi="Arial"/>
                <w:b/>
                <w:sz w:val="18"/>
              </w:rPr>
              <w:t>Tenant</w:t>
            </w:r>
          </w:p>
        </w:tc>
        <w:tc>
          <w:tcPr>
            <w:tcW w:type="dxa" w:w="7056"/>
          </w:tcPr>
          <w:p>
            <w:r>
              <w:t>ROBERTSON FAMILY HOLDINGS, LLC</w:t>
            </w:r>
          </w:p>
        </w:tc>
      </w:tr>
      <w:tr>
        <w:tc>
          <w:tcPr>
            <w:tcW w:type="dxa" w:w="3168"/>
          </w:tcPr>
          <w:p>
            <w:r/>
            <w:r>
              <w:rPr>
                <w:rFonts w:ascii="Arial" w:hAnsi="Arial"/>
                <w:b/>
                <w:sz w:val="18"/>
              </w:rPr>
              <w:t>Shopping Center</w:t>
            </w:r>
          </w:p>
        </w:tc>
        <w:tc>
          <w:tcPr>
            <w:tcW w:type="dxa" w:w="7056"/>
          </w:tcPr>
          <w:p>
            <w:r/>
            <w:r>
              <w:rPr>
                <w:rFonts w:ascii="Arial" w:hAnsi="Arial"/>
                <w:b w:val="0"/>
                <w:sz w:val="18"/>
              </w:rPr>
              <w:t>On the Boulevard Shopping Center | 101-149 Arnould Blvd., Lafayette, LA 70506</w:t>
            </w:r>
          </w:p>
        </w:tc>
      </w:tr>
      <w:tr>
        <w:tc>
          <w:tcPr>
            <w:tcW w:type="dxa" w:w="3168"/>
          </w:tcPr>
          <w:p>
            <w:r/>
            <w:r>
              <w:rPr>
                <w:rFonts w:ascii="Arial" w:hAnsi="Arial"/>
                <w:b/>
                <w:sz w:val="18"/>
              </w:rPr>
              <w:t>Premises</w:t>
            </w:r>
          </w:p>
        </w:tc>
        <w:tc>
          <w:tcPr>
            <w:tcW w:type="dxa" w:w="7056"/>
          </w:tcPr>
          <w:p>
            <w:r>
              <w:t>121, 121 Arnould Boulevard, Lafayette, Louisiana 70506, containing 1,709 RSF</w:t>
            </w:r>
            <w:r>
              <w:rPr>
                <w:rFonts w:ascii="Arial" w:hAnsi="Arial"/>
                <w:b w:val="0"/>
                <w:sz w:val="18"/>
              </w:rPr>
            </w:r>
          </w:p>
        </w:tc>
      </w:tr>
      <w:tr>
        <w:tc>
          <w:tcPr>
            <w:tcW w:type="dxa" w:w="3168"/>
          </w:tcPr>
          <w:p>
            <w:r/>
            <w:r>
              <w:rPr>
                <w:rFonts w:ascii="Arial" w:hAnsi="Arial"/>
                <w:b/>
                <w:sz w:val="18"/>
              </w:rPr>
              <w:t>Permitted Use</w:t>
            </w:r>
          </w:p>
        </w:tc>
        <w:tc>
          <w:tcPr>
            <w:tcW w:type="dxa" w:w="7056"/>
          </w:tcPr>
          <w:p>
            <w:r>
              <w:t>Full-service hair salon; customary hair-care services; incidental related retail products/accessories</w:t>
            </w:r>
          </w:p>
        </w:tc>
      </w:tr>
      <w:tr>
        <w:tc>
          <w:tcPr>
            <w:tcW w:type="dxa" w:w="3168"/>
          </w:tcPr>
          <w:p>
            <w:r/>
            <w:r>
              <w:rPr>
                <w:rFonts w:ascii="Arial" w:hAnsi="Arial"/>
                <w:b/>
                <w:sz w:val="18"/>
              </w:rPr>
              <w:t>Summary Controls</w:t>
            </w:r>
          </w:p>
        </w:tc>
        <w:tc>
          <w:tcPr>
            <w:tcW w:type="dxa" w:w="7056"/>
          </w:tcPr>
          <w:p>
            <w:r/>
            <w:r>
              <w:rPr>
                <w:rFonts w:ascii="Arial" w:hAnsi="Arial"/>
                <w:b w:val="0"/>
                <w:sz w:val="18"/>
              </w:rPr>
              <w:t>Signed Lease Summary controls variable deal terms; body controls fixed legal terms</w:t>
            </w:r>
          </w:p>
        </w:tc>
      </w:tr>
    </w:tbl>
    <w:p>
      <w:pPr>
        <w:pStyle w:val="Heading1"/>
        <w:spacing w:after="80"/>
      </w:pPr>
      <w:r>
        <w:t>Article 1. Basic Lease Structure</w:t>
      </w:r>
    </w:p>
    <w:p>
      <w:pPr>
        <w:spacing w:after="80"/>
      </w:pPr>
      <w:r>
        <w:rPr>
          <w:rFonts w:ascii="Arial" w:hAnsi="Arial"/>
          <w:b/>
          <w:sz w:val="20"/>
        </w:rPr>
        <w:t xml:space="preserve">Current OTB Anchor: </w:t>
      </w:r>
      <w:r>
        <w:rPr>
          <w:rFonts w:ascii="Arial" w:hAnsi="Arial"/>
          <w:sz w:val="20"/>
        </w:rPr>
        <w:t>Current OTB Sections 1.01, 3.01, 4.01, 21.01</w:t>
      </w:r>
    </w:p>
    <w:p>
      <w:pPr>
        <w:spacing w:after="80"/>
      </w:pPr>
      <w:r>
        <w:rPr>
          <w:rFonts w:ascii="Arial" w:hAnsi="Arial"/>
          <w:sz w:val="20"/>
        </w:rPr>
        <w:t>This Lease is intended to be used with a completed Lease Summary. If there is a conflict, the signed Lease Summary controls the variable business terms and the body of this Lease controls the fixed legal terms.</w:t>
      </w:r>
    </w:p>
    <w:p>
      <w:pPr>
        <w:spacing w:after="80"/>
      </w:pPr>
      <w:r>
        <w:rPr>
          <w:rFonts w:ascii="Arial" w:hAnsi="Arial"/>
          <w:sz w:val="20"/>
        </w:rPr>
        <w:t>Landlord: [LANDLORD LEGAL NAME]. Tenant: ROBERTSON FAMILY HOLDINGS, LLC, a Louisiana limited liability company. Premises: 121, 121 Arnould Boulevard, Lafayette, Louisiana 70506, containing 1,709 rentable square feet within the Shopping Center.</w:t>
      </w:r>
    </w:p>
    <w:p>
      <w:pPr>
        <w:spacing w:after="80"/>
      </w:pPr>
      <w:r>
        <w:rPr>
          <w:rFonts w:ascii="Arial" w:hAnsi="Arial"/>
          <w:sz w:val="20"/>
        </w:rPr>
        <w:t>Effective Date, Possession Date, Commencement Date, Rent Commencement Date, Expiration Date, and any Outside Opening Date shall be stated in the Lease Summary and, if applicable, confirmed later by Commencement Date Memorandum.</w:t>
      </w:r>
    </w:p>
    <w:p>
      <w:pPr>
        <w:pStyle w:val="Heading1"/>
        <w:spacing w:after="80"/>
      </w:pPr>
      <w:r>
        <w:t>Article 2. Premises; As-Is Acceptance</w:t>
      </w:r>
    </w:p>
    <w:p>
      <w:pPr>
        <w:spacing w:after="80"/>
      </w:pPr>
      <w:r>
        <w:rPr>
          <w:rFonts w:ascii="Arial" w:hAnsi="Arial"/>
          <w:b/>
          <w:sz w:val="20"/>
        </w:rPr>
        <w:t xml:space="preserve">Current OTB Anchor: </w:t>
      </w:r>
      <w:r>
        <w:rPr>
          <w:rFonts w:ascii="Arial" w:hAnsi="Arial"/>
          <w:sz w:val="20"/>
        </w:rPr>
        <w:t>Current OTB Section 1.01(B)-(C)</w:t>
      </w:r>
    </w:p>
    <w:p>
      <w:pPr>
        <w:spacing w:after="80"/>
      </w:pPr>
      <w:r>
        <w:rPr>
          <w:rFonts w:ascii="Arial" w:hAnsi="Arial"/>
          <w:sz w:val="20"/>
        </w:rPr>
        <w:t>Tenant acknowledges inspection of the Premises and accepts the Premises in its then-existing condition, AS IS and WITH ALL FAULTS, except for any express obligations of Landlord stated in the Lease Summary or Work Letter.</w:t>
      </w:r>
    </w:p>
    <w:p>
      <w:pPr>
        <w:spacing w:after="80"/>
      </w:pPr>
      <w:r>
        <w:rPr>
          <w:rFonts w:ascii="Arial" w:hAnsi="Arial"/>
          <w:sz w:val="20"/>
        </w:rPr>
        <w:t>Landlord makes no representation regarding suitability for Tenant's business beyond express written terms of this Lease.</w:t>
      </w:r>
    </w:p>
    <w:p>
      <w:pPr>
        <w:pStyle w:val="Heading1"/>
        <w:spacing w:after="80"/>
      </w:pPr>
      <w:r>
        <w:t>Article 3. Permitted Use; Prohibited Uses; Shopping Center Controls</w:t>
      </w:r>
    </w:p>
    <w:p>
      <w:pPr>
        <w:spacing w:after="80"/>
      </w:pPr>
      <w:r>
        <w:rPr>
          <w:rFonts w:ascii="Arial" w:hAnsi="Arial"/>
          <w:b/>
          <w:sz w:val="20"/>
        </w:rPr>
        <w:t xml:space="preserve">Current OTB Anchor: </w:t>
      </w:r>
      <w:r>
        <w:rPr>
          <w:rFonts w:ascii="Arial" w:hAnsi="Arial"/>
          <w:sz w:val="20"/>
        </w:rPr>
        <w:t>Current OTB Sections 2.01 and 7.01</w:t>
      </w:r>
    </w:p>
    <w:p>
      <w:pPr>
        <w:spacing w:after="80"/>
      </w:pPr>
      <w:r>
        <w:rPr>
          <w:rFonts w:ascii="Arial" w:hAnsi="Arial"/>
          <w:sz w:val="20"/>
        </w:rPr>
        <w:t>Tenant may use the Premises only for the Permitted Use stated in the Lease Summary and for no other use without Landlord's prior written consent.</w:t>
      </w:r>
    </w:p>
    <w:p>
      <w:pPr>
        <w:spacing w:after="80"/>
      </w:pPr>
      <w:r>
        <w:rPr>
          <w:rFonts w:ascii="Arial" w:hAnsi="Arial"/>
          <w:sz w:val="20"/>
        </w:rPr>
        <w:t>Unless expressly changed in the Lease Summary or an approved addendum, the house-form prohibited use controls must preserve current OTB restrictions, including no Jason's-Deli-type delicatessen use, no cat-focused veterinary clinic, and no boutique primarily selling home goods, monogrammed or personalized items, candles, decor, drinkware, or jewelry where restricted by existing center commitments.</w:t>
      </w:r>
    </w:p>
    <w:p>
      <w:pPr>
        <w:spacing w:after="80"/>
      </w:pPr>
      <w:r>
        <w:rPr>
          <w:rFonts w:ascii="Arial" w:hAnsi="Arial"/>
          <w:sz w:val="20"/>
        </w:rPr>
        <w:t>Tenant shall not create a nuisance, violate Laws, increase Landlord insurance premiums by its use, or conduct any use conflicting with another tenant's contractual exclusive rights.</w:t>
      </w:r>
    </w:p>
    <w:p>
      <w:pPr>
        <w:pStyle w:val="Heading1"/>
        <w:spacing w:after="80"/>
      </w:pPr>
      <w:r>
        <w:t>Article 4. Term; Delivery; Opening; Continuous Operations</w:t>
      </w:r>
    </w:p>
    <w:p>
      <w:pPr>
        <w:spacing w:after="80"/>
      </w:pPr>
      <w:r>
        <w:rPr>
          <w:rFonts w:ascii="Arial" w:hAnsi="Arial"/>
          <w:b/>
          <w:sz w:val="20"/>
        </w:rPr>
        <w:t xml:space="preserve">Current OTB Anchor: </w:t>
      </w:r>
      <w:r>
        <w:rPr>
          <w:rFonts w:ascii="Arial" w:hAnsi="Arial"/>
          <w:sz w:val="20"/>
        </w:rPr>
        <w:t>Current OTB Section 3.01 and Schedule C</w:t>
      </w:r>
    </w:p>
    <w:p>
      <w:pPr>
        <w:spacing w:after="80"/>
      </w:pPr>
      <w:r>
        <w:rPr>
          <w:rFonts w:ascii="Arial" w:hAnsi="Arial"/>
          <w:sz w:val="20"/>
        </w:rPr>
        <w:t>The Term begins on the Commencement Date and expires on the Expiration Date shown in the Lease Summary, subject to any approved extension or renewal.</w:t>
      </w:r>
    </w:p>
    <w:p>
      <w:pPr>
        <w:spacing w:after="80"/>
      </w:pPr>
      <w:r>
        <w:rPr>
          <w:rFonts w:ascii="Arial" w:hAnsi="Arial"/>
          <w:sz w:val="20"/>
        </w:rPr>
        <w:t>Tenant shall open for business by the Outside Opening Date, if any, and thereafter continuously operate in accordance with this Lease, the Rules and Regulations, and any Operating Hours Schedule.</w:t>
      </w:r>
    </w:p>
    <w:p>
      <w:pPr>
        <w:spacing w:after="80"/>
      </w:pPr>
      <w:r>
        <w:rPr>
          <w:rFonts w:ascii="Arial" w:hAnsi="Arial"/>
          <w:sz w:val="20"/>
        </w:rPr>
        <w:t>Unless a written waiver is signed, house-form operating hours must preserve the current OTB standard of at least Monday through Friday, 10:00 a.m. to 5:00 p.m., with no required opening on stated holidays in the Rules and Regulations.</w:t>
      </w:r>
    </w:p>
    <w:p>
      <w:pPr>
        <w:pStyle w:val="Heading1"/>
        <w:spacing w:after="80"/>
      </w:pPr>
      <w:r>
        <w:t>Article 5. Base Rent; Additional Rent; Payment Mechanics</w:t>
      </w:r>
    </w:p>
    <w:p>
      <w:pPr>
        <w:spacing w:after="80"/>
      </w:pPr>
      <w:r>
        <w:rPr>
          <w:rFonts w:ascii="Arial" w:hAnsi="Arial"/>
          <w:b/>
          <w:sz w:val="20"/>
        </w:rPr>
        <w:t xml:space="preserve">Current OTB Anchor: </w:t>
      </w:r>
      <w:r>
        <w:rPr>
          <w:rFonts w:ascii="Arial" w:hAnsi="Arial"/>
          <w:sz w:val="20"/>
        </w:rPr>
        <w:t>Current OTB Section 4.01 and Schedule G</w:t>
      </w:r>
    </w:p>
    <w:p>
      <w:pPr>
        <w:spacing w:after="80"/>
      </w:pPr>
      <w:r>
        <w:rPr>
          <w:rFonts w:ascii="Arial" w:hAnsi="Arial"/>
          <w:sz w:val="20"/>
        </w:rPr>
        <w:t>Tenant shall pay Base Rent and Additional Rent in the amounts and at the times set forth in the Lease Summary and Rent Schedule. The system must be able to generate abatement months, partial-abatement months, and stepped rent periods.</w:t>
      </w:r>
    </w:p>
    <w:p>
      <w:pPr>
        <w:spacing w:after="80"/>
      </w:pPr>
      <w:r>
        <w:rPr>
          <w:rFonts w:ascii="Arial" w:hAnsi="Arial"/>
          <w:sz w:val="20"/>
        </w:rPr>
        <w:t>Unless Landlord directs otherwise, all amounts are due on the first day of each month without offset or deduction. Landlord may require ACH, wire, portal payment, or other automated payment method at any time.</w:t>
      </w:r>
    </w:p>
    <w:p>
      <w:pPr>
        <w:spacing w:after="80"/>
      </w:pPr>
      <w:r>
        <w:rPr>
          <w:rFonts w:ascii="Arial" w:hAnsi="Arial"/>
          <w:sz w:val="20"/>
        </w:rPr>
        <w:t>The current OTB late-charge rule remains the house default unless specifically revised by approved deviation: if the Total Monthly Rental Payment is not received by the fifth day of the month, Tenant owes a fixed late fee of $100.00 plus $25.00 per day beginning on the sixth day of that month.</w:t>
      </w:r>
    </w:p>
    <w:p>
      <w:pPr>
        <w:pStyle w:val="Heading1"/>
        <w:spacing w:after="80"/>
      </w:pPr>
      <w:r>
        <w:t>Article 6. Common Area Maintenance; Taxes; Insurance Charges</w:t>
      </w:r>
    </w:p>
    <w:p>
      <w:pPr>
        <w:spacing w:after="80"/>
      </w:pPr>
      <w:r>
        <w:rPr>
          <w:rFonts w:ascii="Arial" w:hAnsi="Arial"/>
          <w:b/>
          <w:sz w:val="20"/>
        </w:rPr>
        <w:t xml:space="preserve">Current OTB Anchor: </w:t>
      </w:r>
      <w:r>
        <w:rPr>
          <w:rFonts w:ascii="Arial" w:hAnsi="Arial"/>
          <w:sz w:val="20"/>
        </w:rPr>
        <w:t>Current OTB Sections 4.01(B), 5.01, 6.01</w:t>
      </w:r>
    </w:p>
    <w:p>
      <w:pPr>
        <w:spacing w:after="80"/>
      </w:pPr>
      <w:r>
        <w:rPr>
          <w:rFonts w:ascii="Arial" w:hAnsi="Arial"/>
          <w:sz w:val="20"/>
        </w:rPr>
        <w:t>Tenant shall pay its Pro Rata Share of Common Area Maintenance Charges, Taxes, and Insurance Charges, whether billed as fixed estimates, schedule amounts, or reconciled actuals, as stated in the Lease Summary.</w:t>
      </w:r>
    </w:p>
    <w:p>
      <w:pPr>
        <w:spacing w:after="80"/>
      </w:pPr>
      <w:r>
        <w:rPr>
          <w:rFonts w:ascii="Arial" w:hAnsi="Arial"/>
          <w:sz w:val="20"/>
        </w:rPr>
        <w:t>The current OTB house rule preserves a five percent (5%) annual cap on increases to Common Area Maintenance Charges and/or Taxes and Insurance Charges over the prior calendar year actual amounts, unless an approved deviation is entered for a specific transaction.</w:t>
      </w:r>
    </w:p>
    <w:p>
      <w:pPr>
        <w:spacing w:after="80"/>
      </w:pPr>
      <w:r>
        <w:rPr>
          <w:rFonts w:ascii="Arial" w:hAnsi="Arial"/>
          <w:sz w:val="20"/>
        </w:rPr>
        <w:t>Tenant remains separately responsible for taxes on Tenant personal property, equipment, fixtures, and inventory.</w:t>
      </w:r>
    </w:p>
    <w:p>
      <w:pPr>
        <w:pStyle w:val="Heading1"/>
        <w:spacing w:after="80"/>
      </w:pPr>
      <w:r>
        <w:t>Article 7. Assignment; Subletting; Transfers</w:t>
      </w:r>
    </w:p>
    <w:p>
      <w:pPr>
        <w:spacing w:after="80"/>
      </w:pPr>
      <w:r>
        <w:rPr>
          <w:rFonts w:ascii="Arial" w:hAnsi="Arial"/>
          <w:b/>
          <w:sz w:val="20"/>
        </w:rPr>
        <w:t xml:space="preserve">Current OTB Anchor: </w:t>
      </w:r>
      <w:r>
        <w:rPr>
          <w:rFonts w:ascii="Arial" w:hAnsi="Arial"/>
          <w:sz w:val="20"/>
        </w:rPr>
        <w:t>Current OTB Section 8.01</w:t>
      </w:r>
    </w:p>
    <w:p>
      <w:pPr>
        <w:spacing w:after="80"/>
      </w:pPr>
      <w:r>
        <w:rPr>
          <w:rFonts w:ascii="Arial" w:hAnsi="Arial"/>
          <w:sz w:val="20"/>
        </w:rPr>
        <w:t>Tenant shall not assign this Lease, sublease any portion of the Premises, mortgage its interest, or permit a transfer of control without Landlord's prior written consent, which may be granted or withheld in Landlord's discretion as allowed by applicable law and center lease constraints.</w:t>
      </w:r>
    </w:p>
    <w:p>
      <w:pPr>
        <w:spacing w:after="80"/>
      </w:pPr>
      <w:r>
        <w:rPr>
          <w:rFonts w:ascii="Arial" w:hAnsi="Arial"/>
          <w:sz w:val="20"/>
        </w:rPr>
        <w:t>Any consent does not release Tenant or any guarantor unless Landlord signs an express written release.</w:t>
      </w:r>
    </w:p>
    <w:p>
      <w:pPr>
        <w:pStyle w:val="Heading1"/>
        <w:spacing w:after="80"/>
      </w:pPr>
      <w:r>
        <w:t>Article 8. Maintenance; Repairs; HVAC</w:t>
      </w:r>
    </w:p>
    <w:p>
      <w:pPr>
        <w:spacing w:after="80"/>
      </w:pPr>
      <w:r>
        <w:rPr>
          <w:rFonts w:ascii="Arial" w:hAnsi="Arial"/>
          <w:b/>
          <w:sz w:val="20"/>
        </w:rPr>
        <w:t xml:space="preserve">Current OTB Anchor: </w:t>
      </w:r>
      <w:r>
        <w:rPr>
          <w:rFonts w:ascii="Arial" w:hAnsi="Arial"/>
          <w:sz w:val="20"/>
        </w:rPr>
        <w:t>Current OTB Section 9.01</w:t>
      </w:r>
    </w:p>
    <w:p>
      <w:pPr>
        <w:spacing w:after="80"/>
      </w:pPr>
      <w:r>
        <w:rPr>
          <w:rFonts w:ascii="Arial" w:hAnsi="Arial"/>
          <w:sz w:val="20"/>
        </w:rPr>
        <w:t>Tenant shall maintain the interior of the Premises and all non-structural systems serving only the Premises in good order, clean condition, and legal compliance.</w:t>
      </w:r>
    </w:p>
    <w:p>
      <w:pPr>
        <w:spacing w:after="80"/>
      </w:pPr>
      <w:r>
        <w:rPr>
          <w:rFonts w:ascii="Arial" w:hAnsi="Arial"/>
          <w:sz w:val="20"/>
        </w:rPr>
        <w:t>Landlord shall maintain roof, exterior walls, structural foundation, and in-slab plumbing/electrical, except to the extent damage is caused by Tenant.</w:t>
      </w:r>
    </w:p>
    <w:p>
      <w:pPr>
        <w:spacing w:after="80"/>
      </w:pPr>
      <w:r>
        <w:rPr>
          <w:rFonts w:ascii="Arial" w:hAnsi="Arial"/>
          <w:sz w:val="20"/>
        </w:rPr>
        <w:t>The current OTB HVAC deal terms are preserved as default business terms: Tenant pays the first $1,500.00 of each repair visit, pays fifty percent (50%) of replacement cost, maintains a monthly HVAC contract with Butcher Air Conditioning or another Landlord-approved provider, and receives credit for a qualifying preceding repair visit if replacement occurs within fifteen (15) days after that repair visit.</w:t>
      </w:r>
    </w:p>
    <w:p>
      <w:pPr>
        <w:pStyle w:val="Heading1"/>
        <w:spacing w:after="80"/>
      </w:pPr>
      <w:r>
        <w:t>Article 9. Alterations; Liens; Ownership of Improvements</w:t>
      </w:r>
    </w:p>
    <w:p>
      <w:pPr>
        <w:spacing w:after="80"/>
      </w:pPr>
      <w:r>
        <w:rPr>
          <w:rFonts w:ascii="Arial" w:hAnsi="Arial"/>
          <w:b/>
          <w:sz w:val="20"/>
        </w:rPr>
        <w:t xml:space="preserve">Current OTB Anchor: </w:t>
      </w:r>
      <w:r>
        <w:rPr>
          <w:rFonts w:ascii="Arial" w:hAnsi="Arial"/>
          <w:sz w:val="20"/>
        </w:rPr>
        <w:t>Current OTB Section 10.01</w:t>
      </w:r>
    </w:p>
    <w:p>
      <w:pPr>
        <w:spacing w:after="80"/>
      </w:pPr>
      <w:r>
        <w:rPr>
          <w:rFonts w:ascii="Arial" w:hAnsi="Arial"/>
          <w:sz w:val="20"/>
        </w:rPr>
        <w:t>Tenant shall not make additions, improvements, or alterations without Landlord's prior written consent if consent is required by the Lease Summary or construction rules.</w:t>
      </w:r>
    </w:p>
    <w:p>
      <w:pPr>
        <w:spacing w:after="80"/>
      </w:pPr>
      <w:r>
        <w:rPr>
          <w:rFonts w:ascii="Arial" w:hAnsi="Arial"/>
          <w:sz w:val="20"/>
        </w:rPr>
        <w:t>Tenant shall keep the Premises free of liens, use licensed and insured contractors, obtain required permits, and repair damage caused by work or removal.</w:t>
      </w:r>
    </w:p>
    <w:p>
      <w:pPr>
        <w:spacing w:after="80"/>
      </w:pPr>
      <w:r>
        <w:rPr>
          <w:rFonts w:ascii="Arial" w:hAnsi="Arial"/>
          <w:sz w:val="20"/>
        </w:rPr>
        <w:t>Unless Landlord requires removal, approved improvements become Landlord property at expiration, excluding Tenant's removable trade fixtures and movable equipment.</w:t>
      </w:r>
    </w:p>
    <w:p>
      <w:pPr>
        <w:pStyle w:val="Heading1"/>
        <w:spacing w:after="80"/>
      </w:pPr>
      <w:r>
        <w:t>Article 10. Utilities; Janitorial; Transfer of Service</w:t>
      </w:r>
    </w:p>
    <w:p>
      <w:pPr>
        <w:spacing w:after="80"/>
      </w:pPr>
      <w:r>
        <w:rPr>
          <w:rFonts w:ascii="Arial" w:hAnsi="Arial"/>
          <w:b/>
          <w:sz w:val="20"/>
        </w:rPr>
        <w:t xml:space="preserve">Current OTB Anchor: </w:t>
      </w:r>
      <w:r>
        <w:rPr>
          <w:rFonts w:ascii="Arial" w:hAnsi="Arial"/>
          <w:sz w:val="20"/>
        </w:rPr>
        <w:t>Current OTB Section 11.01</w:t>
      </w:r>
    </w:p>
    <w:p>
      <w:pPr>
        <w:spacing w:after="80"/>
      </w:pPr>
      <w:r>
        <w:rPr>
          <w:rFonts w:ascii="Arial" w:hAnsi="Arial"/>
          <w:sz w:val="20"/>
        </w:rPr>
        <w:t>Tenant shall pay all utilities and service charges serving the Premises, including electricity, gas, water, trash, telecommunications, and janitorial costs.</w:t>
      </w:r>
    </w:p>
    <w:p>
      <w:pPr>
        <w:spacing w:after="80"/>
      </w:pPr>
      <w:r>
        <w:rPr>
          <w:rFonts w:ascii="Arial" w:hAnsi="Arial"/>
          <w:sz w:val="20"/>
        </w:rPr>
        <w:t>Tenant shall immediately transfer electric service into Tenant's name at commencement. If Landlord pays any utility on Tenant's behalf, Tenant must reimburse the charge plus the current OTB administrative fee of $100.00 per payment.</w:t>
      </w:r>
    </w:p>
    <w:p>
      <w:pPr>
        <w:spacing w:after="80"/>
      </w:pPr>
      <w:r>
        <w:rPr>
          <w:rFonts w:ascii="Arial" w:hAnsi="Arial"/>
          <w:sz w:val="20"/>
        </w:rPr>
        <w:t>Tenant shall not disconnect utilities before surrender without reasonable written notice and cooperation with Landlord transfer procedures.</w:t>
      </w:r>
    </w:p>
    <w:p>
      <w:pPr>
        <w:pStyle w:val="Heading1"/>
        <w:spacing w:after="80"/>
      </w:pPr>
      <w:r>
        <w:t>Article 11. Signs; Storefront Standards; Monument Rights</w:t>
      </w:r>
    </w:p>
    <w:p>
      <w:pPr>
        <w:spacing w:after="80"/>
      </w:pPr>
      <w:r>
        <w:rPr>
          <w:rFonts w:ascii="Arial" w:hAnsi="Arial"/>
          <w:b/>
          <w:sz w:val="20"/>
        </w:rPr>
        <w:t xml:space="preserve">Current OTB Anchor: </w:t>
      </w:r>
      <w:r>
        <w:rPr>
          <w:rFonts w:ascii="Arial" w:hAnsi="Arial"/>
          <w:sz w:val="20"/>
        </w:rPr>
        <w:t>Current OTB Section 12.01 and Schedules C-D</w:t>
      </w:r>
    </w:p>
    <w:p>
      <w:pPr>
        <w:spacing w:after="80"/>
      </w:pPr>
      <w:r>
        <w:rPr>
          <w:rFonts w:ascii="Arial" w:hAnsi="Arial"/>
          <w:sz w:val="20"/>
        </w:rPr>
        <w:t>All signage requires Landlord approval and must comply with Rules and Regulations, design criteria, and any sign rights listed in the Lease Summary.</w:t>
      </w:r>
    </w:p>
    <w:p>
      <w:pPr>
        <w:spacing w:after="80"/>
      </w:pPr>
      <w:r>
        <w:rPr>
          <w:rFonts w:ascii="Arial" w:hAnsi="Arial"/>
          <w:sz w:val="20"/>
        </w:rPr>
        <w:t>The current OTB storefront standard remains the house default: exterior storefront signs must be manufactured by Universal Sign Company, walkway signs by Hubbard Sign Company, letters may not exceed 26 inches in height, total lettering length may not exceed 80% of storefront width, signs must be at least 2 feet from each corner, illuminated signs must remain lit from dusk until midnight, and no flashing, moving, audible, paper, or freestanding signs are allowed unless Landlord expressly approves otherwise.</w:t>
      </w:r>
    </w:p>
    <w:p>
      <w:pPr>
        <w:pStyle w:val="Heading1"/>
        <w:spacing w:after="80"/>
      </w:pPr>
      <w:r>
        <w:t>Article 12. Access; Common Areas; Parking</w:t>
      </w:r>
    </w:p>
    <w:p>
      <w:pPr>
        <w:spacing w:after="80"/>
      </w:pPr>
      <w:r>
        <w:rPr>
          <w:rFonts w:ascii="Arial" w:hAnsi="Arial"/>
          <w:b/>
          <w:sz w:val="20"/>
        </w:rPr>
        <w:t xml:space="preserve">Current OTB Anchor: </w:t>
      </w:r>
      <w:r>
        <w:rPr>
          <w:rFonts w:ascii="Arial" w:hAnsi="Arial"/>
          <w:sz w:val="20"/>
        </w:rPr>
        <w:t>Current OTB Sections 13.01 and 22.01</w:t>
      </w:r>
    </w:p>
    <w:p>
      <w:pPr>
        <w:spacing w:after="80"/>
      </w:pPr>
      <w:r>
        <w:rPr>
          <w:rFonts w:ascii="Arial" w:hAnsi="Arial"/>
          <w:sz w:val="20"/>
        </w:rPr>
        <w:t>Landlord may enter the Premises on at least 12 hours' prior notice during business hours and at other reasonable times for inspection, repair, showing, compliance checks, and common area work, except in emergencies where no prior notice is required.</w:t>
      </w:r>
    </w:p>
    <w:p>
      <w:pPr>
        <w:spacing w:after="80"/>
      </w:pPr>
      <w:r>
        <w:rPr>
          <w:rFonts w:ascii="Arial" w:hAnsi="Arial"/>
          <w:sz w:val="20"/>
        </w:rPr>
        <w:t>Landlord retains sole control of the Common Areas, may change traffic flow, parking, landscaping, or access, and may temporarily close portions for repair, events, or management purposes.</w:t>
      </w:r>
    </w:p>
    <w:p>
      <w:pPr>
        <w:pStyle w:val="Heading1"/>
        <w:spacing w:after="80"/>
      </w:pPr>
      <w:r>
        <w:t>Article 13. Indemnity; Hazardous Materials; Insurance; Waiver of Subrogation</w:t>
      </w:r>
    </w:p>
    <w:p>
      <w:pPr>
        <w:spacing w:after="80"/>
      </w:pPr>
      <w:r>
        <w:rPr>
          <w:rFonts w:ascii="Arial" w:hAnsi="Arial"/>
          <w:b/>
          <w:sz w:val="20"/>
        </w:rPr>
        <w:t xml:space="preserve">Current OTB Anchor: </w:t>
      </w:r>
      <w:r>
        <w:rPr>
          <w:rFonts w:ascii="Arial" w:hAnsi="Arial"/>
          <w:sz w:val="20"/>
        </w:rPr>
        <w:t>Current OTB Sections 14.01, 14.02, 15.01, 16.01</w:t>
      </w:r>
    </w:p>
    <w:p>
      <w:pPr>
        <w:spacing w:after="80"/>
      </w:pPr>
      <w:r>
        <w:rPr>
          <w:rFonts w:ascii="Arial" w:hAnsi="Arial"/>
          <w:sz w:val="20"/>
        </w:rPr>
        <w:t>Tenant shall indemnify, defend, and hold Landlord harmless from claims arising in or about the Premises or from Tenant's use, occupancy, work, employees, agents, customers, guests, or invitees, except to the extent caused by Landlord's gross negligence or willful misconduct.</w:t>
      </w:r>
    </w:p>
    <w:p>
      <w:pPr>
        <w:spacing w:after="80"/>
      </w:pPr>
      <w:r>
        <w:rPr>
          <w:rFonts w:ascii="Arial" w:hAnsi="Arial"/>
          <w:sz w:val="20"/>
        </w:rPr>
        <w:t>Tenant shall not use or bring Hazardous Substances onto the Premises except in lawful de minimis amounts customary for the Permitted Use and must promptly remediate any Tenant-caused contamination.</w:t>
      </w:r>
    </w:p>
    <w:p>
      <w:pPr>
        <w:spacing w:after="80"/>
      </w:pPr>
      <w:r>
        <w:rPr>
          <w:rFonts w:ascii="Arial" w:hAnsi="Arial"/>
          <w:sz w:val="20"/>
        </w:rPr>
        <w:t>Tenant must maintain insurance stated in the Lease Summary and Exhibit G, including Landlord as additional insured on a primary and non-contributory basis, plus 30-day cancellation notice if available by endorsement. Landlord and Tenant waive subrogation rights to the extent covered by insurance.</w:t>
      </w:r>
    </w:p>
    <w:p>
      <w:pPr>
        <w:pStyle w:val="Heading1"/>
        <w:spacing w:after="80"/>
      </w:pPr>
      <w:r>
        <w:t>Article 14. Casualty; Condemnation; Rent Abatement</w:t>
      </w:r>
    </w:p>
    <w:p>
      <w:pPr>
        <w:spacing w:after="80"/>
      </w:pPr>
      <w:r>
        <w:rPr>
          <w:rFonts w:ascii="Arial" w:hAnsi="Arial"/>
          <w:b/>
          <w:sz w:val="20"/>
        </w:rPr>
        <w:t xml:space="preserve">Current OTB Anchor: </w:t>
      </w:r>
      <w:r>
        <w:rPr>
          <w:rFonts w:ascii="Arial" w:hAnsi="Arial"/>
          <w:sz w:val="20"/>
        </w:rPr>
        <w:t>Current OTB Section 17.01</w:t>
      </w:r>
    </w:p>
    <w:p>
      <w:pPr>
        <w:spacing w:after="80"/>
      </w:pPr>
      <w:r>
        <w:rPr>
          <w:rFonts w:ascii="Arial" w:hAnsi="Arial"/>
          <w:sz w:val="20"/>
        </w:rPr>
        <w:t>If casualty renders the Premises unusable, Landlord may terminate if restoration is not commercially practical or not timely completed. If the Premises is partially usable, rent abates proportionately during the period full use is not possible, subject to the current OTB casualty framework.</w:t>
      </w:r>
    </w:p>
    <w:p>
      <w:pPr>
        <w:spacing w:after="80"/>
      </w:pPr>
      <w:r>
        <w:rPr>
          <w:rFonts w:ascii="Arial" w:hAnsi="Arial"/>
          <w:sz w:val="20"/>
        </w:rPr>
        <w:t>If damage is caused by Tenant, Tenant remains responsible to the extent not covered by Landlord insurance.</w:t>
      </w:r>
    </w:p>
    <w:p>
      <w:pPr>
        <w:pStyle w:val="Heading1"/>
        <w:spacing w:after="80"/>
      </w:pPr>
      <w:r>
        <w:t>Article 15. Defaults; Remedies; Attorneys' Fees</w:t>
      </w:r>
    </w:p>
    <w:p>
      <w:pPr>
        <w:spacing w:after="80"/>
      </w:pPr>
      <w:r>
        <w:rPr>
          <w:rFonts w:ascii="Arial" w:hAnsi="Arial"/>
          <w:b/>
          <w:sz w:val="20"/>
        </w:rPr>
        <w:t xml:space="preserve">Current OTB Anchor: </w:t>
      </w:r>
      <w:r>
        <w:rPr>
          <w:rFonts w:ascii="Arial" w:hAnsi="Arial"/>
          <w:sz w:val="20"/>
        </w:rPr>
        <w:t>Current OTB Sections 18.01, 19.01, 24.01, 30.01</w:t>
      </w:r>
    </w:p>
    <w:p>
      <w:pPr>
        <w:spacing w:after="80"/>
      </w:pPr>
      <w:r>
        <w:rPr>
          <w:rFonts w:ascii="Arial" w:hAnsi="Arial"/>
          <w:sz w:val="20"/>
        </w:rPr>
        <w:t>Events of Tenant default include bankruptcy-type events, failure to pay rent or other sums when due, abandonment, and non-monetary breaches not cured within five (5) days after written notice if a cure period applies.</w:t>
      </w:r>
    </w:p>
    <w:p>
      <w:pPr>
        <w:spacing w:after="80"/>
      </w:pPr>
      <w:r>
        <w:rPr>
          <w:rFonts w:ascii="Arial" w:hAnsi="Arial"/>
          <w:sz w:val="20"/>
        </w:rPr>
        <w:t>Landlord may terminate, recover possession, accelerate or recover damages to the extent permitted by the Lease and Louisiana law, apply deposits, and recover attorneys' fees and costs as provided in the current OTB lease structure.</w:t>
      </w:r>
    </w:p>
    <w:p>
      <w:pPr>
        <w:spacing w:after="80"/>
      </w:pPr>
      <w:r>
        <w:rPr>
          <w:rFonts w:ascii="Arial" w:hAnsi="Arial"/>
          <w:sz w:val="20"/>
        </w:rPr>
        <w:t>Landlord's delay in exercising rights is not a waiver. Lessor default cure remains thirty (30) days after notice, with longer period if cure is diligently commenced and cannot reasonably be completed inside thirty days.</w:t>
      </w:r>
    </w:p>
    <w:p>
      <w:pPr>
        <w:pStyle w:val="Heading1"/>
        <w:spacing w:after="80"/>
      </w:pPr>
      <w:r>
        <w:t>Article 16. Surrender; Holdover; Security Deposit</w:t>
      </w:r>
    </w:p>
    <w:p>
      <w:pPr>
        <w:spacing w:after="80"/>
      </w:pPr>
      <w:r>
        <w:rPr>
          <w:rFonts w:ascii="Arial" w:hAnsi="Arial"/>
          <w:b/>
          <w:sz w:val="20"/>
        </w:rPr>
        <w:t xml:space="preserve">Current OTB Anchor: </w:t>
      </w:r>
      <w:r>
        <w:rPr>
          <w:rFonts w:ascii="Arial" w:hAnsi="Arial"/>
          <w:sz w:val="20"/>
        </w:rPr>
        <w:t>Current OTB Sections 20.01 and 35.01</w:t>
      </w:r>
    </w:p>
    <w:p>
      <w:pPr>
        <w:spacing w:after="80"/>
      </w:pPr>
      <w:r>
        <w:rPr>
          <w:rFonts w:ascii="Arial" w:hAnsi="Arial"/>
          <w:sz w:val="20"/>
        </w:rPr>
        <w:t>At expiration or earlier termination, Tenant shall surrender the Premises in required condition, remove signage and personal property, and repair damage caused by removal.</w:t>
      </w:r>
    </w:p>
    <w:p>
      <w:pPr>
        <w:spacing w:after="80"/>
      </w:pPr>
      <w:r>
        <w:rPr>
          <w:rFonts w:ascii="Arial" w:hAnsi="Arial"/>
          <w:sz w:val="20"/>
        </w:rPr>
        <w:t>If Tenant remains in possession without approved extension or renewal, holdover rent remains two hundred percent (200%) of the monthly rental amount otherwise due under Section 4.01, plus Additional Rent and damages.</w:t>
      </w:r>
    </w:p>
    <w:p>
      <w:pPr>
        <w:spacing w:after="80"/>
      </w:pPr>
      <w:r>
        <w:rPr>
          <w:rFonts w:ascii="Arial" w:hAnsi="Arial"/>
          <w:sz w:val="20"/>
        </w:rPr>
        <w:t>Security Deposit terms remain controlled by the Lease Summary; the current OTB rule that the deposit may not be applied as the last month's rent remains the default house rule.</w:t>
      </w:r>
    </w:p>
    <w:p>
      <w:pPr>
        <w:pStyle w:val="Heading1"/>
        <w:spacing w:after="80"/>
      </w:pPr>
      <w:r>
        <w:t>Article 17. Renewals; Extensions; Recordation; Miscellaneous</w:t>
      </w:r>
    </w:p>
    <w:p>
      <w:pPr>
        <w:spacing w:after="80"/>
      </w:pPr>
      <w:r>
        <w:rPr>
          <w:rFonts w:ascii="Arial" w:hAnsi="Arial"/>
          <w:b/>
          <w:sz w:val="20"/>
        </w:rPr>
        <w:t xml:space="preserve">Current OTB Anchor: </w:t>
      </w:r>
      <w:r>
        <w:rPr>
          <w:rFonts w:ascii="Arial" w:hAnsi="Arial"/>
          <w:sz w:val="20"/>
        </w:rPr>
        <w:t>Current OTB Sections 21.01, 23.01, 25.01, 26.01, 27.01, 31.01, 32.01, 38.01</w:t>
      </w:r>
    </w:p>
    <w:p>
      <w:pPr>
        <w:spacing w:after="80"/>
      </w:pPr>
      <w:r>
        <w:rPr>
          <w:rFonts w:ascii="Arial" w:hAnsi="Arial"/>
          <w:sz w:val="20"/>
        </w:rPr>
        <w:t>Unless otherwise stated in the Lease Summary, Tenant has one option to renew for one additional three-year term, exercisable only if Tenant is not in default, by written notice to Landlord not less than sixty (60) days before expiration. Renewal rent is negotiated unless the Lease Summary supplies a formula.</w:t>
      </w:r>
    </w:p>
    <w:p>
      <w:pPr>
        <w:spacing w:after="80"/>
      </w:pPr>
      <w:r>
        <w:rPr>
          <w:rFonts w:ascii="Arial" w:hAnsi="Arial"/>
          <w:sz w:val="20"/>
        </w:rPr>
        <w:t>This Lease is governed by Louisiana law. Notices must be in writing and delivered by methods stated in the Lease Summary notice block. The Lease itself is not to be recorded, but a memorandum may be recorded if Landlord approves the form.</w:t>
      </w:r>
    </w:p>
    <w:p>
      <w:pPr>
        <w:spacing w:after="80"/>
      </w:pPr>
      <w:r>
        <w:rPr>
          <w:rFonts w:ascii="Arial" w:hAnsi="Arial"/>
          <w:sz w:val="20"/>
        </w:rPr>
        <w:t>Any approved extension should be documented by either a Renewal Option Exercise Notice plus Landlord acknowledgement or by a full Lease Extension Agreement generated from the system.</w:t>
      </w:r>
    </w:p>
    <w:p>
      <w:pPr>
        <w:pStyle w:val="Heading1"/>
        <w:spacing w:after="80"/>
      </w:pPr>
      <w:r>
        <w:t>Exhibit and Schedule Framework</w:t>
      </w:r>
    </w:p>
    <w:p>
      <w:pPr>
        <w:pStyle w:val="ListBullet"/>
      </w:pPr>
      <w:r>
        <w:rPr>
          <w:rFonts w:ascii="Arial" w:hAnsi="Arial"/>
          <w:sz w:val="20"/>
        </w:rPr>
        <w:t>Schedule 1 - Lease Summary and Economic Terms</w:t>
      </w:r>
    </w:p>
    <w:p>
      <w:pPr>
        <w:pStyle w:val="ListBullet"/>
      </w:pPr>
      <w:r>
        <w:rPr>
          <w:rFonts w:ascii="Arial" w:hAnsi="Arial"/>
          <w:sz w:val="20"/>
        </w:rPr>
        <w:t>Schedule 2 - Rent Step Table</w:t>
      </w:r>
    </w:p>
    <w:p>
      <w:pPr>
        <w:pStyle w:val="ListBullet"/>
      </w:pPr>
      <w:r>
        <w:rPr>
          <w:rFonts w:ascii="Arial" w:hAnsi="Arial"/>
          <w:sz w:val="20"/>
        </w:rPr>
        <w:t>Exhibit E - Rules and Regulations</w:t>
      </w:r>
    </w:p>
    <w:p>
      <w:pPr>
        <w:pStyle w:val="ListBullet"/>
      </w:pPr>
      <w:r>
        <w:rPr>
          <w:rFonts w:ascii="Arial" w:hAnsi="Arial"/>
          <w:sz w:val="20"/>
        </w:rPr>
        <w:t>Exhibit F - Signage and Monument Sign Rights</w:t>
      </w:r>
    </w:p>
    <w:p>
      <w:pPr>
        <w:pStyle w:val="ListBullet"/>
      </w:pPr>
      <w:r>
        <w:rPr>
          <w:rFonts w:ascii="Arial" w:hAnsi="Arial"/>
          <w:sz w:val="20"/>
        </w:rPr>
        <w:t>Exhibit G - Insurance Requirements</w:t>
      </w:r>
    </w:p>
    <w:p>
      <w:pPr>
        <w:pStyle w:val="ListBullet"/>
      </w:pPr>
      <w:r>
        <w:rPr>
          <w:rFonts w:ascii="Arial" w:hAnsi="Arial"/>
          <w:sz w:val="20"/>
        </w:rPr>
        <w:t>Exhibit H - Work Letter / TI Exhibit (if applicable)</w:t>
      </w:r>
    </w:p>
    <w:p>
      <w:pPr>
        <w:pStyle w:val="ListBullet"/>
      </w:pPr>
      <w:r>
        <w:rPr>
          <w:rFonts w:ascii="Arial" w:hAnsi="Arial"/>
          <w:sz w:val="20"/>
        </w:rPr>
        <w:t>Exhibit J - Commencement Date Memorandum</w:t>
      </w:r>
    </w:p>
    <w:p>
      <w:pPr>
        <w:pStyle w:val="ListBullet"/>
      </w:pPr>
      <w:r>
        <w:rPr>
          <w:rFonts w:ascii="Arial" w:hAnsi="Arial"/>
          <w:sz w:val="20"/>
        </w:rPr>
        <w:t>Exhibit K - Estoppel Certificate</w:t>
      </w:r>
    </w:p>
    <w:p>
      <w:pPr>
        <w:pStyle w:val="ListBullet"/>
      </w:pPr>
      <w:r>
        <w:rPr>
          <w:rFonts w:ascii="Arial" w:hAnsi="Arial"/>
          <w:sz w:val="20"/>
        </w:rPr>
        <w:t>Exhibit L - SNDA Form</w:t>
      </w:r>
    </w:p>
    <w:p>
      <w:pPr>
        <w:pStyle w:val="ListBullet"/>
      </w:pPr>
      <w:r>
        <w:rPr>
          <w:rFonts w:ascii="Arial" w:hAnsi="Arial"/>
          <w:sz w:val="20"/>
        </w:rPr>
        <w:t>Conditional Addenda for exclusive use, radius restriction, use-specific controls, and early access</w:t>
      </w:r>
    </w:p>
    <w:p>
      <w:pPr>
        <w:pStyle w:val="Heading1"/>
        <w:spacing w:after="80"/>
      </w:pPr>
      <w:r>
        <w:t>Signature Blocks</w:t>
      </w:r>
    </w:p>
    <w:p>
      <w:pPr>
        <w:spacing w:after="80"/>
      </w:pPr>
      <w:r>
        <w:rPr>
          <w:rFonts w:ascii="Arial" w:hAnsi="Arial"/>
          <w:sz w:val="20"/>
        </w:rPr>
        <w:t>LANDLORD: Belle Realty of Lafayette, LLC</w:t>
      </w:r>
    </w:p>
    <w:p>
      <w:pPr>
        <w:spacing w:after="80"/>
      </w:pPr>
      <w:r>
        <w:rPr>
          <w:rFonts w:ascii="Arial" w:hAnsi="Arial"/>
          <w:sz w:val="20"/>
        </w:rPr>
        <w:t>By: ________________________________    Name/Title: ________________________________    Date: ____________</w:t>
      </w:r>
    </w:p>
    <w:p>
      <w:pPr>
        <w:spacing w:after="80"/>
      </w:pPr>
      <w:r>
        <w:rPr>
          <w:rFonts w:ascii="Arial" w:hAnsi="Arial"/>
          <w:sz w:val="20"/>
        </w:rPr>
        <w:t>TENANT: ROBERTSON FAMILY HOLDINGS, LLC</w:t>
      </w:r>
    </w:p>
    <w:p>
      <w:pPr>
        <w:spacing w:after="80"/>
      </w:pPr>
      <w:r>
        <w:rPr>
          <w:rFonts w:ascii="Arial" w:hAnsi="Arial"/>
          <w:sz w:val="20"/>
        </w:rPr>
        <w:t>By: ________________________________    Name/Title: ________________________________    Date: ____________</w:t>
      </w:r>
    </w:p>
    <w:p>
      <w:r>
        <w:br w:type="page"/>
      </w:r>
    </w:p>
    <w:p>
      <w:pPr>
        <w:pStyle w:val="Heading1"/>
      </w:pPr>
      <w:r>
        <w:t>EXHIBIT E - RULES AND REGULATIONS</w:t>
      </w:r>
    </w:p>
    <w:p>
      <w:pPr>
        <w:pStyle w:val="Title"/>
        <w:spacing w:after="80" w:line="259" w:lineRule="auto"/>
        <w:jc w:val="center"/>
      </w:pPr>
      <w:r>
        <w:rPr>
          <w:i w:val="0"/>
        </w:rPr>
        <w:t>Rules and Regulations - Version 2 Retail Tightened</w:t>
      </w:r>
    </w:p>
    <w:p>
      <w:pPr>
        <w:spacing w:after="80" w:line="259" w:lineRule="auto"/>
        <w:jc w:val="center"/>
      </w:pPr>
      <w:r>
        <w:rPr>
          <w:i/>
        </w:rPr>
        <w:t>On the Boulevard Shopping Center | 101-149 Arnould Blvd., Lafayette, LA 70506</w:t>
      </w:r>
    </w:p>
    <w:p>
      <w:pPr>
        <w:spacing w:after="80" w:line="259" w:lineRule="auto"/>
      </w:pPr>
      <w:r>
        <w:rPr>
          <w:i w:val="0"/>
        </w:rPr>
        <w:t>On the Boulevard Shopping Center</w:t>
      </w:r>
    </w:p>
    <w:p>
      <w:pPr>
        <w:spacing w:after="80" w:line="259" w:lineRule="auto"/>
      </w:pPr>
      <w:r>
        <w:rPr>
          <w:i w:val="0"/>
        </w:rPr>
        <w:t>1. Tenant will comply with all rules established by Landlord for operation, appearance, safety, access, parking, loading, deliveries, trash, pest control, signage, and center-wide merchandising standards.</w:t>
      </w:r>
    </w:p>
    <w:p>
      <w:pPr>
        <w:spacing w:after="80" w:line="259" w:lineRule="auto"/>
      </w:pPr>
      <w:r>
        <w:rPr>
          <w:i w:val="0"/>
        </w:rPr>
        <w:t>2. Required operating hours will be those established by Landlord from time to time. If Landlord publishes standard center hours, Tenant will comply unless the Lease or a written waiver states otherwise.</w:t>
      </w:r>
    </w:p>
    <w:p>
      <w:pPr>
        <w:spacing w:after="80" w:line="259" w:lineRule="auto"/>
      </w:pPr>
      <w:r>
        <w:rPr>
          <w:i w:val="0"/>
        </w:rPr>
        <w:t>3. Deliveries, trash removal, and service-vendor work must occur only in areas and at times designated by Landlord.</w:t>
      </w:r>
    </w:p>
    <w:p>
      <w:pPr>
        <w:spacing w:after="80" w:line="259" w:lineRule="auto"/>
      </w:pPr>
      <w:r>
        <w:rPr>
          <w:i w:val="0"/>
        </w:rPr>
        <w:t>4. Tenant will keep storefront glass, doors, frames, signage, and lighting in first-class condition and promptly replace damaged or burned-out elements.</w:t>
      </w:r>
    </w:p>
    <w:p>
      <w:pPr>
        <w:spacing w:after="80" w:line="259" w:lineRule="auto"/>
      </w:pPr>
      <w:r>
        <w:rPr>
          <w:i w:val="0"/>
        </w:rPr>
        <w:t>5. No sidewalk sales, kiosks, sandwich boards, loudspeakers, outdoor displays, or exterior merchandise placement are permitted without Landlord's prior written approval.</w:t>
      </w:r>
    </w:p>
    <w:p>
      <w:pPr>
        <w:spacing w:after="80" w:line="259" w:lineRule="auto"/>
      </w:pPr>
      <w:r>
        <w:rPr>
          <w:i w:val="0"/>
        </w:rPr>
        <w:t>6. Tenant will not create objectionable noise, odor, vibration, glare, smoke, grease, waste, pest conditions, or other nuisances affecting the Shopping Center.</w:t>
      </w:r>
    </w:p>
    <w:p>
      <w:pPr>
        <w:spacing w:after="80" w:line="259" w:lineRule="auto"/>
      </w:pPr>
      <w:r>
        <w:rPr>
          <w:i w:val="0"/>
        </w:rPr>
        <w:t>7. Tenant will keep the Premises and service areas clean, secure, and free of hazardous conditions. Grease, food, salon, medical, and regulated users must follow all specialized waste-handling and sanitation protocols imposed by law or Landlord.</w:t>
      </w:r>
    </w:p>
    <w:p>
      <w:pPr>
        <w:spacing w:after="80" w:line="259" w:lineRule="auto"/>
      </w:pPr>
      <w:r>
        <w:rPr>
          <w:i w:val="0"/>
        </w:rPr>
        <w:t>8. Employee parking is only in areas designated by Landlord. Landlord may reassign employee-parking areas at any time.</w:t>
      </w:r>
    </w:p>
    <w:p>
      <w:pPr>
        <w:spacing w:after="80" w:line="259" w:lineRule="auto"/>
      </w:pPr>
      <w:r>
        <w:rPr>
          <w:i w:val="0"/>
        </w:rPr>
        <w:t>9. If Tenant's signage is illuminated, Tenant will keep it illuminated during the hours required by Landlord or stated in the Lease Summary.</w:t>
      </w:r>
    </w:p>
    <w:p>
      <w:pPr>
        <w:spacing w:after="80" w:line="259" w:lineRule="auto"/>
      </w:pPr>
      <w:r>
        <w:rPr>
          <w:i w:val="0"/>
        </w:rPr>
        <w:t>10. No alterations to storefront appearance, paint scheme, awnings, doors, locks, access-control devices, or window coverings are permitted without Landlord approval.</w:t>
      </w:r>
    </w:p>
    <w:p>
      <w:pPr>
        <w:spacing w:after="80" w:line="259" w:lineRule="auto"/>
      </w:pPr>
      <w:r>
        <w:rPr>
          <w:i w:val="0"/>
        </w:rPr>
        <w:t>11. Tenant will maintain pest-control service if reasonably required by Landlord due to Tenant's use.</w:t>
      </w:r>
    </w:p>
    <w:p>
      <w:pPr>
        <w:spacing w:after="80" w:line="259" w:lineRule="auto"/>
      </w:pPr>
      <w:r>
        <w:rPr>
          <w:i w:val="0"/>
        </w:rPr>
        <w:t>12. Landlord may amend these Rules and Regulations on a nondiscriminatory basis to preserve safety, appearance, legal compliance, and operations of the Shopping Center.</w:t>
      </w:r>
    </w:p>
    <w:p>
      <w:r>
        <w:br w:type="page"/>
      </w:r>
    </w:p>
    <w:p>
      <w:pPr>
        <w:pStyle w:val="Heading1"/>
      </w:pPr>
      <w:r>
        <w:t>EXHIBIT F - SIGNAGE AND MONUMENT SIGN RIGHTS</w:t>
      </w:r>
    </w:p>
    <w:p>
      <w:pPr>
        <w:pStyle w:val="Title"/>
        <w:spacing w:after="80" w:line="259" w:lineRule="auto"/>
        <w:jc w:val="center"/>
      </w:pPr>
      <w:r>
        <w:rPr>
          <w:i w:val="0"/>
        </w:rPr>
        <w:t>Signage and Monument Sign Rights - Version 2 Retail Tightened</w:t>
      </w:r>
    </w:p>
    <w:p>
      <w:pPr>
        <w:spacing w:after="80" w:line="259" w:lineRule="auto"/>
        <w:jc w:val="center"/>
      </w:pPr>
      <w:r>
        <w:rPr>
          <w:i/>
        </w:rPr>
        <w:t>On the Boulevard Shopping Center | 101-149 Arnould Blvd., Lafayette, LA 70506</w:t>
      </w:r>
    </w:p>
    <w:p>
      <w:pPr>
        <w:spacing w:after="80" w:line="259" w:lineRule="auto"/>
      </w:pPr>
      <w:r>
        <w:rPr>
          <w:i w:val="0"/>
        </w:rPr>
        <w:t>On the Boulevard Shopping Center</w:t>
      </w:r>
    </w:p>
    <w:p>
      <w:pPr>
        <w:spacing w:after="80" w:line="259" w:lineRule="auto"/>
      </w:pPr>
      <w:r>
        <w:rPr>
          <w:i w:val="0"/>
        </w:rPr>
        <w:t>1. No tenant has any signage rights except those expressly approved by Landlord in writing.</w:t>
      </w:r>
    </w:p>
    <w:p>
      <w:pPr>
        <w:spacing w:after="80" w:line="259" w:lineRule="auto"/>
      </w:pPr>
      <w:r>
        <w:rPr>
          <w:i w:val="0"/>
        </w:rPr>
        <w:t>2. All storefront signage, monument signage, window graphics, vinyl, awnings, blades, banners, and exterior identity elements require Landlord's prior written approval of design, size, color, illumination, materials, location, and installer.</w:t>
      </w:r>
    </w:p>
    <w:p>
      <w:pPr>
        <w:spacing w:after="80" w:line="259" w:lineRule="auto"/>
      </w:pPr>
      <w:r>
        <w:rPr>
          <w:i w:val="0"/>
        </w:rPr>
        <w:t>3. Landlord may require channel-letter construction, raceway limitations, lighting standards, exact color palettes, and approved fabrication vendors.</w:t>
      </w:r>
    </w:p>
    <w:p>
      <w:pPr>
        <w:spacing w:after="80" w:line="259" w:lineRule="auto"/>
      </w:pPr>
      <w:r>
        <w:rPr>
          <w:i w:val="0"/>
        </w:rPr>
        <w:t>4. Tenant will obtain all permits and will pay all fabrication, installation, maintenance, repair, replacement, and removal costs for Tenant's signage unless Landlord expressly agrees otherwise.</w:t>
      </w:r>
    </w:p>
    <w:p>
      <w:pPr>
        <w:spacing w:after="80" w:line="259" w:lineRule="auto"/>
      </w:pPr>
      <w:r>
        <w:rPr>
          <w:i w:val="0"/>
        </w:rPr>
        <w:t>5. Monument sign rights, if any, are limited to the panel specifically assigned by Landlord and do not create any permanent or exclusive right to a specific physical location.</w:t>
      </w:r>
    </w:p>
    <w:p>
      <w:pPr>
        <w:spacing w:after="80" w:line="259" w:lineRule="auto"/>
      </w:pPr>
      <w:r>
        <w:rPr>
          <w:i w:val="0"/>
        </w:rPr>
        <w:t>6. Current monument sign hierarchy may include Panel 1 2x8, Panel 2 4x8, and Panels 3-14 2x4. Landlord may reassign panel positions on a substantially equivalent basis if sign rights were expressly granted.</w:t>
      </w:r>
    </w:p>
    <w:p>
      <w:pPr>
        <w:spacing w:after="80" w:line="259" w:lineRule="auto"/>
      </w:pPr>
      <w:r>
        <w:rPr>
          <w:i w:val="0"/>
        </w:rPr>
        <w:t>7. If illuminated signage is required, Tenant will keep the sign illuminated from dusk until midnight or other hours designated by Landlord.</w:t>
      </w:r>
    </w:p>
    <w:p>
      <w:pPr>
        <w:spacing w:after="80" w:line="259" w:lineRule="auto"/>
      </w:pPr>
      <w:r>
        <w:rPr>
          <w:i w:val="0"/>
        </w:rPr>
        <w:t>8. Tenant must keep all signs in first-class condition. Faded, damaged, non-working, or nonconforming signs must be repaired or replaced promptly at Tenant's cost.</w:t>
      </w:r>
    </w:p>
    <w:p>
      <w:pPr>
        <w:spacing w:after="80" w:line="259" w:lineRule="auto"/>
      </w:pPr>
      <w:r>
        <w:rPr>
          <w:i w:val="0"/>
        </w:rPr>
        <w:t>9. Upon expiration, termination, assignment failure, or default-based revocation of sign rights, Tenant will immediately remove its sign copy and repair all resulting damage.</w:t>
      </w:r>
    </w:p>
    <w:p>
      <w:pPr>
        <w:spacing w:after="80" w:line="259" w:lineRule="auto"/>
      </w:pPr>
      <w:r>
        <w:rPr>
          <w:i w:val="0"/>
        </w:rPr>
        <w:t>10. Landlord retains final control over the center-wide sign program, monument hierarchy, tenant-mix presentation, and visual consistency of the Shopping Center.</w:t>
      </w:r>
    </w:p>
    <w:p>
      <w:r>
        <w:br w:type="page"/>
      </w:r>
    </w:p>
    <w:p>
      <w:pPr>
        <w:pStyle w:val="Heading1"/>
      </w:pPr>
      <w:r>
        <w:t>EXHIBIT G - INSURANCE REQUIREMENTS</w:t>
      </w:r>
    </w:p>
    <w:p>
      <w:pPr>
        <w:pStyle w:val="Title"/>
        <w:spacing w:after="80" w:line="259" w:lineRule="auto"/>
        <w:jc w:val="center"/>
      </w:pPr>
      <w:r>
        <w:rPr>
          <w:i w:val="0"/>
        </w:rPr>
        <w:t>Insurance Requirements - Version 2 Retail Tightened</w:t>
      </w:r>
    </w:p>
    <w:p>
      <w:pPr>
        <w:spacing w:after="80" w:line="259" w:lineRule="auto"/>
        <w:jc w:val="center"/>
      </w:pPr>
      <w:r>
        <w:rPr>
          <w:i/>
        </w:rPr>
        <w:t>On the Boulevard Shopping Center | 101-149 Arnould Blvd., Lafayette, LA 70506</w:t>
      </w:r>
    </w:p>
    <w:p>
      <w:pPr>
        <w:spacing w:after="80" w:line="259" w:lineRule="auto"/>
      </w:pPr>
      <w:r>
        <w:rPr>
          <w:i w:val="0"/>
        </w:rPr>
        <w:t>On the Boulevard Shopping Center</w:t>
      </w:r>
    </w:p>
    <w:p>
      <w:pPr>
        <w:spacing w:after="80" w:line="259" w:lineRule="auto"/>
      </w:pPr>
      <w:r>
        <w:rPr>
          <w:i w:val="0"/>
        </w:rPr>
        <w:t>1. Tenant must maintain all insurance required by this Exhibit at its sole cost with insurers rated at least A- VIII by A.M. Best or otherwise approved by Landlord.</w:t>
      </w:r>
    </w:p>
    <w:p>
      <w:pPr>
        <w:spacing w:after="80" w:line="259" w:lineRule="auto"/>
      </w:pPr>
      <w:r>
        <w:rPr>
          <w:i w:val="0"/>
        </w:rPr>
        <w:t>2. Commercial General Liability insurance must be written on an occurrence form with limits not less than [EACH OCCURRENCE LIMIT] per occurrence, [GENERAL AGGREGATE LIMIT] general aggregate, and a designated-location aggregate applying to the Shopping Center where commercially available.</w:t>
      </w:r>
    </w:p>
    <w:p>
      <w:pPr>
        <w:spacing w:after="80" w:line="259" w:lineRule="auto"/>
      </w:pPr>
      <w:r>
        <w:rPr>
          <w:i w:val="0"/>
        </w:rPr>
        <w:t>3. Landlord, Landlord's property manager, Landlord's lender if designated, and other parties designated by Landlord must be included as additional insureds on Tenant's CGL policy using a managers-or-lessors endorsement or equivalent form acceptable to Landlord.</w:t>
      </w:r>
    </w:p>
    <w:p>
      <w:pPr>
        <w:spacing w:after="80" w:line="259" w:lineRule="auto"/>
      </w:pPr>
      <w:r>
        <w:rPr>
          <w:i w:val="0"/>
        </w:rPr>
        <w:t>4. Tenant's liability insurance must be primary and non-contributory with respect to any insurance maintained by Landlord.</w:t>
      </w:r>
    </w:p>
    <w:p>
      <w:pPr>
        <w:spacing w:after="80" w:line="259" w:lineRule="auto"/>
      </w:pPr>
      <w:r>
        <w:rPr>
          <w:i w:val="0"/>
        </w:rPr>
        <w:t>5. Tenant's property insurer and liability insurer must waive subrogation against Landlord and the other protected parties to the fullest extent commercially available.</w:t>
      </w:r>
    </w:p>
    <w:p>
      <w:pPr>
        <w:spacing w:after="80" w:line="259" w:lineRule="auto"/>
      </w:pPr>
      <w:r>
        <w:rPr>
          <w:i w:val="0"/>
        </w:rPr>
        <w:t>6. Tenant must maintain property insurance on Tenant's personal property, trade fixtures, inventory, above-standard improvements Tenant is obligated to insure, and all other items Tenant is responsible for under the Lease, on a full replacement-cost special-form basis.</w:t>
      </w:r>
    </w:p>
    <w:p>
      <w:pPr>
        <w:spacing w:after="80" w:line="259" w:lineRule="auto"/>
      </w:pPr>
      <w:r>
        <w:rPr>
          <w:i w:val="0"/>
        </w:rPr>
        <w:t>7. Tenant must maintain workers' compensation, employer's liability, business-income coverage, and commercial automobile liability coverage if vehicles are used in connection with Tenant's operations.</w:t>
      </w:r>
    </w:p>
    <w:p>
      <w:pPr>
        <w:spacing w:after="80" w:line="259" w:lineRule="auto"/>
      </w:pPr>
      <w:r>
        <w:rPr>
          <w:i w:val="0"/>
        </w:rPr>
        <w:t>8. Landlord may require umbrella or excess liability coverage if stated in the Lease Summary or reasonably required by the nature of Tenant's use.</w:t>
      </w:r>
    </w:p>
    <w:p>
      <w:pPr>
        <w:spacing w:after="80" w:line="259" w:lineRule="auto"/>
      </w:pPr>
      <w:r>
        <w:rPr>
          <w:i w:val="0"/>
        </w:rPr>
        <w:t>9. Certificates of insurance alone are not sufficient. Upon request, Tenant must provide copies of endorsements and, if requested, certified copies of policies or policy excerpts establishing compliance.</w:t>
      </w:r>
    </w:p>
    <w:p>
      <w:pPr>
        <w:spacing w:after="80" w:line="259" w:lineRule="auto"/>
      </w:pPr>
      <w:r>
        <w:rPr>
          <w:i w:val="0"/>
        </w:rPr>
        <w:t>10. Tenant must obtain an endorsement requiring the insurer, not merely the broker, to provide prior written notice to Landlord of cancellation or material adverse change, to the extent such endorsement is commercially available.</w:t>
      </w:r>
    </w:p>
    <w:p>
      <w:pPr>
        <w:spacing w:after="80" w:line="259" w:lineRule="auto"/>
      </w:pPr>
      <w:r>
        <w:rPr>
          <w:i w:val="0"/>
        </w:rPr>
        <w:t>11. Tenant will require all contractors entering the Shopping Center for Tenant's work to carry commercially reasonable liability coverage, workers' compensation coverage, and additional-insured endorsements in favor of Landlord where required by Landlord.</w:t>
      </w:r>
    </w:p>
    <w:p>
      <w:pPr>
        <w:spacing w:after="80" w:line="259" w:lineRule="auto"/>
      </w:pPr>
      <w:r>
        <w:rPr>
          <w:i w:val="0"/>
        </w:rPr>
        <w:t>12. If Tenant fails to maintain required insurance, Landlord may procure such insurance or suspend access for Tenant's contractors, and Tenant must reimburse all resulting costs as Additional Rent.</w:t>
      </w:r>
    </w:p>
    <w:p>
      <w:r>
        <w:br w:type="page"/>
      </w:r>
    </w:p>
    <w:p>
      <w:pPr>
        <w:pStyle w:val="Heading1"/>
      </w:pPr>
      <w:r>
        <w:t>EXHIBIT H - WORK LETTER / TI EXHIBIT</w:t>
      </w:r>
    </w:p>
    <w:p>
      <w:pPr>
        <w:pStyle w:val="Title"/>
        <w:jc w:val="center"/>
      </w:pPr>
      <w:r>
        <w:t>Exhibit H - Work Letter / Tenant Improvement Exhibit - Version 3.1 Software-Ready</w:t>
      </w:r>
    </w:p>
    <w:p>
      <w:pPr>
        <w:jc w:val="center"/>
      </w:pPr>
      <w:r>
        <w:rPr>
          <w:i/>
        </w:rPr>
        <w:t>On the Boulevard Shopping Center | 101-149 Arnould Blvd., Lafayette, LA 70506</w:t>
      </w:r>
    </w:p>
    <w:p>
      <w:r>
        <w:t>On the Boulevard Shopping Center</w:t>
      </w:r>
    </w:p>
    <w:p>
      <w:r>
        <w:t>Purpose: Standard build-out and delivery exhibit structured for lease assembly without changing the general economic bargain of the approved deal.</w:t>
      </w:r>
    </w:p>
    <w:p>
      <w:pPr>
        <w:pStyle w:val="Heading2"/>
      </w:pPr>
      <w:r>
        <w:t>1. Applicability</w:t>
      </w:r>
    </w:p>
    <w:p>
      <w:r>
        <w:t>This Exhibit applies only if the Lease Summary states that a work letter, landlord work, tenant improvement allowance, or fixturing package applies.</w:t>
      </w:r>
    </w:p>
    <w:p>
      <w:pPr>
        <w:pStyle w:val="Heading2"/>
      </w:pPr>
      <w:r>
        <w:t>2. Landlord Work</w:t>
      </w:r>
    </w:p>
    <w:p>
      <w:r>
        <w:t>Landlord Work, if any, will be only the work expressly listed in the Lease Summary or an attached work schedule. No implied delivery standard, code-upgrade obligation, or additional allowance is created unless expressly stated.</w:t>
      </w:r>
    </w:p>
    <w:p>
      <w:pPr>
        <w:pStyle w:val="Heading2"/>
      </w:pPr>
      <w:r>
        <w:t>3. Tenant Work</w:t>
      </w:r>
    </w:p>
    <w:p>
      <w:r>
        <w:t>Tenant will complete all Tenant Work at Tenant's sole cost except to the extent an approved allowance expressly applies. All Tenant Work is subject to Landlord plan approval, permit compliance, contractor controls, and lien protection.</w:t>
      </w:r>
    </w:p>
    <w:p>
      <w:pPr>
        <w:pStyle w:val="Heading2"/>
      </w:pPr>
      <w:r>
        <w:t>4. Allowance Administration</w:t>
      </w:r>
    </w:p>
    <w:p>
      <w:r>
        <w:t>Any tenant improvement allowance must be expressly stated in the Lease Summary. Draws, if permitted, may be conditioned on paid invoices, lien waivers, inspections, evidence of completion, and no existing default.</w:t>
      </w:r>
    </w:p>
    <w:p>
      <w:pPr>
        <w:pStyle w:val="Heading2"/>
      </w:pPr>
      <w:r>
        <w:t>5. Timing and Opening</w:t>
      </w:r>
    </w:p>
    <w:p>
      <w:r>
        <w:t>Tenant remains responsible for timely build-out and opening unless delay is caused by Landlord Delay as defined in the Lease or approved work letter notes. Landlord is not responsible for Tenant's contractor scheduling, permit delay, furniture delay, or vendor delay.</w:t>
      </w:r>
    </w:p>
    <w:p>
      <w:pPr>
        <w:pStyle w:val="Heading2"/>
      </w:pPr>
      <w:r>
        <w:t>6. No Extra Rights</w:t>
      </w:r>
    </w:p>
    <w:p>
      <w:r>
        <w:t>This Exhibit does not change rent commencement, possession risk, or opening obligations except to the extent the Lease Summary or an express signed amendment says otherwise.</w:t>
      </w:r>
    </w:p>
    <w:p>
      <w:r>
        <w:br w:type="page"/>
      </w:r>
    </w:p>
    <w:p>
      <w:pPr>
        <w:pStyle w:val="Heading1"/>
      </w:pPr>
      <w:r>
        <w:t>EXHIBIT J - COMMENCEMENT DATE MEMORANDUM</w:t>
      </w:r>
    </w:p>
    <w:p>
      <w:pPr>
        <w:pStyle w:val="Title"/>
        <w:spacing w:after="80" w:line="259" w:lineRule="auto"/>
        <w:jc w:val="center"/>
      </w:pPr>
      <w:r>
        <w:rPr>
          <w:i w:val="0"/>
        </w:rPr>
        <w:t>Commencement Date Memorandum - Version 2 Retail Tightened</w:t>
      </w:r>
    </w:p>
    <w:p>
      <w:pPr>
        <w:spacing w:after="80" w:line="259" w:lineRule="auto"/>
        <w:jc w:val="center"/>
      </w:pPr>
      <w:r>
        <w:rPr>
          <w:i/>
        </w:rPr>
        <w:t>On the Boulevard Shopping Center | 101-149 Arnould Blvd., Lafayette, LA 70506</w:t>
      </w:r>
    </w:p>
    <w:p>
      <w:pPr>
        <w:spacing w:after="80" w:line="259" w:lineRule="auto"/>
      </w:pPr>
      <w:r>
        <w:rPr>
          <w:i w:val="0"/>
        </w:rPr>
        <w:t>On the Boulevard Shopping Center</w:t>
      </w:r>
    </w:p>
    <w:p>
      <w:pPr>
        <w:spacing w:after="80" w:line="259" w:lineRule="auto"/>
      </w:pPr>
      <w:r>
        <w:rPr>
          <w:i w:val="0"/>
        </w:rPr>
        <w:t>This Commencement Date Memorandum is entered into pursuant to the Lease between Belle Realty of Lafayette, LLC, as Landlord, and [TENANT NAME], as Tenant, for Suite 121.</w:t>
      </w:r>
    </w:p>
    <w:p>
      <w:pPr>
        <w:spacing w:after="80" w:line="259" w:lineRule="auto"/>
      </w:pPr>
      <w:r>
        <w:rPr>
          <w:i w:val="0"/>
        </w:rPr>
        <w:t>Lease Effective Date: [EFFECTIVE DATE]</w:t>
      </w:r>
    </w:p>
    <w:p>
      <w:pPr>
        <w:spacing w:after="80" w:line="259" w:lineRule="auto"/>
      </w:pPr>
      <w:r>
        <w:rPr>
          <w:i w:val="0"/>
        </w:rPr>
        <w:t>Possession Date: [POSSESSION DATE]</w:t>
      </w:r>
    </w:p>
    <w:p>
      <w:pPr>
        <w:spacing w:after="80" w:line="259" w:lineRule="auto"/>
      </w:pPr>
      <w:r>
        <w:rPr>
          <w:i w:val="0"/>
        </w:rPr>
        <w:t>Commencement Date: [COMMENCEMENT DATE]</w:t>
      </w:r>
    </w:p>
    <w:p>
      <w:pPr>
        <w:spacing w:after="80" w:line="259" w:lineRule="auto"/>
      </w:pPr>
      <w:r>
        <w:rPr>
          <w:i w:val="0"/>
        </w:rPr>
        <w:t>Rent Commencement Date: [RENT COMMENCEMENT DATE]</w:t>
      </w:r>
    </w:p>
    <w:p>
      <w:pPr>
        <w:spacing w:after="80" w:line="259" w:lineRule="auto"/>
      </w:pPr>
      <w:r>
        <w:rPr>
          <w:i w:val="0"/>
        </w:rPr>
        <w:t>Expiration Date: [EXPIRATION DATE]</w:t>
      </w:r>
    </w:p>
    <w:p>
      <w:pPr>
        <w:spacing w:after="80" w:line="259" w:lineRule="auto"/>
      </w:pPr>
      <w:r>
        <w:rPr>
          <w:i w:val="0"/>
        </w:rPr>
        <w:t>Outside Opening Date: [OUTSIDE OPENING DATE]</w:t>
      </w:r>
    </w:p>
    <w:p>
      <w:pPr>
        <w:spacing w:after="80" w:line="259" w:lineRule="auto"/>
      </w:pPr>
      <w:r>
        <w:rPr>
          <w:i w:val="0"/>
        </w:rPr>
        <w:t>Fixturing / Early Access Terms: [NONE OR DESCRIPTION]</w:t>
      </w:r>
    </w:p>
    <w:p>
      <w:pPr>
        <w:spacing w:after="80" w:line="259" w:lineRule="auto"/>
      </w:pPr>
      <w:r>
        <w:rPr>
          <w:i w:val="0"/>
        </w:rPr>
        <w:t>The parties confirm these dates for lease-administration purposes. Except as expressly authorized by the Lease, this memorandum does not amend the Lease.</w:t>
      </w:r>
    </w:p>
    <w:p>
      <w:pPr>
        <w:pStyle w:val="Heading2"/>
        <w:spacing w:after="80" w:line="259" w:lineRule="auto"/>
      </w:pPr>
      <w:r>
        <w:rPr>
          <w:i w:val="0"/>
        </w:rPr>
        <w:t>LANDLORD:</w:t>
      </w:r>
    </w:p>
    <w:p>
      <w:pPr>
        <w:spacing w:after="80" w:line="259" w:lineRule="auto"/>
      </w:pPr>
      <w:r>
        <w:rPr>
          <w:i w:val="0"/>
        </w:rPr>
        <w:t>Belle Realty of Lafayette, LLC</w:t>
      </w:r>
    </w:p>
    <w:p>
      <w:pPr>
        <w:spacing w:after="80" w:line="259" w:lineRule="auto"/>
      </w:pPr>
      <w:r>
        <w:rPr>
          <w:i w:val="0"/>
        </w:rPr>
        <w:t>By: ______________________________</w:t>
      </w:r>
    </w:p>
    <w:p>
      <w:pPr>
        <w:spacing w:after="80" w:line="259" w:lineRule="auto"/>
      </w:pPr>
      <w:r>
        <w:rPr>
          <w:i w:val="0"/>
        </w:rPr>
        <w:t>Name: [AUTHORIZED SIGNATORY]</w:t>
      </w:r>
    </w:p>
    <w:p>
      <w:pPr>
        <w:spacing w:after="80" w:line="259" w:lineRule="auto"/>
      </w:pPr>
      <w:r>
        <w:rPr>
          <w:i w:val="0"/>
        </w:rPr>
        <w:t>Title: [TITLE]</w:t>
      </w:r>
    </w:p>
    <w:p>
      <w:pPr>
        <w:spacing w:after="80" w:line="259" w:lineRule="auto"/>
      </w:pPr>
      <w:r>
        <w:rPr>
          <w:i w:val="0"/>
        </w:rPr>
        <w:t>Date: ____________________________</w:t>
      </w:r>
    </w:p>
    <w:p>
      <w:pPr>
        <w:pStyle w:val="Heading2"/>
        <w:spacing w:after="80" w:line="259" w:lineRule="auto"/>
      </w:pPr>
      <w:r>
        <w:rPr>
          <w:i w:val="0"/>
        </w:rPr>
        <w:t>TENANT:</w:t>
      </w:r>
    </w:p>
    <w:p>
      <w:pPr>
        <w:spacing w:after="80" w:line="259" w:lineRule="auto"/>
      </w:pPr>
      <w:r>
        <w:rPr>
          <w:i w:val="0"/>
        </w:rPr>
        <w:t>[TENANT NAME]</w:t>
      </w:r>
    </w:p>
    <w:p>
      <w:pPr>
        <w:spacing w:after="80" w:line="259" w:lineRule="auto"/>
      </w:pPr>
      <w:r>
        <w:rPr>
          <w:i w:val="0"/>
        </w:rPr>
        <w:t>By: ______________________________</w:t>
      </w:r>
    </w:p>
    <w:p>
      <w:pPr>
        <w:spacing w:after="80" w:line="259" w:lineRule="auto"/>
      </w:pPr>
      <w:r>
        <w:rPr>
          <w:i w:val="0"/>
        </w:rPr>
        <w:t>Name: [AUTHORIZED SIGNATORY]</w:t>
      </w:r>
    </w:p>
    <w:p>
      <w:pPr>
        <w:spacing w:after="80" w:line="259" w:lineRule="auto"/>
      </w:pPr>
      <w:r>
        <w:rPr>
          <w:i w:val="0"/>
        </w:rPr>
        <w:t>Title: [TITLE]</w:t>
      </w:r>
    </w:p>
    <w:p>
      <w:pPr>
        <w:spacing w:after="80" w:line="259" w:lineRule="auto"/>
      </w:pPr>
      <w:r>
        <w:rPr>
          <w:i w:val="0"/>
        </w:rPr>
        <w:t>Date: ____________________________</w:t>
      </w:r>
    </w:p>
    <w:p>
      <w:r>
        <w:br w:type="page"/>
      </w:r>
    </w:p>
    <w:p>
      <w:pPr>
        <w:pStyle w:val="Heading1"/>
      </w:pPr>
      <w:r>
        <w:t>EXHIBIT K - ESTOPPEL CERTIFICATE</w:t>
      </w:r>
    </w:p>
    <w:p>
      <w:pPr>
        <w:pStyle w:val="Title"/>
        <w:jc w:val="center"/>
      </w:pPr>
      <w:r>
        <w:t>Exhibit K - Estoppel Certificate - Version 3.1 Software-Ready</w:t>
      </w:r>
    </w:p>
    <w:p>
      <w:pPr>
        <w:jc w:val="center"/>
      </w:pPr>
      <w:r>
        <w:rPr>
          <w:i/>
        </w:rPr>
        <w:t>On the Boulevard Shopping Center | 101-149 Arnould Blvd., Lafayette, LA 70506</w:t>
      </w:r>
    </w:p>
    <w:p>
      <w:r>
        <w:t>On the Boulevard Shopping Center</w:t>
      </w:r>
    </w:p>
    <w:p>
      <w:r>
        <w:t>Tenant Name: [TENANT NAME]</w:t>
      </w:r>
    </w:p>
    <w:p>
      <w:r>
        <w:t>Suite: 121</w:t>
      </w:r>
    </w:p>
    <w:p>
      <w:r>
        <w:t>Landlord: Belle Realty of Lafayette, LLC</w:t>
      </w:r>
    </w:p>
    <w:p>
      <w:pPr>
        <w:pStyle w:val="Heading2"/>
      </w:pPr>
      <w:r>
        <w:t>1. Tenant certifies that the Lease is in full force and effect except as stated here: [NONE OR EXCEPTIONS].</w:t>
      </w:r>
    </w:p>
    <w:p>
      <w:pPr>
        <w:pStyle w:val="Heading2"/>
      </w:pPr>
      <w:r>
        <w:t>2. The effective date, commencement date, and expiration date are as follows: [DATES].</w:t>
      </w:r>
    </w:p>
    <w:p>
      <w:pPr>
        <w:pStyle w:val="Heading2"/>
      </w:pPr>
      <w:r>
        <w:t>3. To Tenant's knowledge, Landlord is not in default except as follows: [NONE OR EXCEPTIONS].</w:t>
      </w:r>
    </w:p>
    <w:p>
      <w:pPr>
        <w:pStyle w:val="Heading2"/>
      </w:pPr>
      <w:r>
        <w:t>4. To Tenant's knowledge, Tenant is not in default except as follows: [NONE OR EXCEPTIONS].</w:t>
      </w:r>
    </w:p>
    <w:p>
      <w:pPr>
        <w:pStyle w:val="Heading2"/>
      </w:pPr>
      <w:r>
        <w:t>5. No rent has been prepaid more than one month in advance except as follows: [NONE OR DESCRIPTION].</w:t>
      </w:r>
    </w:p>
    <w:p>
      <w:pPr>
        <w:pStyle w:val="Heading2"/>
      </w:pPr>
      <w:r>
        <w:t>6. The amount of any security deposit is: [AMOUNT].</w:t>
      </w:r>
    </w:p>
    <w:p>
      <w:pPr>
        <w:pStyle w:val="Heading2"/>
      </w:pPr>
      <w:r>
        <w:t>7. The following options, rights, or concessions remain outstanding, if any: [NONE OR DESCRIPTION].</w:t>
      </w:r>
    </w:p>
    <w:p>
      <w:pPr>
        <w:pStyle w:val="Heading2"/>
      </w:pPr>
      <w:r>
        <w:t>8. This certificate may be relied upon by Landlord, Landlord's lender, purchaser, servicer, or assignee.</w:t>
      </w:r>
    </w:p>
    <w:p>
      <w:r>
        <w:t>Tenant Signature: ______________________________</w:t>
      </w:r>
    </w:p>
    <w:p>
      <w:r>
        <w:t>Printed Name / Title: [NAME / TITLE]</w:t>
      </w:r>
    </w:p>
    <w:p>
      <w:r>
        <w:t>Date: ____________________________</w:t>
      </w:r>
    </w:p>
    <w:p>
      <w:r>
        <w:br w:type="page"/>
      </w:r>
    </w:p>
    <w:p>
      <w:pPr>
        <w:pStyle w:val="Heading1"/>
      </w:pPr>
      <w:r>
        <w:t>EXHIBIT L - SNDA FORM</w:t>
      </w:r>
    </w:p>
    <w:p>
      <w:pPr>
        <w:pStyle w:val="Title"/>
        <w:jc w:val="center"/>
      </w:pPr>
      <w:r>
        <w:t>Exhibit L - SNDA Form - Version 3.1 Software-Ready</w:t>
      </w:r>
    </w:p>
    <w:p>
      <w:pPr>
        <w:jc w:val="center"/>
      </w:pPr>
      <w:r>
        <w:rPr>
          <w:i/>
        </w:rPr>
        <w:t>On the Boulevard Shopping Center | 101-149 Arnould Blvd., Lafayette, LA 70506</w:t>
      </w:r>
    </w:p>
    <w:p>
      <w:r>
        <w:t>On the Boulevard Shopping Center</w:t>
      </w:r>
    </w:p>
    <w:p>
      <w:r>
        <w:t>Purpose: Standard short-form framework for subordination, non-disturbance, and attornment when required by Landlord or Landlord's lender.</w:t>
      </w:r>
    </w:p>
    <w:p>
      <w:pPr>
        <w:pStyle w:val="Heading2"/>
      </w:pPr>
      <w:r>
        <w:t>1. Subordination</w:t>
      </w:r>
    </w:p>
    <w:p>
      <w:r>
        <w:t>Tenant agrees that the Lease is and shall remain subordinate to present and future mortgages, deeds of trust, and other financing instruments affecting the Shopping Center, subject to the non-disturbance terms expressly granted in the final signed SNDA.</w:t>
      </w:r>
    </w:p>
    <w:p>
      <w:pPr>
        <w:pStyle w:val="Heading2"/>
      </w:pPr>
      <w:r>
        <w:t>2. Non-Disturbance</w:t>
      </w:r>
    </w:p>
    <w:p>
      <w:r>
        <w:t>If Tenant is not in default beyond applicable notice and cure periods, the lender or successor landlord will not disturb Tenant's possession solely because of foreclosure or deed in lieu, subject to the terms of the final SNDA.</w:t>
      </w:r>
    </w:p>
    <w:p>
      <w:pPr>
        <w:pStyle w:val="Heading2"/>
      </w:pPr>
      <w:r>
        <w:t>3. Attornment</w:t>
      </w:r>
    </w:p>
    <w:p>
      <w:r>
        <w:t>Tenant will attorn to any successor landlord or purchaser who acquires Landlord's interest through foreclosure, deed in lieu, sale, or transfer of ownership rights.</w:t>
      </w:r>
    </w:p>
    <w:p>
      <w:pPr>
        <w:pStyle w:val="Heading2"/>
      </w:pPr>
      <w:r>
        <w:t>4. Lender Protections</w:t>
      </w:r>
    </w:p>
    <w:p>
      <w:r>
        <w:t>The final SNDA may include commercially reasonable lender protections concerning notice, cure rights, and limits on successor liability.</w:t>
      </w:r>
    </w:p>
    <w:p>
      <w:r>
        <w:br w:type="page"/>
      </w:r>
    </w:p>
    <w:p>
      <w:pPr>
        <w:pStyle w:val="Heading1"/>
      </w:pPr>
      <w:r>
        <w:t>CONDITIONAL ADDENDUM - FOOD AND BEVERAGE</w:t>
      </w:r>
    </w:p>
    <w:p>
      <w:r>
        <w:rPr>
          <w:b/>
          <w:color w:val="9C2B2B"/>
        </w:rPr>
        <w:t xml:space="preserve">MODULE STATUS: [[INCLUDE / EXCLUDE]]. </w:t>
      </w:r>
      <w:r>
        <w:t>Delete this module unless selected and approved in the Lease Summary.</w:t>
      </w:r>
    </w:p>
    <w:p>
      <w:pPr>
        <w:pStyle w:val="Title"/>
        <w:jc w:val="center"/>
      </w:pPr>
      <w:r>
        <w:t>Addendum 1 - Food and Beverage Use - Version 3.1 Software-Ready</w:t>
      </w:r>
    </w:p>
    <w:p>
      <w:pPr>
        <w:jc w:val="center"/>
      </w:pPr>
      <w:r>
        <w:rPr>
          <w:i/>
        </w:rPr>
        <w:t>On the Boulevard Shopping Center | 101-149 Arnould Blvd., Lafayette, LA 70506</w:t>
      </w:r>
    </w:p>
    <w:p>
      <w:r>
        <w:t>On the Boulevard Shopping Center</w:t>
      </w:r>
    </w:p>
    <w:p>
      <w:pPr>
        <w:pStyle w:val="Heading2"/>
      </w:pPr>
      <w:r>
        <w:t>1. Tenant will obtain and maintain all food-service, alcohol-service, and health permits required by law.</w:t>
      </w:r>
    </w:p>
    <w:p>
      <w:pPr>
        <w:pStyle w:val="Heading2"/>
      </w:pPr>
      <w:r>
        <w:t>2. Tenant will maintain grease traps, exhaust systems, odor control, pest control, and trash handling in first-class condition and in compliance with Landlord's operational rules.</w:t>
      </w:r>
    </w:p>
    <w:p>
      <w:pPr>
        <w:pStyle w:val="Heading2"/>
      </w:pPr>
      <w:r>
        <w:t>3. No roof penetrations, venting, gas work, or exterior service installations may be made without Landlord's prior written approval.</w:t>
      </w:r>
    </w:p>
    <w:p>
      <w:pPr>
        <w:pStyle w:val="Heading2"/>
      </w:pPr>
      <w:r>
        <w:t>4. Tenant will prevent odors, smoke, grease, noise, waste overflow, or parking impacts from interfering with the Shopping Center.</w:t>
      </w:r>
    </w:p>
    <w:p>
      <w:pPr>
        <w:pStyle w:val="Heading2"/>
      </w:pPr>
      <w:r>
        <w:t>5. Any food-delivery, pickup, or outdoor service program must comply with Landlord's parking, traffic, and exterior-use rules.</w:t>
      </w:r>
    </w:p>
    <w:p>
      <w:r>
        <w:br w:type="page"/>
      </w:r>
    </w:p>
    <w:p>
      <w:pPr>
        <w:pStyle w:val="Heading1"/>
      </w:pPr>
      <w:r>
        <w:t>CONDITIONAL ADDENDUM - PERSONAL SERVICE / SALON</w:t>
      </w:r>
    </w:p>
    <w:p>
      <w:r>
        <w:rPr>
          <w:b/>
          <w:color w:val="9C2B2B"/>
        </w:rPr>
        <w:t xml:space="preserve">MODULE STATUS: [[INCLUDE / EXCLUDE]]. </w:t>
      </w:r>
      <w:r>
        <w:t>Delete this module unless selected and approved in the Lease Summary.</w:t>
      </w:r>
    </w:p>
    <w:p>
      <w:pPr>
        <w:pStyle w:val="Title"/>
        <w:jc w:val="center"/>
      </w:pPr>
      <w:r>
        <w:t>Addendum 2 - Personal Service / Salon Use - Version 3.1 Software-Ready</w:t>
      </w:r>
    </w:p>
    <w:p>
      <w:pPr>
        <w:jc w:val="center"/>
      </w:pPr>
      <w:r>
        <w:rPr>
          <w:i/>
        </w:rPr>
        <w:t>On the Boulevard Shopping Center | 101-149 Arnould Blvd., Lafayette, LA 70506</w:t>
      </w:r>
    </w:p>
    <w:p>
      <w:r>
        <w:t>On the Boulevard Shopping Center</w:t>
      </w:r>
    </w:p>
    <w:p>
      <w:pPr>
        <w:pStyle w:val="Heading2"/>
      </w:pPr>
      <w:r>
        <w:t>1. Tenant will maintain all salon, beauty, personal-care, and sanitation licenses required by law.</w:t>
      </w:r>
    </w:p>
    <w:p>
      <w:pPr>
        <w:pStyle w:val="Heading2"/>
      </w:pPr>
      <w:r>
        <w:t>2. Tenant is responsible for drains, specialty plumbing, specialty exhaust, odor control, chemical handling, and sanitation controls serving the Premises.</w:t>
      </w:r>
    </w:p>
    <w:p>
      <w:pPr>
        <w:pStyle w:val="Heading2"/>
      </w:pPr>
      <w:r>
        <w:t>3. Tenant will not dispose of chemicals, hair waste, or regulated products in a manner that damages plumbing or violates law.</w:t>
      </w:r>
    </w:p>
    <w:p>
      <w:pPr>
        <w:pStyle w:val="Heading2"/>
      </w:pPr>
      <w:r>
        <w:t>4. Tenant will maintain a clean storefront and professional operating condition consistent with Shopping Center presentation standards.</w:t>
      </w:r>
    </w:p>
    <w:p>
      <w:pPr>
        <w:pStyle w:val="Heading2"/>
      </w:pPr>
      <w:r>
        <w:t>5. Any specialty equipment installation is subject to Landlord approval.</w:t>
      </w:r>
    </w:p>
    <w:p>
      <w:r>
        <w:br w:type="page"/>
      </w:r>
    </w:p>
    <w:p>
      <w:pPr>
        <w:pStyle w:val="Heading1"/>
      </w:pPr>
      <w:r>
        <w:t>CONDITIONAL ADDENDUM - FINANCIAL SERVICE</w:t>
      </w:r>
    </w:p>
    <w:p>
      <w:r>
        <w:rPr>
          <w:b/>
          <w:color w:val="9C2B2B"/>
        </w:rPr>
        <w:t xml:space="preserve">MODULE STATUS: [[INCLUDE / EXCLUDE]]. </w:t>
      </w:r>
      <w:r>
        <w:t>Delete this module unless selected and approved in the Lease Summary.</w:t>
      </w:r>
    </w:p>
    <w:p>
      <w:pPr>
        <w:pStyle w:val="Title"/>
        <w:jc w:val="center"/>
      </w:pPr>
      <w:r>
        <w:t>Addendum 3 - Financial Service Use - Version 3.1 Software-Ready</w:t>
      </w:r>
    </w:p>
    <w:p>
      <w:pPr>
        <w:jc w:val="center"/>
      </w:pPr>
      <w:r>
        <w:rPr>
          <w:i/>
        </w:rPr>
        <w:t>On the Boulevard Shopping Center | 101-149 Arnould Blvd., Lafayette, LA 70506</w:t>
      </w:r>
    </w:p>
    <w:p>
      <w:r>
        <w:t>On the Boulevard Shopping Center</w:t>
      </w:r>
    </w:p>
    <w:p>
      <w:pPr>
        <w:pStyle w:val="Heading2"/>
      </w:pPr>
      <w:r>
        <w:t>1. Tenant will maintain all licenses and regulatory approvals required for its financial-service operations.</w:t>
      </w:r>
    </w:p>
    <w:p>
      <w:pPr>
        <w:pStyle w:val="Heading2"/>
      </w:pPr>
      <w:r>
        <w:t>2. Tenant will manage customer queues, parking, and exterior traffic in a manner that does not interfere with the Shopping Center.</w:t>
      </w:r>
    </w:p>
    <w:p>
      <w:pPr>
        <w:pStyle w:val="Heading2"/>
      </w:pPr>
      <w:r>
        <w:t>3. ATM, kiosk, drop-box, and security-device placement requires Landlord approval.</w:t>
      </w:r>
    </w:p>
    <w:p>
      <w:pPr>
        <w:pStyle w:val="Heading2"/>
      </w:pPr>
      <w:r>
        <w:t>4. Tenant will maintain commercially reasonable data-security, records-protection, and privacy procedures appropriate to its business.</w:t>
      </w:r>
    </w:p>
    <w:p>
      <w:pPr>
        <w:pStyle w:val="Heading2"/>
      </w:pPr>
      <w:r>
        <w:t>5. No exterior solicitation, curbside obstruction, or security activity may occur in a manner that disrupts neighboring tenants.</w:t>
      </w:r>
    </w:p>
    <w:p>
      <w:r>
        <w:br w:type="page"/>
      </w:r>
    </w:p>
    <w:p>
      <w:pPr>
        <w:pStyle w:val="Heading1"/>
      </w:pPr>
      <w:r>
        <w:t>CONDITIONAL ADDENDUM - MEDICAL / CLINIC</w:t>
      </w:r>
    </w:p>
    <w:p>
      <w:r>
        <w:rPr>
          <w:b/>
          <w:color w:val="9C2B2B"/>
        </w:rPr>
        <w:t xml:space="preserve">MODULE STATUS: [[INCLUDE / EXCLUDE]]. </w:t>
      </w:r>
      <w:r>
        <w:t>Delete this module unless selected and approved in the Lease Summary.</w:t>
      </w:r>
    </w:p>
    <w:p>
      <w:pPr>
        <w:pStyle w:val="Title"/>
        <w:jc w:val="center"/>
      </w:pPr>
      <w:r>
        <w:t>Addendum 4 - Medical / Clinic Use - Version 3.1 Software-Ready</w:t>
      </w:r>
    </w:p>
    <w:p>
      <w:pPr>
        <w:jc w:val="center"/>
      </w:pPr>
      <w:r>
        <w:rPr>
          <w:i/>
        </w:rPr>
        <w:t>On the Boulevard Shopping Center | 101-149 Arnould Blvd., Lafayette, LA 70506</w:t>
      </w:r>
    </w:p>
    <w:p>
      <w:r>
        <w:t>On the Boulevard Shopping Center</w:t>
      </w:r>
    </w:p>
    <w:p>
      <w:pPr>
        <w:pStyle w:val="Heading2"/>
      </w:pPr>
      <w:r>
        <w:t>1. Tenant will maintain all professional licenses, permits, and regulatory approvals required for its medical or clinic use.</w:t>
      </w:r>
    </w:p>
    <w:p>
      <w:pPr>
        <w:pStyle w:val="Heading2"/>
      </w:pPr>
      <w:r>
        <w:t>2. Tenant is solely responsible for biohazard handling, regulated waste disposal, sanitation compliance, and specialty plumbing or ventilation serving the Premises.</w:t>
      </w:r>
    </w:p>
    <w:p>
      <w:pPr>
        <w:pStyle w:val="Heading2"/>
      </w:pPr>
      <w:r>
        <w:t>3. Tenant will not create objectionable odors, noise, waste, or patient-traffic conditions that materially interfere with Shopping Center operations.</w:t>
      </w:r>
    </w:p>
    <w:p>
      <w:pPr>
        <w:pStyle w:val="Heading2"/>
      </w:pPr>
      <w:r>
        <w:t>4. Any imaging, treatment, specimen, or specialized medical equipment installation requires Landlord approval.</w:t>
      </w:r>
    </w:p>
    <w:p>
      <w:pPr>
        <w:pStyle w:val="Heading2"/>
      </w:pPr>
      <w:r>
        <w:t>5. Tenant remains responsible for privacy compliance and record-handling obligations applicable to its operations.</w:t>
      </w:r>
    </w:p>
    <w:p>
      <w:r>
        <w:br w:type="page"/>
      </w:r>
    </w:p>
    <w:p>
      <w:pPr>
        <w:pStyle w:val="Heading1"/>
      </w:pPr>
      <w:r>
        <w:t>CONDITIONAL ADDENDUM - EXCLUSIVE USE</w:t>
      </w:r>
    </w:p>
    <w:p>
      <w:r>
        <w:rPr>
          <w:b/>
          <w:color w:val="9C2B2B"/>
        </w:rPr>
        <w:t xml:space="preserve">MODULE STATUS: [[INCLUDE / EXCLUDE]]. </w:t>
      </w:r>
      <w:r>
        <w:t>Delete this module unless selected and approved in the Lease Summary.</w:t>
      </w:r>
    </w:p>
    <w:p>
      <w:pPr>
        <w:pStyle w:val="Title"/>
        <w:jc w:val="center"/>
      </w:pPr>
      <w:r>
        <w:t>Addendum 5 - Exclusive Use - Version 3.1 Software-Ready</w:t>
      </w:r>
    </w:p>
    <w:p>
      <w:pPr>
        <w:jc w:val="center"/>
      </w:pPr>
      <w:r>
        <w:rPr>
          <w:i/>
        </w:rPr>
        <w:t>On the Boulevard Shopping Center | 101-149 Arnould Blvd., Lafayette, LA 70506</w:t>
      </w:r>
    </w:p>
    <w:p>
      <w:r>
        <w:t>On the Boulevard Shopping Center</w:t>
      </w:r>
    </w:p>
    <w:p>
      <w:pPr>
        <w:pStyle w:val="Heading2"/>
      </w:pPr>
      <w:r>
        <w:t>1. Any exclusive use right granted to Tenant is limited to the exact use description stated in the Lease Summary or this Addendum and must be interpreted narrowly.</w:t>
      </w:r>
    </w:p>
    <w:p>
      <w:pPr>
        <w:pStyle w:val="Heading2"/>
      </w:pPr>
      <w:r>
        <w:t>2. The exclusive use right is subject to existing uses, renewals, replacements, temporary uses, de minimis sales, ancillary sales, online order pickup, and other stated carve-outs.</w:t>
      </w:r>
    </w:p>
    <w:p>
      <w:pPr>
        <w:pStyle w:val="Heading2"/>
      </w:pPr>
      <w:r>
        <w:t>3. No defaulting tenant may enforce an exclusive use right while in default beyond applicable cure periods.</w:t>
      </w:r>
    </w:p>
    <w:p>
      <w:pPr>
        <w:pStyle w:val="Heading2"/>
      </w:pPr>
      <w:r>
        <w:t>4. Remedies for violation, if any, are limited to those expressly stated in the Lease or this Addendum. No implied termination right exists unless expressly granted.</w:t>
      </w:r>
    </w:p>
    <w:p>
      <w:pPr>
        <w:pStyle w:val="Heading2"/>
      </w:pPr>
      <w:r>
        <w:t>5. This Addendum does not expand Tenant's use right beyond the Permitted Use.</w:t>
      </w:r>
    </w:p>
    <w:p>
      <w:r>
        <w:br w:type="page"/>
      </w:r>
    </w:p>
    <w:p>
      <w:pPr>
        <w:pStyle w:val="Heading1"/>
      </w:pPr>
      <w:r>
        <w:t>CONDITIONAL ADDENDUM - RADIUS RESTRICTION</w:t>
      </w:r>
    </w:p>
    <w:p>
      <w:r>
        <w:rPr>
          <w:b/>
          <w:color w:val="9C2B2B"/>
        </w:rPr>
        <w:t xml:space="preserve">MODULE STATUS: [[INCLUDE / EXCLUDE]]. </w:t>
      </w:r>
      <w:r>
        <w:t>Delete this module unless selected and approved in the Lease Summary.</w:t>
      </w:r>
    </w:p>
    <w:p>
      <w:pPr>
        <w:pStyle w:val="Title"/>
        <w:spacing w:after="80" w:line="259" w:lineRule="auto"/>
        <w:jc w:val="center"/>
      </w:pPr>
      <w:r>
        <w:rPr>
          <w:i w:val="0"/>
        </w:rPr>
        <w:t>Addendum 6 - Radius Restriction - Version 2 Retail Tightened</w:t>
      </w:r>
    </w:p>
    <w:p>
      <w:pPr>
        <w:spacing w:after="80" w:line="259" w:lineRule="auto"/>
        <w:jc w:val="center"/>
      </w:pPr>
      <w:r>
        <w:rPr>
          <w:i/>
        </w:rPr>
        <w:t>On the Boulevard Shopping Center | 101-149 Arnould Blvd., Lafayette, LA 70506</w:t>
      </w:r>
    </w:p>
    <w:p>
      <w:pPr>
        <w:spacing w:after="80" w:line="259" w:lineRule="auto"/>
      </w:pPr>
      <w:r>
        <w:rPr>
          <w:i w:val="0"/>
        </w:rPr>
        <w:t>On the Boulevard Shopping Center</w:t>
      </w:r>
    </w:p>
    <w:p>
      <w:pPr>
        <w:spacing w:after="80" w:line="259" w:lineRule="auto"/>
      </w:pPr>
      <w:r>
        <w:rPr>
          <w:i w:val="0"/>
        </w:rPr>
        <w:t>1. During the term of the Lease and for one year after expiration or earlier termination, neither Tenant nor any affiliate, principal, or guarantor controlling Tenant may own, operate, manage, franchise, or materially participate in a business substantially similar to the Permitted Use within a one-mile radius of the Shopping Center, except as expressly disclosed and approved in writing by Landlord.</w:t>
      </w:r>
    </w:p>
    <w:p>
      <w:pPr>
        <w:spacing w:after="80" w:line="259" w:lineRule="auto"/>
      </w:pPr>
      <w:r>
        <w:rPr>
          <w:i w:val="0"/>
        </w:rPr>
        <w:t>2. If the Lease includes percentage-rent concepts, Landlord may require gross sales from any violating location within the restricted radius to be included in gross sales for the Premises to the extent permitted by law and the Lease structure.</w:t>
      </w:r>
    </w:p>
    <w:p>
      <w:pPr>
        <w:spacing w:after="80" w:line="259" w:lineRule="auto"/>
      </w:pPr>
      <w:r>
        <w:rPr>
          <w:i w:val="0"/>
        </w:rPr>
        <w:t>3. Tenant will promptly disclose any existing location within the restricted radius before Lease execution and any proposed new location during the term.</w:t>
      </w:r>
    </w:p>
    <w:p>
      <w:pPr>
        <w:spacing w:after="80" w:line="259" w:lineRule="auto"/>
      </w:pPr>
      <w:r>
        <w:rPr>
          <w:i w:val="0"/>
        </w:rPr>
        <w:t>4. A violation of this Addendum constitutes a material default. Landlord may seek injunctive relief, damages, lost-rent recovery, recapture of concessions, and any other remedies available under the Lease or at law.</w:t>
      </w:r>
    </w:p>
    <w:p>
      <w:pPr>
        <w:spacing w:after="80" w:line="259" w:lineRule="auto"/>
      </w:pPr>
      <w:r>
        <w:rPr>
          <w:i w:val="0"/>
        </w:rPr>
        <w:t>5. Nothing in this Addendum prevents Landlord from enforcing a broader exclusive-use or prohibited-use restriction if separately granted elsewhere in the Lease package.</w:t>
      </w:r>
    </w:p>
    <w:p>
      <w:r>
        <w:br w:type="page"/>
      </w:r>
    </w:p>
    <w:p>
      <w:pPr>
        <w:pStyle w:val="Heading1"/>
      </w:pPr>
      <w:r>
        <w:t>CONDITIONAL ADDENDUM - EARLY ACCESS / FIXTURING</w:t>
      </w:r>
    </w:p>
    <w:p>
      <w:r>
        <w:rPr>
          <w:b/>
          <w:color w:val="9C2B2B"/>
        </w:rPr>
        <w:t xml:space="preserve">MODULE STATUS: [[INCLUDE / EXCLUDE]]. </w:t>
      </w:r>
      <w:r>
        <w:t>Delete this module unless selected and approved in the Lease Summary.</w:t>
      </w:r>
    </w:p>
    <w:p>
      <w:pPr>
        <w:pStyle w:val="Title"/>
        <w:jc w:val="center"/>
      </w:pPr>
      <w:r>
        <w:t>Addendum 7 - Early Access / Fixturing - Version 3.1 Software-Ready</w:t>
      </w:r>
    </w:p>
    <w:p>
      <w:pPr>
        <w:jc w:val="center"/>
      </w:pPr>
      <w:r>
        <w:rPr>
          <w:i/>
        </w:rPr>
        <w:t>On the Boulevard Shopping Center | 101-149 Arnould Blvd., Lafayette, LA 70506</w:t>
      </w:r>
    </w:p>
    <w:p>
      <w:r>
        <w:t>On the Boulevard Shopping Center</w:t>
      </w:r>
    </w:p>
    <w:p>
      <w:pPr>
        <w:pStyle w:val="Heading2"/>
      </w:pPr>
      <w:r>
        <w:t>1. If early access is granted, Tenant may enter the Premises before the Commencement Date solely for approved fixturing, stocking, cabling, or construction activity.</w:t>
      </w:r>
    </w:p>
    <w:p>
      <w:pPr>
        <w:pStyle w:val="Heading2"/>
      </w:pPr>
      <w:r>
        <w:t>2. Early access is conditioned on full insurance compliance, contractor approval, and execution of all access-related requirements imposed by Landlord.</w:t>
      </w:r>
    </w:p>
    <w:p>
      <w:pPr>
        <w:pStyle w:val="Heading2"/>
      </w:pPr>
      <w:r>
        <w:t>3. No public business operation may commence during the fixturing period unless Landlord expressly approves otherwise in writing.</w:t>
      </w:r>
    </w:p>
    <w:p>
      <w:pPr>
        <w:pStyle w:val="Heading2"/>
      </w:pPr>
      <w:r>
        <w:t>4. Tenant bears all risk of loss, utility costs, contractor costs, and operational responsibility arising from early entry.</w:t>
      </w:r>
    </w:p>
    <w:p>
      <w:pPr>
        <w:pStyle w:val="Heading2"/>
      </w:pPr>
      <w:r>
        <w:t>5. Early access may be revoked by Landlord if Tenant fails to comply with access rules, insurance requirements, or approved construction limits.</w:t>
      </w:r>
    </w:p>
    <w:p>
      <w:r>
        <w:br w:type="page"/>
      </w:r>
    </w:p>
    <w:p>
      <w:pPr>
        <w:pStyle w:val="Heading1"/>
      </w:pPr>
      <w:r>
        <w:t>OPTIONAL PERSONAL GUARANTY</w:t>
      </w:r>
    </w:p>
    <w:p>
      <w:r>
        <w:rPr>
          <w:b/>
          <w:color w:val="9C2B2B"/>
        </w:rPr>
        <w:t xml:space="preserve">MODULE STATUS: [[INCLUDE / EXCLUDE]]. </w:t>
      </w:r>
      <w:r>
        <w:t>Delete this module unless selected and approved in the Lease Summary.</w:t>
      </w:r>
    </w:p>
    <w:p>
      <w:pPr>
        <w:pStyle w:val="Title"/>
        <w:spacing w:after="80" w:line="259" w:lineRule="auto"/>
        <w:jc w:val="center"/>
      </w:pPr>
      <w:r>
        <w:rPr>
          <w:i w:val="0"/>
        </w:rPr>
        <w:t>Personal Guaranty - Version 2 Retail Tightened</w:t>
      </w:r>
    </w:p>
    <w:p>
      <w:pPr>
        <w:spacing w:after="80" w:line="259" w:lineRule="auto"/>
        <w:jc w:val="center"/>
      </w:pPr>
      <w:r>
        <w:rPr>
          <w:i/>
        </w:rPr>
        <w:t>On the Boulevard Shopping Center | 101-149 Arnould Blvd., Lafayette, LA 70506</w:t>
      </w:r>
    </w:p>
    <w:p>
      <w:pPr>
        <w:spacing w:after="80" w:line="259" w:lineRule="auto"/>
      </w:pPr>
      <w:r>
        <w:rPr>
          <w:i w:val="0"/>
        </w:rPr>
        <w:t>On the Boulevard Shopping Center</w:t>
      </w:r>
    </w:p>
    <w:p>
      <w:pPr>
        <w:spacing w:after="80" w:line="259" w:lineRule="auto"/>
      </w:pPr>
      <w:r>
        <w:rPr>
          <w:i w:val="0"/>
        </w:rPr>
        <w:t>This Personal Guaranty is made as of [EFFECTIVE DATE] by [GUARANTOR NAME] in favor of Belle Realty of Lafayette, LLC, a Louisiana limited liability company, as Landlord.</w:t>
      </w:r>
    </w:p>
    <w:p>
      <w:pPr>
        <w:pStyle w:val="Heading1"/>
        <w:spacing w:after="80" w:line="259" w:lineRule="auto"/>
      </w:pPr>
      <w:r>
        <w:rPr>
          <w:i w:val="0"/>
        </w:rPr>
        <w:t>Section 1. Recitals</w:t>
      </w:r>
    </w:p>
    <w:p>
      <w:pPr>
        <w:spacing w:after="80" w:line="259" w:lineRule="auto"/>
      </w:pPr>
      <w:r>
        <w:rPr>
          <w:i w:val="0"/>
        </w:rPr>
        <w:t>Landlord and [TENANT NAME] entered into a lease for Suite 121 at On the Boulevard Shopping Center, 101-149 Arnould Blvd., Lafayette, LA 70506. Guarantor will benefit directly or indirectly from Tenant's leasehold rights. This Guaranty is a material inducement to Landlord entering into the lease.</w:t>
      </w:r>
    </w:p>
    <w:p>
      <w:pPr>
        <w:pStyle w:val="Heading1"/>
        <w:spacing w:after="80" w:line="259" w:lineRule="auto"/>
      </w:pPr>
      <w:r>
        <w:rPr>
          <w:i w:val="0"/>
        </w:rPr>
        <w:t>Section 2. Absolute Guaranty</w:t>
      </w:r>
    </w:p>
    <w:p>
      <w:pPr>
        <w:spacing w:after="80" w:line="259" w:lineRule="auto"/>
      </w:pPr>
      <w:r>
        <w:rPr>
          <w:i w:val="0"/>
        </w:rPr>
        <w:t>Guarantor absolutely, unconditionally, and irrevocably guarantees the full and punctual payment and performance of all obligations of Tenant under the lease, whether arising before, during, or after the term, and whether arising by extension, amendment, holdover, assignment, bankruptcy, surrender, or otherwise.</w:t>
      </w:r>
    </w:p>
    <w:p>
      <w:pPr>
        <w:pStyle w:val="Heading1"/>
        <w:spacing w:after="80" w:line="259" w:lineRule="auto"/>
      </w:pPr>
      <w:r>
        <w:rPr>
          <w:i w:val="0"/>
        </w:rPr>
        <w:t>Section 3. Payment and Performance</w:t>
      </w:r>
    </w:p>
    <w:p>
      <w:pPr>
        <w:spacing w:after="80" w:line="259" w:lineRule="auto"/>
      </w:pPr>
      <w:r>
        <w:rPr>
          <w:i w:val="0"/>
        </w:rPr>
        <w:t>This is a guaranty of payment and performance and not merely collection. Landlord may proceed directly against Guarantor without first suing Tenant, enforcing the lease against Tenant, exhausting collateral, or applying the security deposit.</w:t>
      </w:r>
    </w:p>
    <w:p>
      <w:pPr>
        <w:pStyle w:val="Heading1"/>
        <w:spacing w:after="80" w:line="259" w:lineRule="auto"/>
      </w:pPr>
      <w:r>
        <w:rPr>
          <w:i w:val="0"/>
        </w:rPr>
        <w:t>Section 4. Continuing Liability</w:t>
      </w:r>
    </w:p>
    <w:p>
      <w:pPr>
        <w:spacing w:after="80" w:line="259" w:lineRule="auto"/>
      </w:pPr>
      <w:r>
        <w:rPr>
          <w:i w:val="0"/>
        </w:rPr>
        <w:t>This Guaranty is continuing and remains in effect until all obligations are fully paid and performed. No amendment, concession, waiver, assignment consent, transfer, expansion, extension, renewal, or workout releases Guarantor unless Landlord signs an express written release.</w:t>
      </w:r>
    </w:p>
    <w:p>
      <w:pPr>
        <w:pStyle w:val="Heading1"/>
        <w:spacing w:after="80" w:line="259" w:lineRule="auto"/>
      </w:pPr>
      <w:r>
        <w:rPr>
          <w:i w:val="0"/>
        </w:rPr>
        <w:t>Section 5. Waivers</w:t>
      </w:r>
    </w:p>
    <w:p>
      <w:pPr>
        <w:spacing w:after="80" w:line="259" w:lineRule="auto"/>
      </w:pPr>
      <w:r>
        <w:rPr>
          <w:i w:val="0"/>
        </w:rPr>
        <w:t>Guarantor waives notice of acceptance, notice of default, demand, presentment, protest, diligence, marshalling, any right to require Landlord to proceed first against Tenant, and all suretyship defenses to the fullest extent permitted by law.</w:t>
      </w:r>
    </w:p>
    <w:p>
      <w:pPr>
        <w:pStyle w:val="Heading1"/>
        <w:spacing w:after="80" w:line="259" w:lineRule="auto"/>
      </w:pPr>
      <w:r>
        <w:rPr>
          <w:i w:val="0"/>
        </w:rPr>
        <w:t>Section 6. Reinstatement</w:t>
      </w:r>
    </w:p>
    <w:p>
      <w:pPr>
        <w:spacing w:after="80" w:line="259" w:lineRule="auto"/>
      </w:pPr>
      <w:r>
        <w:rPr>
          <w:i w:val="0"/>
        </w:rPr>
        <w:t>If any payment made by Tenant or Guarantor is later rescinded, avoided, recovered, or returned in insolvency, bankruptcy, or similar proceedings, this Guaranty is reinstated as though the payment had never been made.</w:t>
      </w:r>
    </w:p>
    <w:p>
      <w:pPr>
        <w:pStyle w:val="Heading1"/>
        <w:spacing w:after="80" w:line="259" w:lineRule="auto"/>
      </w:pPr>
      <w:r>
        <w:rPr>
          <w:i w:val="0"/>
        </w:rPr>
        <w:t>Section 7. Financial Reporting</w:t>
      </w:r>
    </w:p>
    <w:p>
      <w:pPr>
        <w:spacing w:after="80" w:line="259" w:lineRule="auto"/>
      </w:pPr>
      <w:r>
        <w:rPr>
          <w:i w:val="0"/>
        </w:rPr>
        <w:t>Within ten days after request, Guarantor will deliver financial statements, tax returns, schedules of liabilities, and other financial information reasonably requested by Landlord in connection with the lease, any renewal, any default, or any proposed transfer.</w:t>
      </w:r>
    </w:p>
    <w:p>
      <w:pPr>
        <w:pStyle w:val="Heading1"/>
        <w:spacing w:after="80" w:line="259" w:lineRule="auto"/>
      </w:pPr>
      <w:r>
        <w:rPr>
          <w:i w:val="0"/>
        </w:rPr>
        <w:t>Section 8. Subordination and No Recourse Against Tenant</w:t>
      </w:r>
    </w:p>
    <w:p>
      <w:pPr>
        <w:spacing w:after="80" w:line="259" w:lineRule="auto"/>
      </w:pPr>
      <w:r>
        <w:rPr>
          <w:i w:val="0"/>
        </w:rPr>
        <w:t>Until all obligations are satisfied, Guarantor will not seek reimbursement, subrogation, contribution, or indemnity from Tenant.</w:t>
      </w:r>
    </w:p>
    <w:p>
      <w:pPr>
        <w:pStyle w:val="Heading1"/>
        <w:spacing w:after="80" w:line="259" w:lineRule="auto"/>
      </w:pPr>
      <w:r>
        <w:rPr>
          <w:i w:val="0"/>
        </w:rPr>
        <w:t>Section 9. Costs of Enforcement</w:t>
      </w:r>
    </w:p>
    <w:p>
      <w:pPr>
        <w:spacing w:after="80" w:line="259" w:lineRule="auto"/>
      </w:pPr>
      <w:r>
        <w:rPr>
          <w:i w:val="0"/>
        </w:rPr>
        <w:t>Guarantor will pay Landlord's reasonable attorneys' fees, court costs, collection costs, and enforcement expenses to the extent permitted by law.</w:t>
      </w:r>
    </w:p>
    <w:p>
      <w:pPr>
        <w:pStyle w:val="Heading1"/>
        <w:spacing w:after="80" w:line="259" w:lineRule="auto"/>
      </w:pPr>
      <w:r>
        <w:rPr>
          <w:i w:val="0"/>
        </w:rPr>
        <w:t>Section 10. Governing Law and Venue</w:t>
      </w:r>
    </w:p>
    <w:p>
      <w:pPr>
        <w:spacing w:after="80" w:line="259" w:lineRule="auto"/>
      </w:pPr>
      <w:r>
        <w:rPr>
          <w:i w:val="0"/>
        </w:rPr>
        <w:t>This Guaranty is governed by Louisiana law. Exclusive venue is Lafayette Parish, Louisiana, subject to applicable federal jurisdiction.</w:t>
      </w:r>
    </w:p>
    <w:p>
      <w:pPr>
        <w:pStyle w:val="Heading2"/>
        <w:spacing w:after="80" w:line="259" w:lineRule="auto"/>
      </w:pPr>
      <w:r>
        <w:rPr>
          <w:i w:val="0"/>
        </w:rPr>
        <w:t>GUARANTOR:</w:t>
      </w:r>
    </w:p>
    <w:p>
      <w:pPr>
        <w:spacing w:after="80" w:line="259" w:lineRule="auto"/>
      </w:pPr>
      <w:r>
        <w:rPr>
          <w:i w:val="0"/>
        </w:rPr>
        <w:t>[GUARANTOR NAME]</w:t>
      </w:r>
    </w:p>
    <w:p>
      <w:pPr>
        <w:spacing w:after="80" w:line="259" w:lineRule="auto"/>
      </w:pPr>
      <w:r>
        <w:rPr>
          <w:i w:val="0"/>
        </w:rPr>
        <w:t>Signature: ______________________________</w:t>
      </w:r>
    </w:p>
    <w:p>
      <w:pPr>
        <w:spacing w:after="80" w:line="259" w:lineRule="auto"/>
      </w:pPr>
      <w:r>
        <w:rPr>
          <w:i w:val="0"/>
        </w:rPr>
        <w:t>Name: [NAME]</w:t>
      </w:r>
    </w:p>
    <w:p>
      <w:pPr>
        <w:spacing w:after="80" w:line="259" w:lineRule="auto"/>
      </w:pPr>
      <w:r>
        <w:rPr>
          <w:i w:val="0"/>
        </w:rPr>
        <w:t>Date: ____________________________</w:t>
      </w:r>
    </w:p>
    <w:p>
      <w:pPr>
        <w:spacing w:after="80" w:line="259" w:lineRule="auto"/>
      </w:pPr>
      <w:r>
        <w:rPr>
          <w:i w:val="0"/>
        </w:rPr>
        <w:t>Address: [ADDRESS]</w:t>
      </w:r>
    </w:p>
    <w:p>
      <w:pPr>
        <w:spacing w:after="80" w:line="259" w:lineRule="auto"/>
      </w:pPr>
      <w:r>
        <w:rPr>
          <w:i w:val="0"/>
        </w:rPr>
        <w:t>Email: [EMAIL]</w:t>
      </w:r>
    </w:p>
    <w:p>
      <w:r>
        <w:br w:type="page"/>
      </w:r>
    </w:p>
    <w:p>
      <w:pPr>
        <w:pStyle w:val="Heading1"/>
      </w:pPr>
      <w:r>
        <w:t>FINAL ASSEMBLY AND APPROVAL CERTIFICATE</w:t>
      </w:r>
    </w:p>
    <w:p>
      <w:r>
        <w:t>Business terms approved: [[NAME / DATE / STATUS]]</w:t>
      </w:r>
    </w:p>
    <w:p>
      <w:r>
        <w:t>Rent arithmetic verified: [[NAME / DATE / STATUS]]</w:t>
      </w:r>
    </w:p>
    <w:p>
      <w:r>
        <w:t>Existing tenant exclusives checked: [[NAME / DATE / STATUS]]</w:t>
      </w:r>
    </w:p>
    <w:p>
      <w:r>
        <w:t>Selected modules confirmed: [[NAME / DATE / STATUS]]</w:t>
      </w:r>
    </w:p>
    <w:p>
      <w:r>
        <w:t>Current site/premises plan attached: [[NAME / DATE / STATUS]]</w:t>
      </w:r>
    </w:p>
    <w:p>
      <w:r>
        <w:t>Insurance reviewed: [[NAME / DATE / STATUS]]</w:t>
      </w:r>
    </w:p>
    <w:p>
      <w:r>
        <w:t>Louisiana counsel review completed: [[NAME / DATE / STATUS]]</w:t>
      </w:r>
    </w:p>
    <w:p>
      <w:r>
        <w:t>Software record locked: [[NAME / DATE / STATUS]]</w:t>
      </w:r>
    </w:p>
    <w:p>
      <w:r>
        <w:br w:type="page"/>
      </w:r>
    </w:p>
    <w:p>
      <w:pPr>
        <w:pStyle w:val="Heading1"/>
      </w:pPr>
      <w:r>
        <w:rPr>
          <w:color w:val="17324D"/>
        </w:rPr>
        <w:t>AUTHORITATIVE SOURCE RECONCILIATION - CURRENT OTB EXAMPLE</w:t>
      </w:r>
    </w:p>
    <w:p>
      <w:r>
        <w:t>Authority used: 00 Example Master Lease Package.pdf, current OTB example lease for Robertson Family Holdings, LLC. This reconciliation page controls the factual example terms below if an earlier placeholder or module conflicts. The PDF contains a 27-page lease package followed by supporting entity records; only the lease package was used for lease terms.</w:t>
      </w:r>
    </w:p>
    <w:tbl>
      <w:tblPr>
        <w:tblStyle w:val="TableGrid"/>
        <w:tblW w:type="auto" w:w="0"/>
        <w:tblLook w:firstColumn="1" w:firstRow="1" w:lastColumn="0" w:lastRow="0" w:noHBand="0" w:noVBand="1" w:val="04A0"/>
      </w:tblPr>
      <w:tblGrid>
        <w:gridCol w:w="4968"/>
        <w:gridCol w:w="4968"/>
      </w:tblGrid>
      <w:tr>
        <w:tc>
          <w:tcPr>
            <w:tcW w:type="dxa" w:w="4968"/>
            <w:shd w:fill="17324D"/>
          </w:tcPr>
          <w:p>
            <w:r>
              <w:rPr>
                <w:b/>
                <w:color w:val="FFFFFF"/>
              </w:rPr>
              <w:t>Supported term</w:t>
            </w:r>
          </w:p>
        </w:tc>
        <w:tc>
          <w:tcPr>
            <w:tcW w:type="dxa" w:w="4968"/>
            <w:shd w:fill="17324D"/>
          </w:tcPr>
          <w:p>
            <w:r>
              <w:rPr>
                <w:b/>
                <w:color w:val="FFFFFF"/>
              </w:rPr>
              <w:t>Authoritative example</w:t>
            </w:r>
          </w:p>
        </w:tc>
      </w:tr>
      <w:tr>
        <w:tc>
          <w:tcPr>
            <w:tcW w:type="dxa" w:w="4968"/>
          </w:tcPr>
          <w:p>
            <w:r>
              <w:t>Parties</w:t>
            </w:r>
          </w:p>
        </w:tc>
        <w:tc>
          <w:tcPr>
            <w:tcW w:type="dxa" w:w="4968"/>
          </w:tcPr>
          <w:p>
            <w:r>
              <w:t>Belle Realty of Lafayette, LLC and Robertson Family Holdings, LLC, both Louisiana limited liability companies.</w:t>
            </w:r>
          </w:p>
        </w:tc>
      </w:tr>
      <w:tr>
        <w:tc>
          <w:tcPr>
            <w:tcW w:type="dxa" w:w="4968"/>
          </w:tcPr>
          <w:p>
            <w:r>
              <w:t>Premises</w:t>
            </w:r>
          </w:p>
        </w:tc>
        <w:tc>
          <w:tcPr>
            <w:tcW w:type="dxa" w:w="4968"/>
          </w:tcPr>
          <w:p>
            <w:r>
              <w:t>1,709 square feet at 121 Arnould Boulevard, Lafayette, Louisiana 70506.</w:t>
            </w:r>
          </w:p>
        </w:tc>
      </w:tr>
      <w:tr>
        <w:tc>
          <w:tcPr>
            <w:tcW w:type="dxa" w:w="4968"/>
          </w:tcPr>
          <w:p>
            <w:r>
              <w:t>Use</w:t>
            </w:r>
          </w:p>
        </w:tc>
        <w:tc>
          <w:tcPr>
            <w:tcW w:type="dxa" w:w="4968"/>
          </w:tcPr>
          <w:p>
            <w:r>
              <w:t>Full-service hair salon with customary hair-care services and incidental related retail sales.</w:t>
            </w:r>
          </w:p>
        </w:tc>
      </w:tr>
      <w:tr>
        <w:tc>
          <w:tcPr>
            <w:tcW w:type="dxa" w:w="4968"/>
          </w:tcPr>
          <w:p>
            <w:r>
              <w:t>Term</w:t>
            </w:r>
          </w:p>
        </w:tc>
        <w:tc>
          <w:tcPr>
            <w:tcW w:type="dxa" w:w="4968"/>
          </w:tcPr>
          <w:p>
            <w:r>
              <w:t>Effective and commencing July 1, 2025; expiring December 31, 2031.</w:t>
            </w:r>
          </w:p>
        </w:tc>
      </w:tr>
      <w:tr>
        <w:tc>
          <w:tcPr>
            <w:tcW w:type="dxa" w:w="4968"/>
          </w:tcPr>
          <w:p>
            <w:r>
              <w:t>Initial expense rates</w:t>
            </w:r>
          </w:p>
        </w:tc>
        <w:tc>
          <w:tcPr>
            <w:tcW w:type="dxa" w:w="4968"/>
          </w:tcPr>
          <w:p>
            <w:r>
              <w:t>CAM $2.10/SF; Taxes $0.95/SF; Insurance $1.95/SF, paid monthly as shown in Schedule G.</w:t>
            </w:r>
          </w:p>
        </w:tc>
      </w:tr>
      <w:tr>
        <w:tc>
          <w:tcPr>
            <w:tcW w:type="dxa" w:w="4968"/>
          </w:tcPr>
          <w:p>
            <w:r>
              <w:t>Expense cap</w:t>
            </w:r>
          </w:p>
        </w:tc>
        <w:tc>
          <w:tcPr>
            <w:tcW w:type="dxa" w:w="4968"/>
          </w:tcPr>
          <w:p>
            <w:r>
              <w:t>Annual increases beginning in year two may not exceed 5% over prior-calendar-year actual CAM and/or Taxes and Insurance Charges.</w:t>
            </w:r>
          </w:p>
        </w:tc>
      </w:tr>
      <w:tr>
        <w:tc>
          <w:tcPr>
            <w:tcW w:type="dxa" w:w="4968"/>
          </w:tcPr>
          <w:p>
            <w:r>
              <w:t>Late payment</w:t>
            </w:r>
          </w:p>
        </w:tc>
        <w:tc>
          <w:tcPr>
            <w:tcW w:type="dxa" w:w="4968"/>
          </w:tcPr>
          <w:p>
            <w:r>
              <w:t>If not received by day 5: $100 fixed fee plus $25/day beginning day 6.</w:t>
            </w:r>
          </w:p>
        </w:tc>
      </w:tr>
      <w:tr>
        <w:tc>
          <w:tcPr>
            <w:tcW w:type="dxa" w:w="4968"/>
          </w:tcPr>
          <w:p>
            <w:r>
              <w:t>HVAC</w:t>
            </w:r>
          </w:p>
        </w:tc>
        <w:tc>
          <w:tcPr>
            <w:tcW w:type="dxa" w:w="4968"/>
          </w:tcPr>
          <w:p>
            <w:r>
              <w:t>Tenant pays first $1,500 each repair visit and 50% of replacement; monthly Butcher Air Conditioning contract; qualifying repair credit if replacement occurs within 15 days.</w:t>
            </w:r>
          </w:p>
        </w:tc>
      </w:tr>
      <w:tr>
        <w:tc>
          <w:tcPr>
            <w:tcW w:type="dxa" w:w="4968"/>
          </w:tcPr>
          <w:p>
            <w:r>
              <w:t>Utilities</w:t>
            </w:r>
          </w:p>
        </w:tc>
        <w:tc>
          <w:tcPr>
            <w:tcW w:type="dxa" w:w="4968"/>
          </w:tcPr>
          <w:p>
            <w:r>
              <w:t>Tenant transfers electric service; Landlord-paid utility reimbursement plus $100 administrative fee.</w:t>
            </w:r>
          </w:p>
        </w:tc>
      </w:tr>
      <w:tr>
        <w:tc>
          <w:tcPr>
            <w:tcW w:type="dxa" w:w="4968"/>
          </w:tcPr>
          <w:p>
            <w:r>
              <w:t>Holdover</w:t>
            </w:r>
          </w:p>
        </w:tc>
        <w:tc>
          <w:tcPr>
            <w:tcW w:type="dxa" w:w="4968"/>
          </w:tcPr>
          <w:p>
            <w:r>
              <w:t>200% of monthly rental amount for each month or part-month.</w:t>
            </w:r>
          </w:p>
        </w:tc>
      </w:tr>
      <w:tr>
        <w:tc>
          <w:tcPr>
            <w:tcW w:type="dxa" w:w="4968"/>
          </w:tcPr>
          <w:p>
            <w:r>
              <w:t>Renewal</w:t>
            </w:r>
          </w:p>
        </w:tc>
        <w:tc>
          <w:tcPr>
            <w:tcW w:type="dxa" w:w="4968"/>
          </w:tcPr>
          <w:p>
            <w:r>
              <w:t>One additional 3-year term; 60-day written notice; renewal rent negotiated.</w:t>
            </w:r>
          </w:p>
        </w:tc>
      </w:tr>
      <w:tr>
        <w:tc>
          <w:tcPr>
            <w:tcW w:type="dxa" w:w="4968"/>
          </w:tcPr>
          <w:p>
            <w:r>
              <w:t>Deposit</w:t>
            </w:r>
          </w:p>
        </w:tc>
        <w:tc>
          <w:tcPr>
            <w:tcW w:type="dxa" w:w="4968"/>
          </w:tcPr>
          <w:p>
            <w:r>
              <w:t>$1,958.23; return within 30 days if obligations are discharged; may not be used as last month rent.</w:t>
            </w:r>
          </w:p>
        </w:tc>
      </w:tr>
    </w:tbl>
    <w:p>
      <w:pPr>
        <w:pStyle w:val="Heading2"/>
      </w:pPr>
      <w:r>
        <w:t>Operational Rules Preserved from Schedule C</w:t>
      </w:r>
    </w:p>
    <w:p>
      <w:pPr>
        <w:pStyle w:val="ListBullet"/>
      </w:pPr>
      <w:r>
        <w:t>Required hours are Monday-Friday, at least 10:00 a.m.-5:00 p.m.; Saturday/Sunday opening is optional.</w:t>
      </w:r>
    </w:p>
    <w:p>
      <w:pPr>
        <w:pStyle w:val="ListBullet"/>
      </w:pPr>
      <w:r>
        <w:t>Failure to remain open may incur a fine up to $100 per occurrence; five or more occurrences in a 12-month period gives Landlord an additional termination right.</w:t>
      </w:r>
    </w:p>
    <w:p>
      <w:pPr>
        <w:pStyle w:val="ListBullet"/>
      </w:pPr>
      <w:r>
        <w:t>No required opening on New Year Day, Mardi Gras Day, Easter Sunday, Thanksgiving Day, or Christmas Day.</w:t>
      </w:r>
    </w:p>
    <w:p>
      <w:pPr>
        <w:pStyle w:val="ListBullet"/>
      </w:pPr>
      <w:r>
        <w:t>Tenant must use a qualified pest-control contractor, comply with designated loading/delivery procedures, keep adjoining areas clean, use designated employee parking, and avoid offensive noise or odors.</w:t>
      </w:r>
    </w:p>
    <w:p>
      <w:pPr>
        <w:pStyle w:val="ListBullet"/>
      </w:pPr>
      <w:r>
        <w:t>Rear door must display Tenant name and address; rear-door security lighting remains illuminated all night.</w:t>
      </w:r>
    </w:p>
    <w:p>
      <w:pPr>
        <w:pStyle w:val="ListBullet"/>
      </w:pPr>
      <w:r>
        <w:t>Illuminated signage operates automatically from dusk until midnight.</w:t>
      </w:r>
    </w:p>
    <w:p>
      <w:pPr>
        <w:pStyle w:val="Heading2"/>
      </w:pPr>
      <w:r>
        <w:t>Baseline Insurance Preserved from Section 15.01</w:t>
      </w:r>
    </w:p>
    <w:p>
      <w:r>
        <w:t>Tenant baseline: $1,000,000 each occurrence and $1,000,000 general aggregate CGL; $1,000,000 personal and advertising injury; $100,000 fire legal liability; $5,000 medical payments; Landlord additional insured; primary basis; certificate at commencement and each anniversary; 30-day prior written cancellation/nonrenewal notice. Any stronger Exhibit G requirement is an intentional modernization only after insurance-advisor and Louisiana-counsel approval.</w:t>
      </w:r>
    </w:p>
    <w:p>
      <w:pPr>
        <w:pStyle w:val="Heading2"/>
      </w:pPr>
      <w:r>
        <w:t>Source Defects Not Silently Carried Forward</w:t>
      </w:r>
    </w:p>
    <w:p>
      <w:pPr>
        <w:pStyle w:val="ListBullet"/>
      </w:pPr>
      <w:r>
        <w:rPr>
          <w:color w:val="9C2B2B"/>
        </w:rPr>
        <w:t>Section 2.01 duplicates prohibited-use item iii as item iv. The duplicate is omitted, not treated as a separate restriction.</w:t>
      </w:r>
    </w:p>
    <w:p>
      <w:pPr>
        <w:pStyle w:val="ListBullet"/>
      </w:pPr>
      <w:r>
        <w:rPr>
          <w:color w:val="9C2B2B"/>
        </w:rPr>
        <w:t>Section 4.01 contains an apparent tax/insurance labeling error before stating $0.95 taxes and $1.95 insurance. Schedule G resolves the example arithmetic; the source defect remains flagged for counsel/operator confirmation.</w:t>
      </w:r>
    </w:p>
    <w:p>
      <w:pPr>
        <w:pStyle w:val="ListBullet"/>
      </w:pPr>
      <w:r>
        <w:rPr>
          <w:color w:val="9C2B2B"/>
        </w:rPr>
        <w:t>Section 30.01 appears to reverse responsibility in one sentence by stating Lessor is liable to Lessee for fees incurred because of Lessee default. This is not adopted as written and requires Louisiana counsel correction.</w:t>
      </w:r>
    </w:p>
    <w:p>
      <w:pPr>
        <w:pStyle w:val="ListBullet"/>
      </w:pPr>
      <w:r>
        <w:rPr>
          <w:color w:val="9C2B2B"/>
        </w:rPr>
        <w:t>The source uses a negotiated-rent renewal option. Counsel should confirm enforceability or add a definite fallback pricing mechanism.</w:t>
      </w:r>
    </w:p>
    <w:p>
      <w:pPr>
        <w:pStyle w:val="ListBullet"/>
      </w:pPr>
      <w:r>
        <w:rPr>
          <w:color w:val="9C2B2B"/>
        </w:rPr>
        <w:t>The source casualty language assigns repairs inconsistently across paragraphs. The modernized casualty article must be reconciled by Louisiana counsel before execution.</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 xml:space="preserve">Illustrative working form | Louisiana counsel review required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5A5A5A"/>
        <w:sz w:val="16"/>
      </w:rPr>
      <w:t>BELLE REALTY MASTER LEASE v2.0 | FULL EXAMPLE | ON THE BOULEVARD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Belle Realty Master Lease v2.1 - Source-Reconciled OTB Example</dc:title>
  <dc:subject>Editable modular shopping-center lease example</dc:subject>
  <dc:creator>Belle Realty of Lafayette, LLC - Working Draft</dc:creator>
  <cp:keywords/>
  <dc:description>Reconciled to 00 Example Master Lease Package.pdf; still requires Louisiana counsel review.</dc:description>
  <cp:lastModifiedBy/>
  <cp:revision>1</cp:revision>
  <dcterms:created xsi:type="dcterms:W3CDTF">2013-12-23T23:15:00Z</dcterms:created>
  <dcterms:modified xsi:type="dcterms:W3CDTF">2013-12-23T23:15:00Z</dcterms:modified>
  <cp:category/>
</cp:coreProperties>
</file>