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OTB Master Lease - V3.1 Software-Ready House Form</w:t>
      </w:r>
    </w:p>
    <w:p>
      <w:pPr>
        <w:jc w:val="center"/>
      </w:pPr>
      <w:r>
        <w:rPr>
          <w:rFonts w:ascii="Arial" w:hAnsi="Arial"/>
          <w:b/>
          <w:sz w:val="18"/>
        </w:rPr>
        <w:t>On the Boulevard Shopping Center | 101-149 Arnould Blvd., Lafayette, LA 70506</w:t>
      </w:r>
    </w:p>
    <w:p>
      <w:pPr>
        <w:jc w:val="center"/>
      </w:pPr>
      <w:r>
        <w:rPr>
          <w:rFonts w:ascii="Arial" w:hAnsi="Arial"/>
          <w:i/>
          <w:sz w:val="18"/>
        </w:rPr>
        <w:t>Preserves current OTB deal DNA while reorganizing terms for controlled assembly</w:t>
      </w:r>
    </w:p>
    <w:p>
      <w:pPr>
        <w:spacing w:after="80"/>
      </w:pPr>
      <w:r>
        <w:rPr>
          <w:rFonts w:ascii="Arial" w:hAnsi="Arial"/>
          <w:sz w:val="20"/>
        </w:rPr>
        <w:t>This house form is designed to track the current On the Boulevard lease business terms on a general level, while moving variable deal points into a front-end Lease Summary and keeping fixed legal language in the master body.</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Core Variable</w:t>
            </w:r>
          </w:p>
        </w:tc>
        <w:tc>
          <w:tcPr>
            <w:tcW w:type="dxa" w:w="7056"/>
            <w:shd w:fill="B4C6E7" w:val="clear"/>
          </w:tcPr>
          <w:p>
            <w:r/>
            <w:r>
              <w:rPr>
                <w:rFonts w:ascii="Arial" w:hAnsi="Arial"/>
                <w:b/>
                <w:sz w:val="18"/>
              </w:rPr>
              <w:t>House Form Instruction</w:t>
            </w:r>
          </w:p>
        </w:tc>
      </w:tr>
      <w:tr>
        <w:tc>
          <w:tcPr>
            <w:tcW w:type="dxa" w:w="3168"/>
          </w:tcPr>
          <w:p>
            <w:r/>
            <w:r>
              <w:rPr>
                <w:rFonts w:ascii="Arial" w:hAnsi="Arial"/>
                <w:b/>
                <w:sz w:val="18"/>
              </w:rPr>
              <w:t>Landlord</w:t>
            </w:r>
          </w:p>
        </w:tc>
        <w:tc>
          <w:tcPr>
            <w:tcW w:type="dxa" w:w="7056"/>
          </w:tcPr>
          <w:p>
            <w:r/>
            <w:r>
              <w:rPr>
                <w:rFonts w:ascii="Arial" w:hAnsi="Arial"/>
                <w:b w:val="0"/>
                <w:sz w:val="18"/>
              </w:rPr>
              <w:t>[LANDLORD LEGAL NAME]</w:t>
            </w:r>
          </w:p>
        </w:tc>
      </w:tr>
      <w:tr>
        <w:tc>
          <w:tcPr>
            <w:tcW w:type="dxa" w:w="3168"/>
          </w:tcPr>
          <w:p>
            <w:r/>
            <w:r>
              <w:rPr>
                <w:rFonts w:ascii="Arial" w:hAnsi="Arial"/>
                <w:b/>
                <w:sz w:val="18"/>
              </w:rPr>
              <w:t>Tenant</w:t>
            </w:r>
          </w:p>
        </w:tc>
        <w:tc>
          <w:tcPr>
            <w:tcW w:type="dxa" w:w="7056"/>
          </w:tcPr>
          <w:p>
            <w:r/>
            <w:r>
              <w:rPr>
                <w:rFonts w:ascii="Arial" w:hAnsi="Arial"/>
                <w:b w:val="0"/>
                <w:sz w:val="18"/>
              </w:rPr>
              <w:t>[TENANT LEGAL NAME], a [ENTITY TYPE/STATE]</w:t>
            </w:r>
          </w:p>
        </w:tc>
      </w:tr>
      <w:tr>
        <w:tc>
          <w:tcPr>
            <w:tcW w:type="dxa" w:w="3168"/>
          </w:tcPr>
          <w:p>
            <w:r/>
            <w:r>
              <w:rPr>
                <w:rFonts w:ascii="Arial" w:hAnsi="Arial"/>
                <w:b/>
                <w:sz w:val="18"/>
              </w:rPr>
              <w:t>Shopping Center</w:t>
            </w:r>
          </w:p>
        </w:tc>
        <w:tc>
          <w:tcPr>
            <w:tcW w:type="dxa" w:w="7056"/>
          </w:tcPr>
          <w:p>
            <w:r/>
            <w:r>
              <w:rPr>
                <w:rFonts w:ascii="Arial" w:hAnsi="Arial"/>
                <w:b w:val="0"/>
                <w:sz w:val="18"/>
              </w:rPr>
              <w:t>On the Boulevard Shopping Center | 101-149 Arnould Blvd., Lafayette, LA 70506</w:t>
            </w:r>
          </w:p>
        </w:tc>
      </w:tr>
      <w:tr>
        <w:tc>
          <w:tcPr>
            <w:tcW w:type="dxa" w:w="3168"/>
          </w:tcPr>
          <w:p>
            <w:r/>
            <w:r>
              <w:rPr>
                <w:rFonts w:ascii="Arial" w:hAnsi="Arial"/>
                <w:b/>
                <w:sz w:val="18"/>
              </w:rPr>
              <w:t>Premises</w:t>
            </w:r>
          </w:p>
        </w:tc>
        <w:tc>
          <w:tcPr>
            <w:tcW w:type="dxa" w:w="7056"/>
          </w:tcPr>
          <w:p>
            <w:r/>
            <w:r>
              <w:rPr>
                <w:rFonts w:ascii="Arial" w:hAnsi="Arial"/>
                <w:b w:val="0"/>
                <w:sz w:val="18"/>
              </w:rPr>
              <w:t>[SUITE NUMBER], [PREMISES ADDRESS], containing [RSF] RSF</w:t>
            </w:r>
          </w:p>
        </w:tc>
      </w:tr>
      <w:tr>
        <w:tc>
          <w:tcPr>
            <w:tcW w:type="dxa" w:w="3168"/>
          </w:tcPr>
          <w:p>
            <w:r/>
            <w:r>
              <w:rPr>
                <w:rFonts w:ascii="Arial" w:hAnsi="Arial"/>
                <w:b/>
                <w:sz w:val="18"/>
              </w:rPr>
              <w:t>Permitted Use</w:t>
            </w:r>
          </w:p>
        </w:tc>
        <w:tc>
          <w:tcPr>
            <w:tcW w:type="dxa" w:w="7056"/>
          </w:tcPr>
          <w:p>
            <w:r/>
            <w:r>
              <w:rPr>
                <w:rFonts w:ascii="Arial" w:hAnsi="Arial"/>
                <w:b w:val="0"/>
                <w:sz w:val="18"/>
              </w:rPr>
              <w:t>[PERMITTED USE]</w:t>
            </w:r>
          </w:p>
        </w:tc>
      </w:tr>
      <w:tr>
        <w:tc>
          <w:tcPr>
            <w:tcW w:type="dxa" w:w="3168"/>
          </w:tcPr>
          <w:p>
            <w:r/>
            <w:r>
              <w:rPr>
                <w:rFonts w:ascii="Arial" w:hAnsi="Arial"/>
                <w:b/>
                <w:sz w:val="18"/>
              </w:rPr>
              <w:t>Summary Controls</w:t>
            </w:r>
          </w:p>
        </w:tc>
        <w:tc>
          <w:tcPr>
            <w:tcW w:type="dxa" w:w="7056"/>
          </w:tcPr>
          <w:p>
            <w:r/>
            <w:r>
              <w:rPr>
                <w:rFonts w:ascii="Arial" w:hAnsi="Arial"/>
                <w:b w:val="0"/>
                <w:sz w:val="18"/>
              </w:rPr>
              <w:t>Signed Lease Summary controls variable deal terms; body controls fixed legal terms</w:t>
            </w:r>
          </w:p>
        </w:tc>
      </w:tr>
    </w:tbl>
    <w:p>
      <w:pPr>
        <w:pStyle w:val="Heading1"/>
        <w:spacing w:after="80"/>
      </w:pPr>
      <w:r>
        <w:t>Article 1. Basic Lease Structure</w:t>
      </w:r>
    </w:p>
    <w:p>
      <w:pPr>
        <w:spacing w:after="80"/>
      </w:pPr>
      <w:r>
        <w:rPr>
          <w:rFonts w:ascii="Arial" w:hAnsi="Arial"/>
          <w:b/>
          <w:sz w:val="20"/>
        </w:rPr>
        <w:t xml:space="preserve">Current OTB Anchor: </w:t>
      </w:r>
      <w:r>
        <w:rPr>
          <w:rFonts w:ascii="Arial" w:hAnsi="Arial"/>
          <w:sz w:val="20"/>
        </w:rPr>
        <w:t>Current OTB Sections 1.01, 3.01, 4.01, 21.01</w:t>
      </w:r>
    </w:p>
    <w:p>
      <w:pPr>
        <w:spacing w:after="80"/>
      </w:pPr>
      <w:r>
        <w:rPr>
          <w:rFonts w:ascii="Arial" w:hAnsi="Arial"/>
          <w:sz w:val="20"/>
        </w:rPr>
        <w:t>This Lease is intended to be used with a completed Lease Summary. If there is a conflict, the signed Lease Summary controls the variable business terms and the body of this Lease controls the fixed legal terms.</w:t>
      </w:r>
    </w:p>
    <w:p>
      <w:pPr>
        <w:spacing w:after="80"/>
      </w:pPr>
      <w:r>
        <w:rPr>
          <w:rFonts w:ascii="Arial" w:hAnsi="Arial"/>
          <w:sz w:val="20"/>
        </w:rPr>
        <w:t>Landlord: [LANDLORD LEGAL NAME]. Tenant: [TENANT LEGAL NAME], a [ENTITY TYPE/STATE]. Premises: [SUITE NUMBER], [PREMISES ADDRESS], containing [RSF] rentable square feet within the Shopping Center.</w:t>
      </w:r>
    </w:p>
    <w:p>
      <w:pPr>
        <w:spacing w:after="80"/>
      </w:pPr>
      <w:r>
        <w:rPr>
          <w:rFonts w:ascii="Arial" w:hAnsi="Arial"/>
          <w:sz w:val="20"/>
        </w:rPr>
        <w:t>Effective Date, Possession Date, Commencement Date, Rent Commencement Date, Expiration Date, and any Outside Opening Date shall be stated in the Lease Summary and, if applicable, confirmed later by Commencement Date Memorandum.</w:t>
      </w:r>
    </w:p>
    <w:p>
      <w:pPr>
        <w:pStyle w:val="Heading1"/>
        <w:spacing w:after="80"/>
      </w:pPr>
      <w:r>
        <w:t>Article 2. Premises; As-Is Acceptance</w:t>
      </w:r>
    </w:p>
    <w:p>
      <w:pPr>
        <w:spacing w:after="80"/>
      </w:pPr>
      <w:r>
        <w:rPr>
          <w:rFonts w:ascii="Arial" w:hAnsi="Arial"/>
          <w:b/>
          <w:sz w:val="20"/>
        </w:rPr>
        <w:t xml:space="preserve">Current OTB Anchor: </w:t>
      </w:r>
      <w:r>
        <w:rPr>
          <w:rFonts w:ascii="Arial" w:hAnsi="Arial"/>
          <w:sz w:val="20"/>
        </w:rPr>
        <w:t>Current OTB Section 1.01(B)-(C)</w:t>
      </w:r>
    </w:p>
    <w:p>
      <w:pPr>
        <w:spacing w:after="80"/>
      </w:pPr>
      <w:r>
        <w:rPr>
          <w:rFonts w:ascii="Arial" w:hAnsi="Arial"/>
          <w:sz w:val="20"/>
        </w:rPr>
        <w:t>Tenant acknowledges inspection of the Premises and accepts the Premises in its then-existing condition, AS IS and WITH ALL FAULTS, except for any express obligations of Landlord stated in the Lease Summary or Work Letter.</w:t>
      </w:r>
    </w:p>
    <w:p>
      <w:pPr>
        <w:spacing w:after="80"/>
      </w:pPr>
      <w:r>
        <w:rPr>
          <w:rFonts w:ascii="Arial" w:hAnsi="Arial"/>
          <w:sz w:val="20"/>
        </w:rPr>
        <w:t>Landlord makes no representation regarding suitability for Tenant's business beyond express written terms of this Lease.</w:t>
      </w:r>
    </w:p>
    <w:p>
      <w:pPr>
        <w:pStyle w:val="Heading1"/>
        <w:spacing w:after="80"/>
      </w:pPr>
      <w:r>
        <w:t>Article 3. Permitted Use; Prohibited Uses; Shopping Center Controls</w:t>
      </w:r>
    </w:p>
    <w:p>
      <w:pPr>
        <w:spacing w:after="80"/>
      </w:pPr>
      <w:r>
        <w:rPr>
          <w:rFonts w:ascii="Arial" w:hAnsi="Arial"/>
          <w:b/>
          <w:sz w:val="20"/>
        </w:rPr>
        <w:t xml:space="preserve">Current OTB Anchor: </w:t>
      </w:r>
      <w:r>
        <w:rPr>
          <w:rFonts w:ascii="Arial" w:hAnsi="Arial"/>
          <w:sz w:val="20"/>
        </w:rPr>
        <w:t>Current OTB Sections 2.01 and 7.01</w:t>
      </w:r>
    </w:p>
    <w:p>
      <w:pPr>
        <w:spacing w:after="80"/>
      </w:pPr>
      <w:r>
        <w:rPr>
          <w:rFonts w:ascii="Arial" w:hAnsi="Arial"/>
          <w:sz w:val="20"/>
        </w:rPr>
        <w:t>Tenant may use the Premises only for the Permitted Use stated in the Lease Summary and for no other use without Landlord's prior written consent.</w:t>
      </w:r>
    </w:p>
    <w:p>
      <w:pPr>
        <w:spacing w:after="80"/>
      </w:pPr>
      <w:r>
        <w:rPr>
          <w:rFonts w:ascii="Arial" w:hAnsi="Arial"/>
          <w:sz w:val="20"/>
        </w:rPr>
        <w:t>Unless expressly changed in the Lease Summary or an approved addendum, the house-form prohibited use controls must preserve current OTB restrictions, including no Jason's-Deli-type delicatessen use, no cat-focused veterinary clinic, and no boutique primarily selling home goods, monogrammed or personalized items, candles, decor, drinkware, or jewelry where restricted by existing center commitments.</w:t>
      </w:r>
    </w:p>
    <w:p>
      <w:pPr>
        <w:spacing w:after="80"/>
      </w:pPr>
      <w:r>
        <w:rPr>
          <w:rFonts w:ascii="Arial" w:hAnsi="Arial"/>
          <w:sz w:val="20"/>
        </w:rPr>
        <w:t>Tenant shall not create a nuisance, violate Laws, increase Landlord insurance premiums by its use, or conduct any use conflicting with another tenant's contractual exclusive rights.</w:t>
      </w:r>
    </w:p>
    <w:p>
      <w:pPr>
        <w:pStyle w:val="Heading1"/>
        <w:spacing w:after="80"/>
      </w:pPr>
      <w:r>
        <w:t>Article 4. Term; Delivery; Opening; Continuous Operations</w:t>
      </w:r>
    </w:p>
    <w:p>
      <w:pPr>
        <w:spacing w:after="80"/>
      </w:pPr>
      <w:r>
        <w:rPr>
          <w:rFonts w:ascii="Arial" w:hAnsi="Arial"/>
          <w:b/>
          <w:sz w:val="20"/>
        </w:rPr>
        <w:t xml:space="preserve">Current OTB Anchor: </w:t>
      </w:r>
      <w:r>
        <w:rPr>
          <w:rFonts w:ascii="Arial" w:hAnsi="Arial"/>
          <w:sz w:val="20"/>
        </w:rPr>
        <w:t>Current OTB Section 3.01 and Schedule C</w:t>
      </w:r>
    </w:p>
    <w:p>
      <w:pPr>
        <w:spacing w:after="80"/>
      </w:pPr>
      <w:r>
        <w:rPr>
          <w:rFonts w:ascii="Arial" w:hAnsi="Arial"/>
          <w:sz w:val="20"/>
        </w:rPr>
        <w:t>The Term begins on the Commencement Date and expires on the Expiration Date shown in the Lease Summary, subject to any approved extension or renewal.</w:t>
      </w:r>
    </w:p>
    <w:p>
      <w:pPr>
        <w:spacing w:after="80"/>
      </w:pPr>
      <w:r>
        <w:rPr>
          <w:rFonts w:ascii="Arial" w:hAnsi="Arial"/>
          <w:sz w:val="20"/>
        </w:rPr>
        <w:t>Tenant shall open for business by the Outside Opening Date, if any, and thereafter continuously operate in accordance with this Lease, the Rules and Regulations, and any Operating Hours Schedule.</w:t>
      </w:r>
    </w:p>
    <w:p>
      <w:pPr>
        <w:spacing w:after="80"/>
      </w:pPr>
      <w:r>
        <w:rPr>
          <w:rFonts w:ascii="Arial" w:hAnsi="Arial"/>
          <w:sz w:val="20"/>
        </w:rPr>
        <w:t>Unless a written waiver is signed, house-form operating hours must preserve the current OTB standard of at least Monday through Friday, 10:00 a.m. to 5:00 p.m., with no required opening on stated holidays in the Rules and Regulations.</w:t>
      </w:r>
    </w:p>
    <w:p>
      <w:pPr>
        <w:pStyle w:val="Heading1"/>
        <w:spacing w:after="80"/>
      </w:pPr>
      <w:r>
        <w:t>Article 5. Base Rent; Additional Rent; Payment Mechanics</w:t>
      </w:r>
    </w:p>
    <w:p>
      <w:pPr>
        <w:spacing w:after="80"/>
      </w:pPr>
      <w:r>
        <w:rPr>
          <w:rFonts w:ascii="Arial" w:hAnsi="Arial"/>
          <w:b/>
          <w:sz w:val="20"/>
        </w:rPr>
        <w:t xml:space="preserve">Current OTB Anchor: </w:t>
      </w:r>
      <w:r>
        <w:rPr>
          <w:rFonts w:ascii="Arial" w:hAnsi="Arial"/>
          <w:sz w:val="20"/>
        </w:rPr>
        <w:t>Current OTB Section 4.01 and Schedule G</w:t>
      </w:r>
    </w:p>
    <w:p>
      <w:pPr>
        <w:spacing w:after="80"/>
      </w:pPr>
      <w:r>
        <w:rPr>
          <w:rFonts w:ascii="Arial" w:hAnsi="Arial"/>
          <w:sz w:val="20"/>
        </w:rPr>
        <w:t>Tenant shall pay Base Rent and Additional Rent in the amounts and at the times set forth in the Lease Summary and Rent Schedule. The system must be able to generate abatement months, partial-abatement months, and stepped rent periods.</w:t>
      </w:r>
    </w:p>
    <w:p>
      <w:pPr>
        <w:spacing w:after="80"/>
      </w:pPr>
      <w:r>
        <w:rPr>
          <w:rFonts w:ascii="Arial" w:hAnsi="Arial"/>
          <w:sz w:val="20"/>
        </w:rPr>
        <w:t>Unless Landlord directs otherwise, all amounts are due on the first day of each month without offset or deduction. Landlord may require ACH, wire, portal payment, or other automated payment method at any time.</w:t>
      </w:r>
    </w:p>
    <w:p>
      <w:pPr>
        <w:spacing w:after="80"/>
      </w:pPr>
      <w:r>
        <w:rPr>
          <w:rFonts w:ascii="Arial" w:hAnsi="Arial"/>
          <w:sz w:val="20"/>
        </w:rPr>
        <w:t>The current OTB late-charge rule remains the house default unless specifically revised by approved deviation: if the Total Monthly Rental Payment is not received by the fifth day of the month, Tenant owes a fixed late fee of $100.00 plus $25.00 per day beginning on the sixth day of that month.</w:t>
      </w:r>
    </w:p>
    <w:p>
      <w:pPr>
        <w:pStyle w:val="Heading1"/>
        <w:spacing w:after="80"/>
      </w:pPr>
      <w:r>
        <w:t>Article 6. Common Area Maintenance; Taxes; Insurance Charges</w:t>
      </w:r>
    </w:p>
    <w:p>
      <w:pPr>
        <w:spacing w:after="80"/>
      </w:pPr>
      <w:r>
        <w:rPr>
          <w:rFonts w:ascii="Arial" w:hAnsi="Arial"/>
          <w:b/>
          <w:sz w:val="20"/>
        </w:rPr>
        <w:t xml:space="preserve">Current OTB Anchor: </w:t>
      </w:r>
      <w:r>
        <w:rPr>
          <w:rFonts w:ascii="Arial" w:hAnsi="Arial"/>
          <w:sz w:val="20"/>
        </w:rPr>
        <w:t>Current OTB Sections 4.01(B), 5.01, 6.01</w:t>
      </w:r>
    </w:p>
    <w:p>
      <w:pPr>
        <w:spacing w:after="80"/>
      </w:pPr>
      <w:r>
        <w:rPr>
          <w:rFonts w:ascii="Arial" w:hAnsi="Arial"/>
          <w:sz w:val="20"/>
        </w:rPr>
        <w:t>Tenant shall pay its Pro Rata Share of Common Area Maintenance Charges, Taxes, and Insurance Charges, whether billed as fixed estimates, schedule amounts, or reconciled actuals, as stated in the Lease Summary.</w:t>
      </w:r>
    </w:p>
    <w:p>
      <w:pPr>
        <w:spacing w:after="80"/>
      </w:pPr>
      <w:r>
        <w:rPr>
          <w:rFonts w:ascii="Arial" w:hAnsi="Arial"/>
          <w:sz w:val="20"/>
        </w:rPr>
        <w:t>The current OTB house rule preserves a five percent (5%) annual cap on increases to Common Area Maintenance Charges and/or Taxes and Insurance Charges over the prior calendar year actual amounts, unless an approved deviation is entered for a specific transaction.</w:t>
      </w:r>
    </w:p>
    <w:p>
      <w:pPr>
        <w:spacing w:after="80"/>
      </w:pPr>
      <w:r>
        <w:rPr>
          <w:rFonts w:ascii="Arial" w:hAnsi="Arial"/>
          <w:sz w:val="20"/>
        </w:rPr>
        <w:t>Tenant remains separately responsible for taxes on Tenant personal property, equipment, fixtures, and inventory.</w:t>
      </w:r>
    </w:p>
    <w:p>
      <w:pPr>
        <w:pStyle w:val="Heading1"/>
        <w:spacing w:after="80"/>
      </w:pPr>
      <w:r>
        <w:t>Article 7. Assignment; Subletting; Transfers</w:t>
      </w:r>
    </w:p>
    <w:p>
      <w:pPr>
        <w:spacing w:after="80"/>
      </w:pPr>
      <w:r>
        <w:rPr>
          <w:rFonts w:ascii="Arial" w:hAnsi="Arial"/>
          <w:b/>
          <w:sz w:val="20"/>
        </w:rPr>
        <w:t xml:space="preserve">Current OTB Anchor: </w:t>
      </w:r>
      <w:r>
        <w:rPr>
          <w:rFonts w:ascii="Arial" w:hAnsi="Arial"/>
          <w:sz w:val="20"/>
        </w:rPr>
        <w:t>Current OTB Section 8.01</w:t>
      </w:r>
    </w:p>
    <w:p>
      <w:pPr>
        <w:spacing w:after="80"/>
      </w:pPr>
      <w:r>
        <w:rPr>
          <w:rFonts w:ascii="Arial" w:hAnsi="Arial"/>
          <w:sz w:val="20"/>
        </w:rPr>
        <w:t>Tenant shall not assign this Lease, sublease any portion of the Premises, mortgage its interest, or permit a transfer of control without Landlord's prior written consent, which may be granted or withheld in Landlord's discretion as allowed by applicable law and center lease constraints.</w:t>
      </w:r>
    </w:p>
    <w:p>
      <w:pPr>
        <w:spacing w:after="80"/>
      </w:pPr>
      <w:r>
        <w:rPr>
          <w:rFonts w:ascii="Arial" w:hAnsi="Arial"/>
          <w:sz w:val="20"/>
        </w:rPr>
        <w:t>Any consent does not release Tenant or any guarantor unless Landlord signs an express written release.</w:t>
      </w:r>
    </w:p>
    <w:p>
      <w:pPr>
        <w:pStyle w:val="Heading1"/>
        <w:spacing w:after="80"/>
      </w:pPr>
      <w:r>
        <w:t>Article 8. Maintenance; Repairs; HVAC</w:t>
      </w:r>
    </w:p>
    <w:p>
      <w:pPr>
        <w:spacing w:after="80"/>
      </w:pPr>
      <w:r>
        <w:rPr>
          <w:rFonts w:ascii="Arial" w:hAnsi="Arial"/>
          <w:b/>
          <w:sz w:val="20"/>
        </w:rPr>
        <w:t xml:space="preserve">Current OTB Anchor: </w:t>
      </w:r>
      <w:r>
        <w:rPr>
          <w:rFonts w:ascii="Arial" w:hAnsi="Arial"/>
          <w:sz w:val="20"/>
        </w:rPr>
        <w:t>Current OTB Section 9.01</w:t>
      </w:r>
    </w:p>
    <w:p>
      <w:pPr>
        <w:spacing w:after="80"/>
      </w:pPr>
      <w:r>
        <w:rPr>
          <w:rFonts w:ascii="Arial" w:hAnsi="Arial"/>
          <w:sz w:val="20"/>
        </w:rPr>
        <w:t>Tenant shall maintain the interior of the Premises and all non-structural systems serving only the Premises in good order, clean condition, and legal compliance.</w:t>
      </w:r>
    </w:p>
    <w:p>
      <w:pPr>
        <w:spacing w:after="80"/>
      </w:pPr>
      <w:r>
        <w:rPr>
          <w:rFonts w:ascii="Arial" w:hAnsi="Arial"/>
          <w:sz w:val="20"/>
        </w:rPr>
        <w:t>Landlord shall maintain roof, exterior walls, structural foundation, and in-slab plumbing/electrical, except to the extent damage is caused by Tenant.</w:t>
      </w:r>
    </w:p>
    <w:p>
      <w:pPr>
        <w:spacing w:after="80"/>
      </w:pPr>
      <w:r>
        <w:rPr>
          <w:rFonts w:ascii="Arial" w:hAnsi="Arial"/>
          <w:sz w:val="20"/>
        </w:rPr>
        <w:t>The current OTB HVAC deal terms are preserved as default business terms: Tenant pays the first $1,500.00 of each repair visit, pays fifty percent (50%) of replacement cost, maintains a monthly HVAC contract with Butcher Air Conditioning or another Landlord-approved provider, and receives credit for a qualifying preceding repair visit if replacement occurs within fifteen (15) days after that repair visit.</w:t>
      </w:r>
    </w:p>
    <w:p>
      <w:pPr>
        <w:pStyle w:val="Heading1"/>
        <w:spacing w:after="80"/>
      </w:pPr>
      <w:r>
        <w:t>Article 9. Alterations; Liens; Ownership of Improvements</w:t>
      </w:r>
    </w:p>
    <w:p>
      <w:pPr>
        <w:spacing w:after="80"/>
      </w:pPr>
      <w:r>
        <w:rPr>
          <w:rFonts w:ascii="Arial" w:hAnsi="Arial"/>
          <w:b/>
          <w:sz w:val="20"/>
        </w:rPr>
        <w:t xml:space="preserve">Current OTB Anchor: </w:t>
      </w:r>
      <w:r>
        <w:rPr>
          <w:rFonts w:ascii="Arial" w:hAnsi="Arial"/>
          <w:sz w:val="20"/>
        </w:rPr>
        <w:t>Current OTB Section 10.01</w:t>
      </w:r>
    </w:p>
    <w:p>
      <w:pPr>
        <w:spacing w:after="80"/>
      </w:pPr>
      <w:r>
        <w:rPr>
          <w:rFonts w:ascii="Arial" w:hAnsi="Arial"/>
          <w:sz w:val="20"/>
        </w:rPr>
        <w:t>Tenant shall not make additions, improvements, or alterations without Landlord's prior written consent if consent is required by the Lease Summary or construction rules.</w:t>
      </w:r>
    </w:p>
    <w:p>
      <w:pPr>
        <w:spacing w:after="80"/>
      </w:pPr>
      <w:r>
        <w:rPr>
          <w:rFonts w:ascii="Arial" w:hAnsi="Arial"/>
          <w:sz w:val="20"/>
        </w:rPr>
        <w:t>Tenant shall keep the Premises free of liens, use licensed and insured contractors, obtain required permits, and repair damage caused by work or removal.</w:t>
      </w:r>
    </w:p>
    <w:p>
      <w:pPr>
        <w:spacing w:after="80"/>
      </w:pPr>
      <w:r>
        <w:rPr>
          <w:rFonts w:ascii="Arial" w:hAnsi="Arial"/>
          <w:sz w:val="20"/>
        </w:rPr>
        <w:t>Unless Landlord requires removal, approved improvements become Landlord property at expiration, excluding Tenant's removable trade fixtures and movable equipment.</w:t>
      </w:r>
    </w:p>
    <w:p>
      <w:pPr>
        <w:pStyle w:val="Heading1"/>
        <w:spacing w:after="80"/>
      </w:pPr>
      <w:r>
        <w:t>Article 10. Utilities; Janitorial; Transfer of Service</w:t>
      </w:r>
    </w:p>
    <w:p>
      <w:pPr>
        <w:spacing w:after="80"/>
      </w:pPr>
      <w:r>
        <w:rPr>
          <w:rFonts w:ascii="Arial" w:hAnsi="Arial"/>
          <w:b/>
          <w:sz w:val="20"/>
        </w:rPr>
        <w:t xml:space="preserve">Current OTB Anchor: </w:t>
      </w:r>
      <w:r>
        <w:rPr>
          <w:rFonts w:ascii="Arial" w:hAnsi="Arial"/>
          <w:sz w:val="20"/>
        </w:rPr>
        <w:t>Current OTB Section 11.01</w:t>
      </w:r>
    </w:p>
    <w:p>
      <w:pPr>
        <w:spacing w:after="80"/>
      </w:pPr>
      <w:r>
        <w:rPr>
          <w:rFonts w:ascii="Arial" w:hAnsi="Arial"/>
          <w:sz w:val="20"/>
        </w:rPr>
        <w:t>Tenant shall pay all utilities and service charges serving the Premises, including electricity, gas, water, trash, telecommunications, and janitorial costs.</w:t>
      </w:r>
    </w:p>
    <w:p>
      <w:pPr>
        <w:spacing w:after="80"/>
      </w:pPr>
      <w:r>
        <w:rPr>
          <w:rFonts w:ascii="Arial" w:hAnsi="Arial"/>
          <w:sz w:val="20"/>
        </w:rPr>
        <w:t>Tenant shall immediately transfer electric service into Tenant's name at commencement. If Landlord pays any utility on Tenant's behalf, Tenant must reimburse the charge plus the current OTB administrative fee of $100.00 per payment.</w:t>
      </w:r>
    </w:p>
    <w:p>
      <w:pPr>
        <w:spacing w:after="80"/>
      </w:pPr>
      <w:r>
        <w:rPr>
          <w:rFonts w:ascii="Arial" w:hAnsi="Arial"/>
          <w:sz w:val="20"/>
        </w:rPr>
        <w:t>Tenant shall not disconnect utilities before surrender without reasonable written notice and cooperation with Landlord transfer procedures.</w:t>
      </w:r>
    </w:p>
    <w:p>
      <w:pPr>
        <w:pStyle w:val="Heading1"/>
        <w:spacing w:after="80"/>
      </w:pPr>
      <w:r>
        <w:t>Article 11. Signs; Storefront Standards; Monument Rights</w:t>
      </w:r>
    </w:p>
    <w:p>
      <w:pPr>
        <w:spacing w:after="80"/>
      </w:pPr>
      <w:r>
        <w:rPr>
          <w:rFonts w:ascii="Arial" w:hAnsi="Arial"/>
          <w:b/>
          <w:sz w:val="20"/>
        </w:rPr>
        <w:t xml:space="preserve">Current OTB Anchor: </w:t>
      </w:r>
      <w:r>
        <w:rPr>
          <w:rFonts w:ascii="Arial" w:hAnsi="Arial"/>
          <w:sz w:val="20"/>
        </w:rPr>
        <w:t>Current OTB Section 12.01 and Schedules C-D</w:t>
      </w:r>
    </w:p>
    <w:p>
      <w:pPr>
        <w:spacing w:after="80"/>
      </w:pPr>
      <w:r>
        <w:rPr>
          <w:rFonts w:ascii="Arial" w:hAnsi="Arial"/>
          <w:sz w:val="20"/>
        </w:rPr>
        <w:t>All signage requires Landlord approval and must comply with Rules and Regulations, design criteria, and any sign rights listed in the Lease Summary.</w:t>
      </w:r>
    </w:p>
    <w:p>
      <w:pPr>
        <w:spacing w:after="80"/>
      </w:pPr>
      <w:r>
        <w:rPr>
          <w:rFonts w:ascii="Arial" w:hAnsi="Arial"/>
          <w:sz w:val="20"/>
        </w:rPr>
        <w:t>The current OTB storefront standard remains the house default: exterior storefront signs must be manufactured by Universal Sign Company, walkway signs by Hubbard Sign Company, letters may not exceed 26 inches in height, total lettering length may not exceed 80% of storefront width, signs must be at least 2 feet from each corner, illuminated signs must remain lit from dusk until midnight, and no flashing, moving, audible, paper, or freestanding signs are allowed unless Landlord expressly approves otherwise.</w:t>
      </w:r>
    </w:p>
    <w:p>
      <w:pPr>
        <w:pStyle w:val="Heading1"/>
        <w:spacing w:after="80"/>
      </w:pPr>
      <w:r>
        <w:t>Article 12. Access; Common Areas; Parking</w:t>
      </w:r>
    </w:p>
    <w:p>
      <w:pPr>
        <w:spacing w:after="80"/>
      </w:pPr>
      <w:r>
        <w:rPr>
          <w:rFonts w:ascii="Arial" w:hAnsi="Arial"/>
          <w:b/>
          <w:sz w:val="20"/>
        </w:rPr>
        <w:t xml:space="preserve">Current OTB Anchor: </w:t>
      </w:r>
      <w:r>
        <w:rPr>
          <w:rFonts w:ascii="Arial" w:hAnsi="Arial"/>
          <w:sz w:val="20"/>
        </w:rPr>
        <w:t>Current OTB Sections 13.01 and 22.01</w:t>
      </w:r>
    </w:p>
    <w:p>
      <w:pPr>
        <w:spacing w:after="80"/>
      </w:pPr>
      <w:r>
        <w:rPr>
          <w:rFonts w:ascii="Arial" w:hAnsi="Arial"/>
          <w:sz w:val="20"/>
        </w:rPr>
        <w:t>Landlord may enter the Premises on at least 12 hours' prior notice during business hours and at other reasonable times for inspection, repair, showing, compliance checks, and common area work, except in emergencies where no prior notice is required.</w:t>
      </w:r>
    </w:p>
    <w:p>
      <w:pPr>
        <w:spacing w:after="80"/>
      </w:pPr>
      <w:r>
        <w:rPr>
          <w:rFonts w:ascii="Arial" w:hAnsi="Arial"/>
          <w:sz w:val="20"/>
        </w:rPr>
        <w:t>Landlord retains sole control of the Common Areas, may change traffic flow, parking, landscaping, or access, and may temporarily close portions for repair, events, or management purposes.</w:t>
      </w:r>
    </w:p>
    <w:p>
      <w:pPr>
        <w:pStyle w:val="Heading1"/>
        <w:spacing w:after="80"/>
      </w:pPr>
      <w:r>
        <w:t>Article 13. Indemnity; Hazardous Materials; Insurance; Waiver of Subrogation</w:t>
      </w:r>
    </w:p>
    <w:p>
      <w:pPr>
        <w:spacing w:after="80"/>
      </w:pPr>
      <w:r>
        <w:rPr>
          <w:rFonts w:ascii="Arial" w:hAnsi="Arial"/>
          <w:b/>
          <w:sz w:val="20"/>
        </w:rPr>
        <w:t xml:space="preserve">Current OTB Anchor: </w:t>
      </w:r>
      <w:r>
        <w:rPr>
          <w:rFonts w:ascii="Arial" w:hAnsi="Arial"/>
          <w:sz w:val="20"/>
        </w:rPr>
        <w:t>Current OTB Sections 14.01, 14.02, 15.01, 16.01</w:t>
      </w:r>
    </w:p>
    <w:p>
      <w:pPr>
        <w:spacing w:after="80"/>
      </w:pPr>
      <w:r>
        <w:rPr>
          <w:rFonts w:ascii="Arial" w:hAnsi="Arial"/>
          <w:sz w:val="20"/>
        </w:rPr>
        <w:t>Tenant shall indemnify, defend, and hold Landlord harmless from claims arising in or about the Premises or from Tenant's use, occupancy, work, employees, agents, customers, guests, or invitees, except to the extent caused by Landlord's gross negligence or willful misconduct.</w:t>
      </w:r>
    </w:p>
    <w:p>
      <w:pPr>
        <w:spacing w:after="80"/>
      </w:pPr>
      <w:r>
        <w:rPr>
          <w:rFonts w:ascii="Arial" w:hAnsi="Arial"/>
          <w:sz w:val="20"/>
        </w:rPr>
        <w:t>Tenant shall not use or bring Hazardous Substances onto the Premises except in lawful de minimis amounts customary for the Permitted Use and must promptly remediate any Tenant-caused contamination.</w:t>
      </w:r>
    </w:p>
    <w:p>
      <w:pPr>
        <w:spacing w:after="80"/>
      </w:pPr>
      <w:r>
        <w:rPr>
          <w:rFonts w:ascii="Arial" w:hAnsi="Arial"/>
          <w:sz w:val="20"/>
        </w:rPr>
        <w:t>Tenant must maintain insurance stated in the Lease Summary and Exhibit G, including Landlord as additional insured on a primary and non-contributory basis, plus 30-day cancellation notice if available by endorsement. Landlord and Tenant waive subrogation rights to the extent covered by insurance.</w:t>
      </w:r>
    </w:p>
    <w:p>
      <w:pPr>
        <w:pStyle w:val="Heading1"/>
        <w:spacing w:after="80"/>
      </w:pPr>
      <w:r>
        <w:t>Article 14. Casualty; Condemnation; Rent Abatement</w:t>
      </w:r>
    </w:p>
    <w:p>
      <w:pPr>
        <w:spacing w:after="80"/>
      </w:pPr>
      <w:r>
        <w:rPr>
          <w:rFonts w:ascii="Arial" w:hAnsi="Arial"/>
          <w:b/>
          <w:sz w:val="20"/>
        </w:rPr>
        <w:t xml:space="preserve">Current OTB Anchor: </w:t>
      </w:r>
      <w:r>
        <w:rPr>
          <w:rFonts w:ascii="Arial" w:hAnsi="Arial"/>
          <w:sz w:val="20"/>
        </w:rPr>
        <w:t>Current OTB Section 17.01</w:t>
      </w:r>
    </w:p>
    <w:p>
      <w:pPr>
        <w:spacing w:after="80"/>
      </w:pPr>
      <w:r>
        <w:rPr>
          <w:rFonts w:ascii="Arial" w:hAnsi="Arial"/>
          <w:sz w:val="20"/>
        </w:rPr>
        <w:t>If casualty renders the Premises unusable, Landlord may terminate if restoration is not commercially practical or not timely completed. If the Premises is partially usable, rent abates proportionately during the period full use is not possible, subject to the current OTB casualty framework.</w:t>
      </w:r>
    </w:p>
    <w:p>
      <w:pPr>
        <w:spacing w:after="80"/>
      </w:pPr>
      <w:r>
        <w:rPr>
          <w:rFonts w:ascii="Arial" w:hAnsi="Arial"/>
          <w:sz w:val="20"/>
        </w:rPr>
        <w:t>If damage is caused by Tenant, Tenant remains responsible to the extent not covered by Landlord insurance.</w:t>
      </w:r>
    </w:p>
    <w:p>
      <w:pPr>
        <w:pStyle w:val="Heading1"/>
        <w:spacing w:after="80"/>
      </w:pPr>
      <w:r>
        <w:t>Article 15. Defaults; Remedies; Attorneys' Fees</w:t>
      </w:r>
    </w:p>
    <w:p>
      <w:pPr>
        <w:spacing w:after="80"/>
      </w:pPr>
      <w:r>
        <w:rPr>
          <w:rFonts w:ascii="Arial" w:hAnsi="Arial"/>
          <w:b/>
          <w:sz w:val="20"/>
        </w:rPr>
        <w:t xml:space="preserve">Current OTB Anchor: </w:t>
      </w:r>
      <w:r>
        <w:rPr>
          <w:rFonts w:ascii="Arial" w:hAnsi="Arial"/>
          <w:sz w:val="20"/>
        </w:rPr>
        <w:t>Current OTB Sections 18.01, 19.01, 24.01, 30.01</w:t>
      </w:r>
    </w:p>
    <w:p>
      <w:pPr>
        <w:spacing w:after="80"/>
      </w:pPr>
      <w:r>
        <w:rPr>
          <w:rFonts w:ascii="Arial" w:hAnsi="Arial"/>
          <w:sz w:val="20"/>
        </w:rPr>
        <w:t>Events of Tenant default include bankruptcy-type events, failure to pay rent or other sums when due, abandonment, and non-monetary breaches not cured within five (5) days after written notice if a cure period applies.</w:t>
      </w:r>
    </w:p>
    <w:p>
      <w:pPr>
        <w:spacing w:after="80"/>
      </w:pPr>
      <w:r>
        <w:rPr>
          <w:rFonts w:ascii="Arial" w:hAnsi="Arial"/>
          <w:sz w:val="20"/>
        </w:rPr>
        <w:t>Landlord may terminate, recover possession, accelerate or recover damages to the extent permitted by the Lease and Louisiana law, apply deposits, and recover attorneys' fees and costs as provided in the current OTB lease structure.</w:t>
      </w:r>
    </w:p>
    <w:p>
      <w:pPr>
        <w:spacing w:after="80"/>
      </w:pPr>
      <w:r>
        <w:rPr>
          <w:rFonts w:ascii="Arial" w:hAnsi="Arial"/>
          <w:sz w:val="20"/>
        </w:rPr>
        <w:t>Landlord's delay in exercising rights is not a waiver. Lessor default cure remains thirty (30) days after notice, with longer period if cure is diligently commenced and cannot reasonably be completed inside thirty days.</w:t>
      </w:r>
    </w:p>
    <w:p>
      <w:pPr>
        <w:pStyle w:val="Heading1"/>
        <w:spacing w:after="80"/>
      </w:pPr>
      <w:r>
        <w:t>Article 16. Surrender; Holdover; Security Deposit</w:t>
      </w:r>
    </w:p>
    <w:p>
      <w:pPr>
        <w:spacing w:after="80"/>
      </w:pPr>
      <w:r>
        <w:rPr>
          <w:rFonts w:ascii="Arial" w:hAnsi="Arial"/>
          <w:b/>
          <w:sz w:val="20"/>
        </w:rPr>
        <w:t xml:space="preserve">Current OTB Anchor: </w:t>
      </w:r>
      <w:r>
        <w:rPr>
          <w:rFonts w:ascii="Arial" w:hAnsi="Arial"/>
          <w:sz w:val="20"/>
        </w:rPr>
        <w:t>Current OTB Sections 20.01 and 35.01</w:t>
      </w:r>
    </w:p>
    <w:p>
      <w:pPr>
        <w:spacing w:after="80"/>
      </w:pPr>
      <w:r>
        <w:rPr>
          <w:rFonts w:ascii="Arial" w:hAnsi="Arial"/>
          <w:sz w:val="20"/>
        </w:rPr>
        <w:t>At expiration or earlier termination, Tenant shall surrender the Premises in required condition, remove signage and personal property, and repair damage caused by removal.</w:t>
      </w:r>
    </w:p>
    <w:p>
      <w:pPr>
        <w:spacing w:after="80"/>
      </w:pPr>
      <w:r>
        <w:rPr>
          <w:rFonts w:ascii="Arial" w:hAnsi="Arial"/>
          <w:sz w:val="20"/>
        </w:rPr>
        <w:t>If Tenant remains in possession without approved extension or renewal, holdover rent remains two hundred percent (200%) of the monthly rental amount otherwise due under Section 4.01, plus Additional Rent and damages.</w:t>
      </w:r>
    </w:p>
    <w:p>
      <w:pPr>
        <w:spacing w:after="80"/>
      </w:pPr>
      <w:r>
        <w:rPr>
          <w:rFonts w:ascii="Arial" w:hAnsi="Arial"/>
          <w:sz w:val="20"/>
        </w:rPr>
        <w:t>Security Deposit terms remain controlled by the Lease Summary; the current OTB rule that the deposit may not be applied as the last month's rent remains the default house rule.</w:t>
      </w:r>
    </w:p>
    <w:p>
      <w:pPr>
        <w:pStyle w:val="Heading1"/>
        <w:spacing w:after="80"/>
      </w:pPr>
      <w:r>
        <w:t>Article 17. Renewals; Extensions; Recordation; Miscellaneous</w:t>
      </w:r>
    </w:p>
    <w:p>
      <w:pPr>
        <w:spacing w:after="80"/>
      </w:pPr>
      <w:r>
        <w:rPr>
          <w:rFonts w:ascii="Arial" w:hAnsi="Arial"/>
          <w:b/>
          <w:sz w:val="20"/>
        </w:rPr>
        <w:t xml:space="preserve">Current OTB Anchor: </w:t>
      </w:r>
      <w:r>
        <w:rPr>
          <w:rFonts w:ascii="Arial" w:hAnsi="Arial"/>
          <w:sz w:val="20"/>
        </w:rPr>
        <w:t>Current OTB Sections 21.01, 23.01, 25.01, 26.01, 27.01, 31.01, 32.01, 38.01</w:t>
      </w:r>
    </w:p>
    <w:p>
      <w:pPr>
        <w:spacing w:after="80"/>
      </w:pPr>
      <w:r>
        <w:rPr>
          <w:rFonts w:ascii="Arial" w:hAnsi="Arial"/>
          <w:sz w:val="20"/>
        </w:rPr>
        <w:t>Unless otherwise stated in the Lease Summary, Tenant has one option to renew for one additional three-year term, exercisable only if Tenant is not in default, by written notice to Landlord not less than sixty (60) days before expiration. Renewal rent is negotiated unless the Lease Summary supplies a formula.</w:t>
      </w:r>
    </w:p>
    <w:p>
      <w:pPr>
        <w:spacing w:after="80"/>
      </w:pPr>
      <w:r>
        <w:rPr>
          <w:rFonts w:ascii="Arial" w:hAnsi="Arial"/>
          <w:sz w:val="20"/>
        </w:rPr>
        <w:t>This Lease is governed by Louisiana law. Notices must be in writing and delivered by methods stated in the Lease Summary notice block. The Lease itself is not to be recorded, but a memorandum may be recorded if Landlord approves the form.</w:t>
      </w:r>
    </w:p>
    <w:p>
      <w:pPr>
        <w:spacing w:after="80"/>
      </w:pPr>
      <w:r>
        <w:rPr>
          <w:rFonts w:ascii="Arial" w:hAnsi="Arial"/>
          <w:sz w:val="20"/>
        </w:rPr>
        <w:t>Any approved extension should be documented by either a Renewal Option Exercise Notice plus Landlord acknowledgement or by a full Lease Extension Agreement generated from the system.</w:t>
      </w:r>
    </w:p>
    <w:p>
      <w:pPr>
        <w:pStyle w:val="Heading1"/>
        <w:spacing w:after="80"/>
      </w:pPr>
      <w:r>
        <w:t>Exhibit and Schedule Framework</w:t>
      </w:r>
    </w:p>
    <w:p>
      <w:pPr>
        <w:pStyle w:val="ListBullet"/>
      </w:pPr>
      <w:r>
        <w:rPr>
          <w:rFonts w:ascii="Arial" w:hAnsi="Arial"/>
          <w:sz w:val="20"/>
        </w:rPr>
        <w:t>Schedule 1 - Lease Summary and Economic Terms</w:t>
      </w:r>
    </w:p>
    <w:p>
      <w:pPr>
        <w:pStyle w:val="ListBullet"/>
      </w:pPr>
      <w:r>
        <w:rPr>
          <w:rFonts w:ascii="Arial" w:hAnsi="Arial"/>
          <w:sz w:val="20"/>
        </w:rPr>
        <w:t>Schedule 2 - Rent Step Table</w:t>
      </w:r>
    </w:p>
    <w:p>
      <w:pPr>
        <w:pStyle w:val="ListBullet"/>
      </w:pPr>
      <w:r>
        <w:rPr>
          <w:rFonts w:ascii="Arial" w:hAnsi="Arial"/>
          <w:sz w:val="20"/>
        </w:rPr>
        <w:t>Exhibit E - Rules and Regulations</w:t>
      </w:r>
    </w:p>
    <w:p>
      <w:pPr>
        <w:pStyle w:val="ListBullet"/>
      </w:pPr>
      <w:r>
        <w:rPr>
          <w:rFonts w:ascii="Arial" w:hAnsi="Arial"/>
          <w:sz w:val="20"/>
        </w:rPr>
        <w:t>Exhibit F - Signage and Monument Sign Rights</w:t>
      </w:r>
    </w:p>
    <w:p>
      <w:pPr>
        <w:pStyle w:val="ListBullet"/>
      </w:pPr>
      <w:r>
        <w:rPr>
          <w:rFonts w:ascii="Arial" w:hAnsi="Arial"/>
          <w:sz w:val="20"/>
        </w:rPr>
        <w:t>Exhibit G - Insurance Requirements</w:t>
      </w:r>
    </w:p>
    <w:p>
      <w:pPr>
        <w:pStyle w:val="ListBullet"/>
      </w:pPr>
      <w:r>
        <w:rPr>
          <w:rFonts w:ascii="Arial" w:hAnsi="Arial"/>
          <w:sz w:val="20"/>
        </w:rPr>
        <w:t>Exhibit H - Work Letter / TI Exhibit (if applicable)</w:t>
      </w:r>
    </w:p>
    <w:p>
      <w:pPr>
        <w:pStyle w:val="ListBullet"/>
      </w:pPr>
      <w:r>
        <w:rPr>
          <w:rFonts w:ascii="Arial" w:hAnsi="Arial"/>
          <w:sz w:val="20"/>
        </w:rPr>
        <w:t>Exhibit J - Commencement Date Memorandum</w:t>
      </w:r>
    </w:p>
    <w:p>
      <w:pPr>
        <w:pStyle w:val="ListBullet"/>
      </w:pPr>
      <w:r>
        <w:rPr>
          <w:rFonts w:ascii="Arial" w:hAnsi="Arial"/>
          <w:sz w:val="20"/>
        </w:rPr>
        <w:t>Exhibit K - Estoppel Certificate</w:t>
      </w:r>
    </w:p>
    <w:p>
      <w:pPr>
        <w:pStyle w:val="ListBullet"/>
      </w:pPr>
      <w:r>
        <w:rPr>
          <w:rFonts w:ascii="Arial" w:hAnsi="Arial"/>
          <w:sz w:val="20"/>
        </w:rPr>
        <w:t>Exhibit L - SNDA Form</w:t>
      </w:r>
    </w:p>
    <w:p>
      <w:pPr>
        <w:pStyle w:val="ListBullet"/>
      </w:pPr>
      <w:r>
        <w:rPr>
          <w:rFonts w:ascii="Arial" w:hAnsi="Arial"/>
          <w:sz w:val="20"/>
        </w:rPr>
        <w:t>Conditional Addenda for exclusive use, radius restriction, use-specific controls, and early access</w:t>
      </w:r>
    </w:p>
    <w:p>
      <w:pPr>
        <w:pStyle w:val="Heading1"/>
        <w:spacing w:after="80"/>
      </w:pPr>
      <w:r>
        <w:t>Signature Blocks</w:t>
      </w:r>
    </w:p>
    <w:p>
      <w:pPr>
        <w:spacing w:after="80"/>
      </w:pPr>
      <w:r>
        <w:rPr>
          <w:rFonts w:ascii="Arial" w:hAnsi="Arial"/>
          <w:sz w:val="20"/>
        </w:rPr>
        <w:t>LANDLORD: Belle Realty of Lafayette, LLC</w:t>
      </w:r>
    </w:p>
    <w:p>
      <w:pPr>
        <w:spacing w:after="80"/>
      </w:pPr>
      <w:r>
        <w:rPr>
          <w:rFonts w:ascii="Arial" w:hAnsi="Arial"/>
          <w:sz w:val="20"/>
        </w:rPr>
        <w:t>By: ________________________________    Name/Title: ________________________________    Date: ____________</w:t>
      </w:r>
    </w:p>
    <w:p>
      <w:pPr>
        <w:spacing w:after="80"/>
      </w:pPr>
      <w:r>
        <w:rPr>
          <w:rFonts w:ascii="Arial" w:hAnsi="Arial"/>
          <w:sz w:val="20"/>
        </w:rPr>
        <w:t>TENANT: [TENANT LEGAL NAME]</w:t>
      </w:r>
    </w:p>
    <w:p>
      <w:pPr>
        <w:spacing w:after="80"/>
      </w:pPr>
      <w:r>
        <w:rPr>
          <w:rFonts w:ascii="Arial" w:hAnsi="Arial"/>
          <w:sz w:val="20"/>
        </w:rPr>
        <w:t>By: ________________________________    Name/Title: ________________________________    Date: ____________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OTB V3.1 Refinement Set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