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Cypress Command Report Template</w:t>
      </w:r>
    </w:p>
    <w:bookmarkStart w:id="31" w:name="Xd318db5730c15e91cbc8ebd81522989d4fa5bec"/>
    <w:p>
      <w:pPr>
        <w:pStyle w:val="Heading1"/>
      </w:pPr>
      <w:r>
        <w:t xml:space="preserve">Cypress Command Design System Specification</w:t>
      </w:r>
    </w:p>
    <w:bookmarkStart w:id="20" w:name="evidence-model"/>
    <w:p>
      <w:pPr>
        <w:pStyle w:val="Heading2"/>
      </w:pPr>
      <w:r>
        <w:t xml:space="preserve">Evidence model</w:t>
      </w:r>
    </w:p>
    <w:p>
      <w:pPr>
        <w:numPr>
          <w:ilvl w:val="0"/>
          <w:numId w:val="1001"/>
        </w:numPr>
        <w:pStyle w:val="Compact"/>
      </w:pPr>
      <w:r>
        <w:t xml:space="preserve">Directly observed: the Library logo direction boards use a geometric C/core idea, restrained rules, warm neutral grounds, and institutional typography. The prior showcase demonstrates the requested Paper/Ink/Terra/Olive/Mustard/Oxblood logic but is research context, not authority.</w:t>
      </w:r>
    </w:p>
    <w:p>
      <w:pPr>
        <w:numPr>
          <w:ilvl w:val="0"/>
          <w:numId w:val="1001"/>
        </w:numPr>
        <w:pStyle w:val="Compact"/>
      </w:pPr>
      <w:r>
        <w:t xml:space="preserve">Source-access limitation: the named September 20 attachment was unavailable in this environment. No property is attributed to it.</w:t>
      </w:r>
    </w:p>
    <w:p>
      <w:pPr>
        <w:numPr>
          <w:ilvl w:val="0"/>
          <w:numId w:val="1001"/>
        </w:numPr>
        <w:pStyle w:val="Compact"/>
      </w:pPr>
      <w:r>
        <w:t xml:space="preserve">Inferred rule: Cypress Command needs the authority of editorial publishing and the utility of operating documentation without resembling a lifestyle journal, generic AI gradient brand, or green SaaS dashboard.</w:t>
      </w:r>
    </w:p>
    <w:p>
      <w:pPr>
        <w:numPr>
          <w:ilvl w:val="0"/>
          <w:numId w:val="1001"/>
        </w:numPr>
        <w:pStyle w:val="Compact"/>
      </w:pPr>
      <w:r>
        <w:t xml:space="preserve">New decision: Terra is the default action accent. Green is removed from the primary interaction role and limited to success and the preserved logo.</w:t>
      </w:r>
    </w:p>
    <w:bookmarkEnd w:id="20"/>
    <w:bookmarkStart w:id="21" w:name="foundation"/>
    <w:p>
      <w:pPr>
        <w:pStyle w:val="Heading2"/>
      </w:pPr>
      <w:r>
        <w:t xml:space="preserve">Foundation</w:t>
      </w:r>
    </w:p>
    <w:p>
      <w:pPr>
        <w:pStyle w:val="FirstParagraph"/>
      </w:pPr>
      <w:r>
        <w:t xml:space="preserve">Positioning: Cypress Command designs and installs operating systems that connect people, process, technology, and accountable decisions.</w:t>
      </w:r>
    </w:p>
    <w:p>
      <w:pPr>
        <w:pStyle w:val="BodyText"/>
      </w:pPr>
      <w:r>
        <w:t xml:space="preserve">Personality: precise, grounded, calm under load, candid, useful.</w:t>
      </w:r>
    </w:p>
    <w:p>
      <w:pPr>
        <w:pStyle w:val="BodyText"/>
      </w:pPr>
      <w:r>
        <w:t xml:space="preserve">Distinctive devices: warm paper grounds, strong editorial scale shifts, technical metadata, thin rules, a visible grid, sparse semantic accent, and documentary image treatment.</w:t>
      </w:r>
    </w:p>
    <w:bookmarkEnd w:id="21"/>
    <w:bookmarkStart w:id="22" w:name="principles"/>
    <w:p>
      <w:pPr>
        <w:pStyle w:val="Heading2"/>
      </w:pPr>
      <w:r>
        <w:t xml:space="preserve">Principles</w:t>
      </w:r>
    </w:p>
    <w:p>
      <w:pPr>
        <w:numPr>
          <w:ilvl w:val="0"/>
          <w:numId w:val="1002"/>
        </w:numPr>
        <w:pStyle w:val="Compact"/>
      </w:pPr>
      <w:r>
        <w:t xml:space="preserve">Structure before styling. Every line, column, and accent must communicate hierarchy or state.</w:t>
      </w:r>
    </w:p>
    <w:p>
      <w:pPr>
        <w:numPr>
          <w:ilvl w:val="0"/>
          <w:numId w:val="1002"/>
        </w:numPr>
        <w:pStyle w:val="Compact"/>
      </w:pPr>
      <w:r>
        <w:t xml:space="preserve">Warmth without nostalgia. Paper and serif typography provide humanity; layouts remain current and operational.</w:t>
      </w:r>
    </w:p>
    <w:p>
      <w:pPr>
        <w:numPr>
          <w:ilvl w:val="0"/>
          <w:numId w:val="1002"/>
        </w:numPr>
        <w:pStyle w:val="Compact"/>
      </w:pPr>
      <w:r>
        <w:t xml:space="preserve">Color is a verb. Terra acts, Olive confirms, Mustard calls for attention, Oxblood stops or escalates.</w:t>
      </w:r>
    </w:p>
    <w:p>
      <w:pPr>
        <w:numPr>
          <w:ilvl w:val="0"/>
          <w:numId w:val="1002"/>
        </w:numPr>
        <w:pStyle w:val="Compact"/>
      </w:pPr>
      <w:r>
        <w:t xml:space="preserve">Density has rhythm. Dense working surfaces alternate with clear breathing zones.</w:t>
      </w:r>
    </w:p>
    <w:p>
      <w:pPr>
        <w:numPr>
          <w:ilvl w:val="0"/>
          <w:numId w:val="1002"/>
        </w:numPr>
        <w:pStyle w:val="Compact"/>
      </w:pPr>
      <w:r>
        <w:t xml:space="preserve">Evidence stays visible. Dates, owners, sources, status, and version labels belong in the interface.</w:t>
      </w:r>
    </w:p>
    <w:bookmarkEnd w:id="22"/>
    <w:bookmarkStart w:id="23" w:name="anti-patterns"/>
    <w:p>
      <w:pPr>
        <w:pStyle w:val="Heading2"/>
      </w:pPr>
      <w:r>
        <w:t xml:space="preserve">Anti-patterns</w:t>
      </w:r>
    </w:p>
    <w:p>
      <w:pPr>
        <w:numPr>
          <w:ilvl w:val="0"/>
          <w:numId w:val="1003"/>
        </w:numPr>
        <w:pStyle w:val="Compact"/>
      </w:pPr>
      <w:r>
        <w:t xml:space="preserve">Green-dominant surfaces or green primary buttons.</w:t>
      </w:r>
    </w:p>
    <w:p>
      <w:pPr>
        <w:numPr>
          <w:ilvl w:val="0"/>
          <w:numId w:val="1003"/>
        </w:numPr>
        <w:pStyle w:val="Compact"/>
      </w:pPr>
      <w:r>
        <w:t xml:space="preserve">AI gradients, neon glow, glassmorphism, floating orbs, robot imagery, or spark icons.</w:t>
      </w:r>
    </w:p>
    <w:p>
      <w:pPr>
        <w:numPr>
          <w:ilvl w:val="0"/>
          <w:numId w:val="1003"/>
        </w:numPr>
        <w:pStyle w:val="Compact"/>
      </w:pPr>
      <w:r>
        <w:t xml:space="preserve">Decorative color unrelated to state or action.</w:t>
      </w:r>
    </w:p>
    <w:p>
      <w:pPr>
        <w:numPr>
          <w:ilvl w:val="0"/>
          <w:numId w:val="1003"/>
        </w:numPr>
        <w:pStyle w:val="Compact"/>
      </w:pPr>
      <w:r>
        <w:t xml:space="preserve">Excessive rounded cards, pill badges, drop shadows, or dashboard tiles.</w:t>
      </w:r>
    </w:p>
    <w:p>
      <w:pPr>
        <w:numPr>
          <w:ilvl w:val="0"/>
          <w:numId w:val="1003"/>
        </w:numPr>
        <w:pStyle w:val="Compact"/>
      </w:pPr>
      <w:r>
        <w:t xml:space="preserve">Serif body text in dense interfaces; sans display text in major editorial moments.</w:t>
      </w:r>
    </w:p>
    <w:p>
      <w:pPr>
        <w:numPr>
          <w:ilvl w:val="0"/>
          <w:numId w:val="1003"/>
        </w:numPr>
        <w:pStyle w:val="Compact"/>
      </w:pPr>
      <w:r>
        <w:t xml:space="preserve">Generic stock teams pointing at laptops.</w:t>
      </w:r>
    </w:p>
    <w:bookmarkEnd w:id="23"/>
    <w:bookmarkStart w:id="24" w:name="color-and-accessibility"/>
    <w:p>
      <w:pPr>
        <w:pStyle w:val="Heading2"/>
      </w:pPr>
      <w:r>
        <w:t xml:space="preserve">Color and accessibility</w:t>
      </w:r>
    </w:p>
    <w:p>
      <w:pPr>
        <w:pStyle w:val="FirstParagraph"/>
      </w:pPr>
      <w:r>
        <w:t xml:space="preserve">Paper and Ink are the default field and text. Terra marks primary action and active navigation. Olive communicates success only. Mustard means attention, pending, or progress. Oxblood means critical, destructive, overdue, or blocked. Status never depends on color alone; pair it with an icon or label.</w:t>
      </w:r>
    </w:p>
    <w:p>
      <w:pPr>
        <w:pStyle w:val="BodyText"/>
      </w:pPr>
      <w:r>
        <w:t xml:space="preserve">Dark mode uses Night and Night Raised, not inverted black. Accent colors are raised in luminance for readable text and borders. Primary white-on-Terra buttons pass WCAG AA at normal text with Terra Dark; the lighter Terra is used as dark-theme text or rule, never as a white-text button fill.</w:t>
      </w:r>
    </w:p>
    <w:bookmarkEnd w:id="24"/>
    <w:bookmarkStart w:id="25" w:name="typography"/>
    <w:p>
      <w:pPr>
        <w:pStyle w:val="Heading2"/>
      </w:pPr>
      <w:r>
        <w:t xml:space="preserve">Typography</w:t>
      </w:r>
    </w:p>
    <w:p>
      <w:pPr>
        <w:numPr>
          <w:ilvl w:val="0"/>
          <w:numId w:val="1004"/>
        </w:numPr>
        <w:pStyle w:val="Compact"/>
      </w:pPr>
      <w:r>
        <w:t xml:space="preserve">Source Serif 4: display, major headings, pull quotes, report titles.</w:t>
      </w:r>
    </w:p>
    <w:p>
      <w:pPr>
        <w:numPr>
          <w:ilvl w:val="0"/>
          <w:numId w:val="1004"/>
        </w:numPr>
        <w:pStyle w:val="Compact"/>
      </w:pPr>
      <w:r>
        <w:t xml:space="preserve">Inter: navigation, body, controls, tables, captions.</w:t>
      </w:r>
    </w:p>
    <w:p>
      <w:pPr>
        <w:numPr>
          <w:ilvl w:val="0"/>
          <w:numId w:val="1004"/>
        </w:numPr>
        <w:pStyle w:val="Compact"/>
      </w:pPr>
      <w:r>
        <w:t xml:space="preserve">IBM Plex Mono: metadata, version labels, source IDs, code, measurements.</w:t>
      </w:r>
    </w:p>
    <w:p>
      <w:pPr>
        <w:numPr>
          <w:ilvl w:val="0"/>
          <w:numId w:val="1004"/>
        </w:numPr>
        <w:pStyle w:val="Compact"/>
      </w:pPr>
      <w:r>
        <w:t xml:space="preserve">Scale: 12, 14, 16, 20, 28, 40, 64, 96 CSS px. Body minimum 16 px on the web and 10.5 pt in print.</w:t>
      </w:r>
    </w:p>
    <w:p>
      <w:pPr>
        <w:numPr>
          <w:ilvl w:val="0"/>
          <w:numId w:val="1004"/>
        </w:numPr>
        <w:pStyle w:val="Compact"/>
      </w:pPr>
      <w:r>
        <w:t xml:space="preserve">Measure: 45–75 characters for reading; 32–55 for major editorial copy.</w:t>
      </w:r>
    </w:p>
    <w:p>
      <w:pPr>
        <w:pStyle w:val="FirstParagraph"/>
      </w:pPr>
      <w:r>
        <w:t xml:space="preserve">All three are open-source under the SIL Open Font License. Self-host WOFF2 files for controlled production rendering; system fallbacks are provided.</w:t>
      </w:r>
    </w:p>
    <w:bookmarkEnd w:id="25"/>
    <w:bookmarkStart w:id="26" w:name="geometry"/>
    <w:p>
      <w:pPr>
        <w:pStyle w:val="Heading2"/>
      </w:pPr>
      <w:r>
        <w:t xml:space="preserve">Geometry</w:t>
      </w:r>
    </w:p>
    <w:p>
      <w:pPr>
        <w:pStyle w:val="FirstParagraph"/>
      </w:pPr>
      <w:r>
        <w:t xml:space="preserve">Spacing uses a 4 px base with primary steps 8, 12, 16, 24, 32, 48, 64. Web grids use 12 columns above 960 px, 6 columns for tablet, and one content column below 760 px. Print uses 6 or 12 columns. Radius is 0, 2, or 6 px; 6 px is reserved for complex interactive controls. Borders are 1 px, with 2 px only for focus, selected, or critical emphasis. Elevation is rare and never replaces a boundary.</w:t>
      </w:r>
    </w:p>
    <w:bookmarkEnd w:id="26"/>
    <w:bookmarkStart w:id="27" w:name="motion"/>
    <w:p>
      <w:pPr>
        <w:pStyle w:val="Heading2"/>
      </w:pPr>
      <w:r>
        <w:t xml:space="preserve">Motion</w:t>
      </w:r>
    </w:p>
    <w:p>
      <w:pPr>
        <w:pStyle w:val="FirstParagraph"/>
      </w:pPr>
      <w:r>
        <w:t xml:space="preserve">Motion confirms state or continuity: 120 ms feedback, 180 ms component transition, 280 ms page transition. Use opacity and 4–8 px translation. Respect</w:t>
      </w:r>
      <w:r>
        <w:t xml:space="preserve"> </w:t>
      </w:r>
      <w:r>
        <w:rPr>
          <w:rStyle w:val="VerbatimChar"/>
        </w:rPr>
        <w:t xml:space="preserve">prefers-reduced-motion</w:t>
      </w:r>
      <w:r>
        <w:t xml:space="preserve">. Avoid looping decoration.</w:t>
      </w:r>
    </w:p>
    <w:bookmarkEnd w:id="27"/>
    <w:bookmarkStart w:id="28" w:name="components"/>
    <w:p>
      <w:pPr>
        <w:pStyle w:val="Heading2"/>
      </w:pPr>
      <w:r>
        <w:t xml:space="preserve">Components</w:t>
      </w:r>
    </w:p>
    <w:p>
      <w:pPr>
        <w:pStyle w:val="FirstParagraph"/>
      </w:pPr>
      <w:r>
        <w:t xml:space="preserve">Navigation is flat with one active Terra rule. Buttons: filled Terra primary, ruled neutral secondary, Oxblood destructive. Cards use rules, not shadows. Tables keep headers in mono or compact sans and support sticky headers in dense digital products. Forms show persistent labels, helper text, explicit error copy, and a high-contrast focus ring. Alerts use a semantic left rule plus label. Empty, loading, disabled, success, attention, and critical states need text, not color alone.</w:t>
      </w:r>
    </w:p>
    <w:bookmarkEnd w:id="28"/>
    <w:bookmarkStart w:id="29" w:name="imagery-and-information-graphics"/>
    <w:p>
      <w:pPr>
        <w:pStyle w:val="Heading2"/>
      </w:pPr>
      <w:r>
        <w:t xml:space="preserve">Imagery and information graphics</w:t>
      </w:r>
    </w:p>
    <w:p>
      <w:pPr>
        <w:pStyle w:val="FirstParagraph"/>
      </w:pPr>
      <w:r>
        <w:t xml:space="preserve">Use real places, real operators, material details, plans, notebooks, infrastructure, and hands doing work. Favor natural light, honest texture, and architectural framing. Avoid staged collaboration and futuristic AI symbolism. Illustration uses ink-like linework with one semantic accent. Icons use a 1.5 px stroke, squared terminals, and no filled decorative containers. Diagrams use orthogonal connectors, numbered stages, source labels, and no gradients. Data visualization defaults to Ink for context, Terra for the selected series, Olive for verified positive state, Mustard for watch items, and Oxblood for adverse state.</w:t>
      </w:r>
    </w:p>
    <w:bookmarkEnd w:id="29"/>
    <w:bookmarkStart w:id="30" w:name="four-expressions"/>
    <w:p>
      <w:pPr>
        <w:pStyle w:val="Heading2"/>
      </w:pPr>
      <w:r>
        <w:t xml:space="preserve">Four expressions</w:t>
      </w:r>
    </w:p>
    <w:p>
      <w:pPr>
        <w:pStyle w:val="FirstParagraph"/>
      </w:pPr>
      <w:r>
        <w:t xml:space="preserve">Editorial permits the largest serif scale, photography, and generous margins. It is limited to brand narrative, proposals, major reports, and homepages.</w:t>
      </w:r>
    </w:p>
    <w:p>
      <w:pPr>
        <w:pStyle w:val="BodyText"/>
      </w:pPr>
      <w:r>
        <w:t xml:space="preserve">Technical increases mono labels, rules, sequence numbers, diagrams, and density. It is limited to SOPs, system maps, implementation records, and specifications.</w:t>
      </w:r>
    </w:p>
    <w:p>
      <w:pPr>
        <w:pStyle w:val="BodyText"/>
      </w:pPr>
      <w:r>
        <w:t xml:space="preserve">Archival emphasizes dates, citations, folios, provenance, marginal notes, and desaturated imagery. It is limited to research, articles, case files, and retained records.</w:t>
      </w:r>
    </w:p>
    <w:p>
      <w:pPr>
        <w:pStyle w:val="BodyText"/>
      </w:pPr>
      <w:r>
        <w:t xml:space="preserve">Digital prioritizes Inter, compact tables, accessible states, and responsive controls. Serif appears only in page titles or narrative summaries. It is limited to dashboards, portals, applications, and interactive tools.</w:t>
      </w:r>
    </w:p>
    <w:p>
      <w:pPr>
        <w:pStyle w:val="BodyText"/>
      </w:pPr>
      <w:r>
        <w:t xml:space="preserve">Expressions may combine only when the content changes mode. Do not mix all four treatments on one surface.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Cypress Command Report Template</dc:title>
  <dc:creator/>
  <cp:keywords/>
  <dcterms:created xsi:type="dcterms:W3CDTF">2026-09-20T23:09:51Z</dcterms:created>
  <dcterms:modified xsi:type="dcterms:W3CDTF">2026-09-20T23:09:51Z</dcterms:modified>
</cp:coreProperties>
</file>

<file path=docProps/custom.xml><?xml version="1.0" encoding="utf-8"?>
<Properties xmlns="http://schemas.openxmlformats.org/officeDocument/2006/custom-properties" xmlns:vt="http://schemas.openxmlformats.org/officeDocument/2006/docPropsVTypes"/>
</file>