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9" w:lineRule="auto"/>
        <w:jc w:val="center"/>
      </w:pPr>
      <w:r>
        <w:rPr>
          <w:b w:val="0"/>
          <w:i w:val="0"/>
        </w:rPr>
        <w:t>V3.1 Revision Plan Memo</w:t>
      </w:r>
    </w:p>
    <w:p>
      <w:pPr>
        <w:spacing w:after="80" w:line="259" w:lineRule="auto"/>
        <w:jc w:val="center"/>
      </w:pPr>
      <w:r>
        <w:rPr>
          <w:b w:val="0"/>
          <w:i/>
        </w:rPr>
        <w:t>On the Boulevard Shopping Center | 101-149 Arnould Blvd., Lafayette, LA 70506</w:t>
      </w:r>
    </w:p>
    <w:p>
      <w:pPr>
        <w:spacing w:after="80" w:line="259" w:lineRule="auto"/>
        <w:jc w:val="center"/>
      </w:pPr>
      <w:r>
        <w:rPr>
          <w:b w:val="0"/>
          <w:i w:val="0"/>
        </w:rPr>
        <w:t>Prepared for Belle Realty of Lafayette, LLC</w:t>
      </w:r>
    </w:p>
    <w:p>
      <w:pPr>
        <w:pStyle w:val="Heading1"/>
        <w:spacing w:after="80" w:line="259" w:lineRule="auto"/>
      </w:pPr>
      <w:r>
        <w:rPr>
          <w:b w:val="0"/>
          <w:i w:val="0"/>
        </w:rPr>
        <w:t>Section 1. Purpose</w:t>
      </w:r>
    </w:p>
    <w:p>
      <w:pPr>
        <w:spacing w:after="80" w:line="259" w:lineRule="auto"/>
      </w:pPr>
      <w:r>
        <w:rPr>
          <w:b w:val="0"/>
          <w:i w:val="0"/>
        </w:rPr>
        <w:t>This memo outlines the recommended Version 3.1 revision plan for the On the Boulevard leasing system. The objective is to improve software-readiness, lease generation efficiency, and extension workflow consistency without casually changing the underlying business deal reflected in the current On the Boulevard house form.</w:t>
      </w:r>
    </w:p>
    <w:p>
      <w:pPr>
        <w:pStyle w:val="Heading1"/>
        <w:spacing w:after="80" w:line="259" w:lineRule="auto"/>
      </w:pPr>
      <w:r>
        <w:rPr>
          <w:b w:val="0"/>
          <w:i w:val="0"/>
        </w:rPr>
        <w:t>Section 2. Governing Revision Principle</w:t>
      </w:r>
    </w:p>
    <w:p>
      <w:pPr>
        <w:spacing w:after="80" w:line="259" w:lineRule="auto"/>
      </w:pPr>
      <w:r>
        <w:rPr>
          <w:b w:val="0"/>
          <w:i w:val="0"/>
        </w:rPr>
        <w:t>The controlling rule for Version 3.1 is straightforward: the current On the Boulevard lease deal terms should be preserved on a general level. Structure may improve. Clause placement may improve. Data flow may improve. But the business bargain should not drift just because the documents are being modernized for software use.</w:t>
      </w:r>
    </w:p>
    <w:p>
      <w:pPr>
        <w:pStyle w:val="ListBullet"/>
        <w:spacing w:after="60"/>
      </w:pPr>
      <w:r>
        <w:t>Move terms if needed for clarity or automation, but do not dilute them.</w:t>
      </w:r>
    </w:p>
    <w:p>
      <w:pPr>
        <w:pStyle w:val="ListBullet"/>
        <w:spacing w:after="60"/>
      </w:pPr>
      <w:r>
        <w:t>Preserve property-specific controls that protect current tenant mix and operations.</w:t>
      </w:r>
    </w:p>
    <w:p>
      <w:pPr>
        <w:pStyle w:val="ListBullet"/>
        <w:spacing w:after="60"/>
      </w:pPr>
      <w:r>
        <w:t>Use V3.1 to reorganize and systematize, not to quietly renegotiate the landlord position.</w:t>
      </w:r>
    </w:p>
    <w:p>
      <w:pPr>
        <w:pStyle w:val="Heading1"/>
        <w:spacing w:after="80" w:line="259" w:lineRule="auto"/>
      </w:pPr>
      <w:r>
        <w:rPr>
          <w:b w:val="0"/>
          <w:i w:val="0"/>
        </w:rPr>
        <w:t>Section 3. Current House-Form Terms to Preserve</w:t>
      </w:r>
    </w:p>
    <w:p>
      <w:pPr>
        <w:spacing w:after="80" w:line="259" w:lineRule="auto"/>
      </w:pPr>
      <w:r>
        <w:rPr>
          <w:b w:val="0"/>
          <w:i w:val="0"/>
        </w:rPr>
        <w:t>The following current lease features should be treated as baseline business positions unless ownership deliberately changes them:</w:t>
      </w:r>
    </w:p>
    <w:p>
      <w:pPr>
        <w:pStyle w:val="ListBullet"/>
        <w:spacing w:after="60"/>
      </w:pPr>
      <w:r>
        <w:t>Property-specific prohibited uses and exclusives tied to the existing center roster.</w:t>
      </w:r>
    </w:p>
    <w:p>
      <w:pPr>
        <w:pStyle w:val="ListBullet"/>
        <w:spacing w:after="60"/>
      </w:pPr>
      <w:r>
        <w:t>Late-fee structure, including fixed late charges and any daily late administrative component.</w:t>
      </w:r>
    </w:p>
    <w:p>
      <w:pPr>
        <w:pStyle w:val="ListBullet"/>
        <w:spacing w:after="60"/>
      </w:pPr>
      <w:r>
        <w:t>Utility-transfer administration charges where Tenant fails to place service in its own name.</w:t>
      </w:r>
    </w:p>
    <w:p>
      <w:pPr>
        <w:pStyle w:val="ListBullet"/>
        <w:spacing w:after="60"/>
      </w:pPr>
      <w:r>
        <w:t>HVAC allocation concepts, including service-contract expectations and cost-sharing if the current lease keeps them.</w:t>
      </w:r>
    </w:p>
    <w:p>
      <w:pPr>
        <w:pStyle w:val="ListBullet"/>
        <w:spacing w:after="60"/>
      </w:pPr>
      <w:r>
        <w:t>Holdover premium and surrender expectations.</w:t>
      </w:r>
    </w:p>
    <w:p>
      <w:pPr>
        <w:pStyle w:val="ListBullet"/>
        <w:spacing w:after="60"/>
      </w:pPr>
      <w:r>
        <w:t>Operating-hours requirements, opening standards, and any fine or enforcement structure tied to store operation.</w:t>
      </w:r>
    </w:p>
    <w:p>
      <w:pPr>
        <w:pStyle w:val="ListBullet"/>
        <w:spacing w:after="60"/>
      </w:pPr>
      <w:r>
        <w:t>Current signage-control concepts, fabrication-control ideas, and lighting expectations.</w:t>
      </w:r>
    </w:p>
    <w:p>
      <w:pPr>
        <w:pStyle w:val="ListBullet"/>
        <w:spacing w:after="60"/>
      </w:pPr>
      <w:r>
        <w:t>Security-deposit treatment and the rule that the deposit is not a substitute for the last month of rent.</w:t>
      </w:r>
    </w:p>
    <w:p>
      <w:pPr>
        <w:pStyle w:val="ListBullet"/>
        <w:spacing w:after="60"/>
      </w:pPr>
      <w:r>
        <w:t>Renewal / extension posture and notice timing unless intentionally upgraded by ownership.</w:t>
      </w:r>
    </w:p>
    <w:p>
      <w:pPr>
        <w:pStyle w:val="Heading1"/>
        <w:spacing w:after="80" w:line="259" w:lineRule="auto"/>
      </w:pPr>
      <w:r>
        <w:rPr>
          <w:b w:val="0"/>
          <w:i w:val="0"/>
        </w:rPr>
        <w:t>Section 4. V3.1 Structural Revisions Recommended</w:t>
      </w:r>
    </w:p>
    <w:p>
      <w:pPr>
        <w:spacing w:after="80" w:line="259" w:lineRule="auto"/>
      </w:pPr>
      <w:r>
        <w:rPr>
          <w:b w:val="0"/>
          <w:i w:val="0"/>
        </w:rPr>
        <w:t>Version 3.1 should focus on architecture, not cosmetics. The best changes are the ones that make lease generation easier, cleaner, and harder to screw up.</w:t>
      </w:r>
    </w:p>
    <w:p>
      <w:pPr>
        <w:pStyle w:val="Heading2"/>
        <w:spacing w:after="80" w:line="259" w:lineRule="auto"/>
      </w:pPr>
      <w:r>
        <w:rPr>
          <w:b w:val="0"/>
          <w:i w:val="0"/>
        </w:rPr>
        <w:t>4.1 Lease Summary as Source of Truth</w:t>
      </w:r>
    </w:p>
    <w:p>
      <w:pPr>
        <w:pStyle w:val="ListBullet"/>
        <w:spacing w:after="60"/>
      </w:pPr>
      <w:r>
        <w:t>Expand the Lease Summary so every variable lives there first.</w:t>
      </w:r>
    </w:p>
    <w:p>
      <w:pPr>
        <w:pStyle w:val="ListBullet"/>
        <w:spacing w:after="60"/>
      </w:pPr>
      <w:r>
        <w:t>Map rent, suite data, sign rights, guaranty requirements, extension eligibility, and notice information to structured fields.</w:t>
      </w:r>
    </w:p>
    <w:p>
      <w:pPr>
        <w:pStyle w:val="ListBullet"/>
        <w:spacing w:after="60"/>
      </w:pPr>
      <w:r>
        <w:t>Reduce freehand edits inside the lease body.</w:t>
      </w:r>
    </w:p>
    <w:p>
      <w:pPr>
        <w:pStyle w:val="Heading2"/>
        <w:spacing w:after="80" w:line="259" w:lineRule="auto"/>
      </w:pPr>
      <w:r>
        <w:rPr>
          <w:b w:val="0"/>
          <w:i w:val="0"/>
        </w:rPr>
        <w:t>4.2 Deal-Summary and Rent-Table Architecture</w:t>
      </w:r>
    </w:p>
    <w:p>
      <w:pPr>
        <w:pStyle w:val="ListBullet"/>
        <w:spacing w:after="60"/>
      </w:pPr>
      <w:r>
        <w:t>Use a front-loaded summary section for premises, term, use, guaranty, options, and critical economics.</w:t>
      </w:r>
    </w:p>
    <w:p>
      <w:pPr>
        <w:pStyle w:val="ListBullet"/>
        <w:spacing w:after="60"/>
      </w:pPr>
      <w:r>
        <w:t>Use standardized rent tables for lease year, annual rent, monthly rent, and any scheduled increases.</w:t>
      </w:r>
    </w:p>
    <w:p>
      <w:pPr>
        <w:pStyle w:val="ListBullet"/>
        <w:spacing w:after="60"/>
      </w:pPr>
      <w:r>
        <w:t>Separate recurring fixed rent from estimated CAM, tax, and insurance reimbursement fields for cleaner software handling.</w:t>
      </w:r>
    </w:p>
    <w:p>
      <w:pPr>
        <w:pStyle w:val="Heading2"/>
        <w:spacing w:after="80" w:line="259" w:lineRule="auto"/>
      </w:pPr>
      <w:r>
        <w:rPr>
          <w:b w:val="0"/>
          <w:i w:val="0"/>
        </w:rPr>
        <w:t>4.3 Extension and Renewal Workflow</w:t>
      </w:r>
    </w:p>
    <w:p>
      <w:pPr>
        <w:pStyle w:val="ListBullet"/>
        <w:spacing w:after="60"/>
      </w:pPr>
      <w:r>
        <w:t>Distinguish extension by notice from amendment-based renewal if ownership wants both workflows available.</w:t>
      </w:r>
    </w:p>
    <w:p>
      <w:pPr>
        <w:pStyle w:val="ListBullet"/>
        <w:spacing w:after="60"/>
      </w:pPr>
      <w:r>
        <w:t>Track notice deadline, default status at exercise, default status at commencement of the extension term, and operating-status eligibility.</w:t>
      </w:r>
    </w:p>
    <w:p>
      <w:pPr>
        <w:pStyle w:val="ListBullet"/>
        <w:spacing w:after="60"/>
      </w:pPr>
      <w:r>
        <w:t>Create a short extension / renewal form that can be generated from the same field set used by the Lease Summary.</w:t>
      </w:r>
    </w:p>
    <w:p>
      <w:pPr>
        <w:pStyle w:val="ListBullet"/>
        <w:spacing w:after="60"/>
      </w:pPr>
      <w:r>
        <w:t>Preserve current renewal economics unless ownership intentionally adopts a new formula approach.</w:t>
      </w:r>
    </w:p>
    <w:p>
      <w:pPr>
        <w:pStyle w:val="Heading2"/>
        <w:spacing w:after="80" w:line="259" w:lineRule="auto"/>
      </w:pPr>
      <w:r>
        <w:rPr>
          <w:b w:val="0"/>
          <w:i w:val="0"/>
        </w:rPr>
        <w:t>4.4 Conditional Logic and Clause Library</w:t>
      </w:r>
    </w:p>
    <w:p>
      <w:pPr>
        <w:pStyle w:val="ListBullet"/>
        <w:spacing w:after="60"/>
      </w:pPr>
      <w:r>
        <w:t>Formalize trigger logic for food and beverage, salon, financial service, medical, exclusive use, radius restriction, and early-access addenda.</w:t>
      </w:r>
    </w:p>
    <w:p>
      <w:pPr>
        <w:pStyle w:val="ListBullet"/>
        <w:spacing w:after="60"/>
      </w:pPr>
      <w:r>
        <w:t>Suppress unused clauses and exhibits cleanly so final documents do not read like a junk drawer.</w:t>
      </w:r>
    </w:p>
    <w:p>
      <w:pPr>
        <w:pStyle w:val="ListBullet"/>
        <w:spacing w:after="60"/>
      </w:pPr>
      <w:r>
        <w:t>Track property-specific sign rights and prohibited uses as controlled modules rather than scattered edits.</w:t>
      </w:r>
    </w:p>
    <w:p>
      <w:pPr>
        <w:pStyle w:val="Heading1"/>
        <w:spacing w:after="80" w:line="259" w:lineRule="auto"/>
      </w:pPr>
      <w:r>
        <w:rPr>
          <w:b w:val="0"/>
          <w:i w:val="0"/>
        </w:rPr>
        <w:t>Section 5. Insurance and Landlord-Protective Revisions</w:t>
      </w:r>
    </w:p>
    <w:p>
      <w:pPr>
        <w:spacing w:after="80" w:line="259" w:lineRule="auto"/>
      </w:pPr>
      <w:r>
        <w:rPr>
          <w:b w:val="0"/>
          <w:i w:val="0"/>
        </w:rPr>
        <w:t>Version 3.1 should keep the stronger insurance and risk-allocation direction already adopted, while making the requirements easier to administer in software and onboarding.</w:t>
      </w:r>
    </w:p>
    <w:p>
      <w:pPr>
        <w:pStyle w:val="ListBullet"/>
        <w:spacing w:after="60"/>
      </w:pPr>
      <w:r>
        <w:t>Keep additional-insured, primary and non-contributory, and waiver-of-subrogation requirements.</w:t>
      </w:r>
    </w:p>
    <w:p>
      <w:pPr>
        <w:pStyle w:val="ListBullet"/>
        <w:spacing w:after="60"/>
      </w:pPr>
      <w:r>
        <w:t>Track required endorsements separately from certificates of insurance.</w:t>
      </w:r>
    </w:p>
    <w:p>
      <w:pPr>
        <w:pStyle w:val="ListBullet"/>
        <w:spacing w:after="60"/>
      </w:pPr>
      <w:r>
        <w:t>Make contractor-insurance approval a clear pre-access requirement.</w:t>
      </w:r>
    </w:p>
    <w:p>
      <w:pPr>
        <w:pStyle w:val="ListBullet"/>
        <w:spacing w:after="60"/>
      </w:pPr>
      <w:r>
        <w:t>Tie insurance review directly to onboarding checklists and access authorization.</w:t>
      </w:r>
    </w:p>
    <w:p>
      <w:pPr>
        <w:pStyle w:val="Heading1"/>
        <w:spacing w:after="80" w:line="259" w:lineRule="auto"/>
      </w:pPr>
      <w:r>
        <w:rPr>
          <w:b w:val="0"/>
          <w:i w:val="0"/>
        </w:rPr>
        <w:t>Section 6. Software-Assembly Deliverables for V3.1</w:t>
      </w:r>
    </w:p>
    <w:p>
      <w:pPr>
        <w:spacing w:after="80" w:line="259" w:lineRule="auto"/>
      </w:pPr>
      <w:r>
        <w:rPr>
          <w:b w:val="0"/>
          <w:i w:val="0"/>
        </w:rPr>
        <w:t>The following deliverables should be built or refined as part of the Version 3.1 package:</w:t>
      </w:r>
    </w:p>
    <w:p>
      <w:pPr>
        <w:pStyle w:val="ListBullet"/>
        <w:spacing w:after="60"/>
      </w:pPr>
      <w:r>
        <w:t>Revised Master Lease aligned to the current OTB deal framework.</w:t>
      </w:r>
    </w:p>
    <w:p>
      <w:pPr>
        <w:pStyle w:val="ListBullet"/>
        <w:spacing w:after="60"/>
      </w:pPr>
      <w:r>
        <w:t>Revised Lease Summary / Deal Sheet with full field coverage.</w:t>
      </w:r>
    </w:p>
    <w:p>
      <w:pPr>
        <w:pStyle w:val="ListBullet"/>
        <w:spacing w:after="60"/>
      </w:pPr>
      <w:r>
        <w:t>Extension / renewal notice template and extension agreement template.</w:t>
      </w:r>
    </w:p>
    <w:p>
      <w:pPr>
        <w:pStyle w:val="ListBullet"/>
        <w:spacing w:after="60"/>
      </w:pPr>
      <w:r>
        <w:t>Updated Master Field Map tied to actual lease variables.</w:t>
      </w:r>
    </w:p>
    <w:p>
      <w:pPr>
        <w:pStyle w:val="ListBullet"/>
        <w:spacing w:after="60"/>
      </w:pPr>
      <w:r>
        <w:t>Updated Document Generation Logic Matrix for clause suppression and exhibit generation.</w:t>
      </w:r>
    </w:p>
    <w:p>
      <w:pPr>
        <w:pStyle w:val="ListBullet"/>
        <w:spacing w:after="60"/>
      </w:pPr>
      <w:r>
        <w:t>Refined internal abstract and critical-dates tracking rules for options, notice deadlines, and opening deadlines.</w:t>
      </w:r>
    </w:p>
    <w:p>
      <w:pPr>
        <w:pStyle w:val="ListBullet"/>
        <w:spacing w:after="60"/>
      </w:pPr>
      <w:r>
        <w:t>Updated onboarding and enforcement forms that read from the same approved data set.</w:t>
      </w:r>
    </w:p>
    <w:p>
      <w:pPr>
        <w:pStyle w:val="Heading1"/>
        <w:spacing w:after="80" w:line="259" w:lineRule="auto"/>
      </w:pPr>
      <w:r>
        <w:rPr>
          <w:b w:val="0"/>
          <w:i w:val="0"/>
        </w:rPr>
        <w:t>Section 7. Practical Drafting Rules for V3.1</w:t>
      </w:r>
    </w:p>
    <w:p>
      <w:pPr>
        <w:pStyle w:val="ListBullet"/>
        <w:spacing w:after="60"/>
      </w:pPr>
      <w:r>
        <w:t>Do not change a business term merely because another lease form phrases it differently.</w:t>
      </w:r>
    </w:p>
    <w:p>
      <w:pPr>
        <w:pStyle w:val="ListBullet"/>
        <w:spacing w:after="60"/>
      </w:pPr>
      <w:r>
        <w:t>If a third-party inspiration document conflicts with the current OTB bargain, the OTB bargain wins unless ownership directs otherwise.</w:t>
      </w:r>
    </w:p>
    <w:p>
      <w:pPr>
        <w:pStyle w:val="ListBullet"/>
        <w:spacing w:after="60"/>
      </w:pPr>
      <w:r>
        <w:t>Use inspiration documents for structure, workflow, formatting, and modularity, not for casual import of foreign economics.</w:t>
      </w:r>
    </w:p>
    <w:p>
      <w:pPr>
        <w:pStyle w:val="ListBullet"/>
        <w:spacing w:after="60"/>
      </w:pPr>
      <w:r>
        <w:t>Any term that affects money, operating burden, use rights, sign rights, default remedies, or extension rights should be treated as controlled.</w:t>
      </w:r>
    </w:p>
    <w:p>
      <w:pPr>
        <w:pStyle w:val="Heading1"/>
        <w:spacing w:after="80" w:line="259" w:lineRule="auto"/>
      </w:pPr>
      <w:r>
        <w:rPr>
          <w:b w:val="0"/>
          <w:i w:val="0"/>
        </w:rPr>
        <w:t>Section 8. Recommended Work Plan</w:t>
      </w:r>
    </w:p>
    <w:p>
      <w:pPr>
        <w:spacing w:after="80" w:line="259" w:lineRule="auto"/>
      </w:pPr>
      <w:r>
        <w:rPr>
          <w:b w:val="0"/>
          <w:i w:val="0"/>
        </w:rPr>
        <w:t>Recommended sequence for the Version 3.1 revision effort:</w:t>
      </w:r>
    </w:p>
    <w:p>
      <w:pPr>
        <w:pStyle w:val="ListBullet"/>
        <w:spacing w:after="60"/>
      </w:pPr>
      <w:r>
        <w:t>Step 1: reconcile the current OTB lease against the V3 flagship set and mark every deal term that must remain intact.</w:t>
      </w:r>
    </w:p>
    <w:p>
      <w:pPr>
        <w:pStyle w:val="ListBullet"/>
        <w:spacing w:after="60"/>
      </w:pPr>
      <w:r>
        <w:t>Step 2: revise the Lease Summary, Master Lease, and rent-table structure around those preserved terms.</w:t>
      </w:r>
    </w:p>
    <w:p>
      <w:pPr>
        <w:pStyle w:val="ListBullet"/>
        <w:spacing w:after="60"/>
      </w:pPr>
      <w:r>
        <w:t>Step 3: build the extension / renewal workflow forms and field logic.</w:t>
      </w:r>
    </w:p>
    <w:p>
      <w:pPr>
        <w:pStyle w:val="ListBullet"/>
        <w:spacing w:after="60"/>
      </w:pPr>
      <w:r>
        <w:t>Step 4: refresh the field map, logic matrix, and internal control documents to match the revised structure.</w:t>
      </w:r>
    </w:p>
    <w:p>
      <w:pPr>
        <w:pStyle w:val="ListBullet"/>
        <w:spacing w:after="60"/>
      </w:pPr>
      <w:r>
        <w:t>Step 5: issue a clean V3.1 software-ready package for testing in property management workflows.</w:t>
      </w:r>
    </w:p>
    <w:p>
      <w:pPr>
        <w:pStyle w:val="Heading1"/>
        <w:spacing w:after="80" w:line="259" w:lineRule="auto"/>
      </w:pPr>
      <w:r>
        <w:rPr>
          <w:b w:val="0"/>
          <w:i w:val="0"/>
        </w:rPr>
        <w:t>Section 9. Bottom-Line Recommendation</w:t>
      </w:r>
    </w:p>
    <w:p>
      <w:pPr>
        <w:spacing w:after="80" w:line="259" w:lineRule="auto"/>
      </w:pPr>
      <w:r>
        <w:rPr>
          <w:b w:val="0"/>
          <w:i w:val="0"/>
        </w:rPr>
        <w:t>Proceed with Version 3.1 as a software-ready re-architecture of the On the Boulevard leasing system, but keep the current OTB lease deal terms as the baseline. In plain English: improve the machine, don't move the goalposts.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