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Signage and Monument Sign Rights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1. No tenant has any signage rights except those expressly approved by Landlord in writing.</w:t>
      </w:r>
    </w:p>
    <w:p>
      <w:pPr>
        <w:spacing w:after="80" w:line="259" w:lineRule="auto"/>
      </w:pPr>
      <w:r>
        <w:rPr>
          <w:i w:val="0"/>
        </w:rPr>
        <w:t>2. All storefront signage, monument signage, window graphics, vinyl, awnings, blades, banners, and exterior identity elements require Landlord's prior written approval of design, size, color, illumination, materials, location, and installer.</w:t>
      </w:r>
    </w:p>
    <w:p>
      <w:pPr>
        <w:spacing w:after="80" w:line="259" w:lineRule="auto"/>
      </w:pPr>
      <w:r>
        <w:rPr>
          <w:i w:val="0"/>
        </w:rPr>
        <w:t>3. Landlord may require channel-letter construction, raceway limitations, lighting standards, exact color palettes, and approved fabrication vendors.</w:t>
      </w:r>
    </w:p>
    <w:p>
      <w:pPr>
        <w:spacing w:after="80" w:line="259" w:lineRule="auto"/>
      </w:pPr>
      <w:r>
        <w:rPr>
          <w:i w:val="0"/>
        </w:rPr>
        <w:t>4. Tenant will obtain all permits and will pay all fabrication, installation, maintenance, repair, replacement, and removal costs for Tenant's signage unless Landlord expressly agrees otherwise.</w:t>
      </w:r>
    </w:p>
    <w:p>
      <w:pPr>
        <w:spacing w:after="80" w:line="259" w:lineRule="auto"/>
      </w:pPr>
      <w:r>
        <w:rPr>
          <w:i w:val="0"/>
        </w:rPr>
        <w:t>5. Monument sign rights, if any, are limited to the panel specifically assigned by Landlord and do not create any permanent or exclusive right to a specific physical location.</w:t>
      </w:r>
    </w:p>
    <w:p>
      <w:pPr>
        <w:spacing w:after="80" w:line="259" w:lineRule="auto"/>
      </w:pPr>
      <w:r>
        <w:rPr>
          <w:i w:val="0"/>
        </w:rPr>
        <w:t>6. Current monument sign hierarchy may include Panel 1 2x8, Panel 2 4x8, and Panels 3-14 2x4. Landlord may reassign panel positions on a substantially equivalent basis if sign rights were expressly granted.</w:t>
      </w:r>
    </w:p>
    <w:p>
      <w:pPr>
        <w:spacing w:after="80" w:line="259" w:lineRule="auto"/>
      </w:pPr>
      <w:r>
        <w:rPr>
          <w:i w:val="0"/>
        </w:rPr>
        <w:t>7. If illuminated signage is required, Tenant will keep the sign illuminated from dusk until midnight or other hours designated by Landlord.</w:t>
      </w:r>
    </w:p>
    <w:p>
      <w:pPr>
        <w:spacing w:after="80" w:line="259" w:lineRule="auto"/>
      </w:pPr>
      <w:r>
        <w:rPr>
          <w:i w:val="0"/>
        </w:rPr>
        <w:t>8. Tenant must keep all signs in first-class condition. Faded, damaged, non-working, or nonconforming signs must be repaired or replaced promptly at Tenant's cost.</w:t>
      </w:r>
    </w:p>
    <w:p>
      <w:pPr>
        <w:spacing w:after="80" w:line="259" w:lineRule="auto"/>
      </w:pPr>
      <w:r>
        <w:rPr>
          <w:i w:val="0"/>
        </w:rPr>
        <w:t>9. Upon expiration, termination, assignment failure, or default-based revocation of sign rights, Tenant will immediately remove its sign copy and repair all resulting damage.</w:t>
      </w:r>
    </w:p>
    <w:p>
      <w:pPr>
        <w:spacing w:after="80" w:line="259" w:lineRule="auto"/>
      </w:pPr>
      <w:r>
        <w:rPr>
          <w:i w:val="0"/>
        </w:rPr>
        <w:t>10. Landlord retains final control over the center-wide sign program, monument hierarchy, tenant-mix presentation, and visual consistency of the Shopping Center.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