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40"/>
        <w:jc w:val="center"/>
      </w:pPr>
      <w:r>
        <w:rPr>
          <w:rFonts w:ascii="Times New Roman" w:cs="Times New Roman" w:eastAsia="Times New Roman" w:hAnsi="Times New Roman"/>
          <w:b/>
          <w:bCs/>
          <w:color w:val="141414"/>
          <w:spacing w:val="40"/>
          <w:sz w:val="26"/>
          <w:szCs w:val="26"/>
        </w:rPr>
        <w:t xml:space="preserve">BELLE REALTY OF LAFAYETTE, LLC</w:t>
      </w:r>
    </w:p>
    <w:p>
      <w:pPr>
        <w:pBdr>
          <w:bottom w:val="single" w:color="141414" w:sz="6" w:space="8"/>
        </w:pBdr>
        <w:spacing w:after="240" w:before="0" w:line="340"/>
        <w:jc w:val="center"/>
      </w:pPr>
      <w:r>
        <w:rPr>
          <w:rFonts w:ascii="Times New Roman" w:cs="Times New Roman" w:eastAsia="Times New Roman" w:hAnsi="Times New Roman"/>
          <w:color w:val="888888"/>
          <w:sz w:val="18"/>
          <w:szCs w:val="18"/>
        </w:rPr>
        <w:t xml:space="preserve">101–149 Arnould Blvd.  ·  Lafayette, Louisiana 70506  ·  337-769-1554  ·  adam@belle-realty.com</w:t>
      </w:r>
    </w:p>
    <w:p>
      <w:pPr>
        <w:spacing w:after="40" w:before="0" w:line="340"/>
        <w:jc w:val="left"/>
      </w:pPr>
      <w:r>
        <w:rPr>
          <w:rFonts w:ascii="Times New Roman" w:cs="Times New Roman" w:eastAsia="Times New Roman" w:hAnsi="Times New Roman"/>
          <w:color w:val="141414"/>
          <w:sz w:val="22"/>
          <w:szCs w:val="22"/>
        </w:rPr>
        <w:t xml:space="preserve">[Date]</w:t>
      </w:r>
    </w:p>
    <w:p>
      <w:pPr>
        <w:spacing w:after="240" w:before="0" w:line="340"/>
        <w:jc w:val="left"/>
      </w:pPr>
      <w:r>
        <w:rPr>
          <w:rFonts w:ascii="Times New Roman" w:cs="Times New Roman" w:eastAsia="Times New Roman" w:hAnsi="Times New Roman"/>
          <w:color w:val="141414"/>
          <w:spacing w:val="20"/>
          <w:sz w:val="22"/>
          <w:szCs w:val="22"/>
        </w:rPr>
        <w:t xml:space="preserve">VIA EMAIL</w:t>
      </w:r>
    </w:p>
    <w:p>
      <w:pPr>
        <w:spacing w:after="0" w:before="0" w:line="260"/>
        <w:jc w:val="left"/>
      </w:pPr>
      <w:r>
        <w:rPr>
          <w:rFonts w:ascii="Times New Roman" w:cs="Times New Roman" w:eastAsia="Times New Roman" w:hAnsi="Times New Roman"/>
          <w:color w:val="141414"/>
          <w:sz w:val="22"/>
          <w:szCs w:val="22"/>
        </w:rPr>
        <w:t xml:space="preserve">Upstream Growth Partners, LLC</w:t>
      </w:r>
    </w:p>
    <w:p>
      <w:pPr>
        <w:spacing w:after="0" w:before="0" w:line="260"/>
        <w:jc w:val="left"/>
      </w:pPr>
      <w:r>
        <w:rPr>
          <w:rFonts w:ascii="Times New Roman" w:cs="Times New Roman" w:eastAsia="Times New Roman" w:hAnsi="Times New Roman"/>
          <w:color w:val="141414"/>
          <w:sz w:val="22"/>
          <w:szCs w:val="22"/>
        </w:rPr>
        <w:t xml:space="preserve">c/o Upstream Rehabilitation, Inc.</w:t>
      </w:r>
    </w:p>
    <w:p>
      <w:pPr>
        <w:spacing w:after="0" w:before="0" w:line="260"/>
        <w:jc w:val="left"/>
      </w:pPr>
      <w:r>
        <w:rPr>
          <w:rFonts w:ascii="Times New Roman" w:cs="Times New Roman" w:eastAsia="Times New Roman" w:hAnsi="Times New Roman"/>
          <w:color w:val="141414"/>
          <w:sz w:val="22"/>
          <w:szCs w:val="22"/>
        </w:rPr>
        <w:t xml:space="preserve">Attn: Amy Elmer, [Title]</w:t>
      </w:r>
    </w:p>
    <w:p>
      <w:pPr>
        <w:spacing w:after="0" w:before="0" w:line="260"/>
        <w:jc w:val="left"/>
      </w:pPr>
      <w:r>
        <w:rPr>
          <w:rFonts w:ascii="Times New Roman" w:cs="Times New Roman" w:eastAsia="Times New Roman" w:hAnsi="Times New Roman"/>
          <w:color w:val="141414"/>
          <w:sz w:val="22"/>
          <w:szCs w:val="22"/>
        </w:rPr>
        <w:t xml:space="preserve">[Street Address]</w:t>
      </w:r>
    </w:p>
    <w:p>
      <w:pPr>
        <w:spacing w:after="0" w:before="0" w:line="260"/>
        <w:jc w:val="left"/>
      </w:pPr>
      <w:r>
        <w:rPr>
          <w:rFonts w:ascii="Times New Roman" w:cs="Times New Roman" w:eastAsia="Times New Roman" w:hAnsi="Times New Roman"/>
          <w:color w:val="141414"/>
          <w:sz w:val="22"/>
          <w:szCs w:val="22"/>
        </w:rPr>
        <w:t xml:space="preserve">[City, State ZIP]</w:t>
      </w:r>
    </w:p>
    <w:p>
      <w:pPr>
        <w:spacing w:after="160" w:before="0" w:line="340"/>
        <w:jc w:val="left"/>
      </w:pPr>
      <w:r>
        <w:rPr>
          <w:rFonts w:ascii="Times New Roman" w:cs="Times New Roman" w:eastAsia="Times New Roman" w:hAnsi="Times New Roman"/>
          <w:color w:val="141414"/>
          <w:sz w:val="22"/>
          <w:szCs w:val="22"/>
        </w:rPr>
        <w:t xml:space="preserve"/>
      </w:r>
    </w:p>
    <w:p>
      <w:pPr>
        <w:spacing w:after="40" w:before="0" w:line="280"/>
        <w:jc w:val="left"/>
      </w:pPr>
      <w:r>
        <w:rPr>
          <w:rFonts w:ascii="Times New Roman" w:cs="Times New Roman" w:eastAsia="Times New Roman" w:hAnsi="Times New Roman"/>
          <w:b/>
          <w:bCs/>
          <w:color w:val="141414"/>
          <w:sz w:val="22"/>
          <w:szCs w:val="22"/>
        </w:rPr>
        <w:t xml:space="preserve">Re:  </w:t>
      </w:r>
      <w:r>
        <w:rPr>
          <w:rFonts w:ascii="Times New Roman" w:cs="Times New Roman" w:eastAsia="Times New Roman" w:hAnsi="Times New Roman"/>
          <w:b/>
          <w:bCs/>
          <w:color w:val="141414"/>
          <w:sz w:val="22"/>
          <w:szCs w:val="22"/>
        </w:rPr>
        <w:t xml:space="preserve">Conditional Sign Approval — Suite 145, On The Boulevard Shopping Center, 145 Arnould Blvd., Lafayette, LA 70506</w:t>
      </w:r>
    </w:p>
    <w:p>
      <w:pPr>
        <w:spacing w:after="280" w:before="0" w:line="280"/>
        <w:ind w:left="480"/>
        <w:jc w:val="left"/>
      </w:pPr>
      <w:r>
        <w:rPr>
          <w:rFonts w:ascii="Times New Roman" w:cs="Times New Roman" w:eastAsia="Times New Roman" w:hAnsi="Times New Roman"/>
          <w:color w:val="141414"/>
          <w:sz w:val="22"/>
          <w:szCs w:val="22"/>
        </w:rPr>
        <w:t xml:space="preserve">Sign package: Big Mouth Signs, Inc., Project 11558 – PFPT – Lafayette West – LA – New Sign Package, Sheets 1–8</w:t>
      </w:r>
    </w:p>
    <w:p>
      <w:pPr>
        <w:spacing w:after="160" w:before="0" w:line="340"/>
        <w:jc w:val="left"/>
      </w:pPr>
      <w:r>
        <w:rPr>
          <w:rFonts w:ascii="Times New Roman" w:cs="Times New Roman" w:eastAsia="Times New Roman" w:hAnsi="Times New Roman"/>
          <w:color w:val="141414"/>
          <w:sz w:val="22"/>
          <w:szCs w:val="22"/>
        </w:rPr>
        <w:t xml:space="preserve">Ms. Elmer:</w:t>
      </w:r>
    </w:p>
    <w:p>
      <w:pPr>
        <w:spacing w:after="160" w:before="0" w:line="340"/>
        <w:jc w:val="left"/>
      </w:pPr>
      <w:r>
        <w:rPr>
          <w:rFonts w:ascii="Times New Roman" w:cs="Times New Roman" w:eastAsia="Times New Roman" w:hAnsi="Times New Roman"/>
          <w:color w:val="141414"/>
          <w:sz w:val="22"/>
          <w:szCs w:val="22"/>
        </w:rPr>
        <w:t xml:space="preserve">Lessor has reviewed the above sign package against Schedule D of the Lease (Design Criteria for Lessee Signs). Pursuant to Schedule D, Lessor returns one set herewith with its approval and its suggested modifications. Approval is conditional as set out below.</w:t>
      </w:r>
    </w:p>
    <w:p>
      <w:pPr>
        <w:spacing w:after="160" w:line="340"/>
      </w:pPr>
      <w:r>
        <w:rPr>
          <w:rFonts w:ascii="Times New Roman" w:cs="Times New Roman" w:eastAsia="Times New Roman" w:hAnsi="Times New Roman"/>
          <w:b/>
          <w:bCs/>
          <w:color w:val="141414"/>
          <w:sz w:val="22"/>
          <w:szCs w:val="22"/>
        </w:rPr>
        <w:t xml:space="preserve">1. </w:t>
      </w:r>
      <w:r>
        <w:rPr>
          <w:rFonts w:ascii="Times New Roman" w:cs="Times New Roman" w:eastAsia="Times New Roman" w:hAnsi="Times New Roman"/>
          <w:b/>
          <w:bCs/>
          <w:color w:val="141414"/>
          <w:sz w:val="22"/>
          <w:szCs w:val="22"/>
        </w:rPr>
        <w:t xml:space="preserve">Approved as submitted.</w:t>
      </w:r>
      <w:r>
        <w:rPr>
          <w:rFonts w:ascii="Times New Roman" w:cs="Times New Roman" w:eastAsia="Times New Roman" w:hAnsi="Times New Roman"/>
          <w:color w:val="141414"/>
          <w:sz w:val="22"/>
          <w:szCs w:val="22"/>
        </w:rPr>
        <w:t xml:space="preserve"> Storefront location on the canopy fascia sign band; letter height (19.34″ logo; 5.47″ second line) within the twenty-six (26″) inch maximum; lettering length of 97.31″ against 260″ of Premises frontage, within the eighty percent (80%) maximum; raceway dimensions within the eight (8″) inch width and eight (8″) inch depth maximum; one (1″) inch gold Jewelite trim cap; plastic (3/16″ acrylic) facing; absence of flashing, moving, or audible elements; absence of paper signs; UL listing.</w:t>
      </w:r>
    </w:p>
    <w:p>
      <w:pPr>
        <w:spacing w:after="160" w:line="340"/>
      </w:pPr>
      <w:r>
        <w:rPr>
          <w:rFonts w:ascii="Times New Roman" w:cs="Times New Roman" w:eastAsia="Times New Roman" w:hAnsi="Times New Roman"/>
          <w:b/>
          <w:bCs/>
          <w:color w:val="141414"/>
          <w:sz w:val="22"/>
          <w:szCs w:val="22"/>
        </w:rPr>
        <w:t xml:space="preserve">2. </w:t>
      </w:r>
      <w:r>
        <w:rPr>
          <w:rFonts w:ascii="Times New Roman" w:cs="Times New Roman" w:eastAsia="Times New Roman" w:hAnsi="Times New Roman"/>
          <w:b/>
          <w:bCs/>
          <w:color w:val="141414"/>
          <w:sz w:val="22"/>
          <w:szCs w:val="22"/>
        </w:rPr>
        <w:t xml:space="preserve">Variances granted.</w:t>
      </w:r>
      <w:r>
        <w:rPr>
          <w:rFonts w:ascii="Times New Roman" w:cs="Times New Roman" w:eastAsia="Times New Roman" w:hAnsi="Times New Roman"/>
          <w:color w:val="141414"/>
          <w:sz w:val="22"/>
          <w:szCs w:val="22"/>
        </w:rPr>
        <w:t xml:space="preserve"> Lessor grants written variance from Schedule D for the following four items only:</w:t>
      </w:r>
    </w:p>
    <w:p>
      <w:pPr>
        <w:spacing w:after="160" w:line="340"/>
        <w:ind w:left="720" w:hanging="360"/>
      </w:pPr>
      <w:r>
        <w:rPr>
          <w:rFonts w:ascii="Times New Roman" w:cs="Times New Roman" w:eastAsia="Times New Roman" w:hAnsi="Times New Roman"/>
          <w:color w:val="141414"/>
          <w:sz w:val="22"/>
          <w:szCs w:val="22"/>
        </w:rPr>
        <w:t xml:space="preserve">(a)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7100K white LED light modules in lieu of single 12mm white neon;</w:t>
      </w:r>
    </w:p>
    <w:p>
      <w:pPr>
        <w:spacing w:after="160" w:line="340"/>
        <w:ind w:left="720" w:hanging="360"/>
      </w:pPr>
      <w:r>
        <w:rPr>
          <w:rFonts w:ascii="Times New Roman" w:cs="Times New Roman" w:eastAsia="Times New Roman" w:hAnsi="Times New Roman"/>
          <w:color w:val="141414"/>
          <w:sz w:val="22"/>
          <w:szCs w:val="22"/>
        </w:rPr>
        <w:t xml:space="preserve">(b)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5″ channel letter return depth in lieu of five and one-half (5½″) inches;</w:t>
      </w:r>
    </w:p>
    <w:p>
      <w:pPr>
        <w:spacing w:after="160" w:line="340"/>
        <w:ind w:left="720" w:hanging="360"/>
      </w:pPr>
      <w:r>
        <w:rPr>
          <w:rFonts w:ascii="Times New Roman" w:cs="Times New Roman" w:eastAsia="Times New Roman" w:hAnsi="Times New Roman"/>
          <w:color w:val="141414"/>
          <w:sz w:val="22"/>
          <w:szCs w:val="22"/>
        </w:rPr>
        <w:t xml:space="preserve">(c)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.040 aluminum returns painted bronze in lieu of bronze factory baked enamel finish, provided the coating is exterior-grade and color-matched to the specified bronze standard; and</w:t>
      </w:r>
    </w:p>
    <w:p>
      <w:pPr>
        <w:spacing w:after="160" w:line="340"/>
        <w:ind w:left="720" w:hanging="360"/>
      </w:pPr>
      <w:r>
        <w:rPr>
          <w:rFonts w:ascii="Times New Roman" w:cs="Times New Roman" w:eastAsia="Times New Roman" w:hAnsi="Times New Roman"/>
          <w:color w:val="141414"/>
          <w:sz w:val="22"/>
          <w:szCs w:val="22"/>
        </w:rPr>
        <w:t xml:space="preserve">(d) </w:t>
      </w:r>
      <w:r>
        <w:rPr>
          <w:rFonts w:ascii="Times New Roman" w:cs="Times New Roman" w:eastAsia="Times New Roman" w:hAnsi="Times New Roman"/>
          <w:i/>
          <w:iCs/>
          <w:color w:val="141414"/>
          <w:sz w:val="22"/>
          <w:szCs w:val="22"/>
        </w:rPr>
        <w:t xml:space="preserve"/>
      </w:r>
      <w:r>
        <w:rPr>
          <w:rFonts w:ascii="Times New Roman" w:cs="Times New Roman" w:eastAsia="Times New Roman" w:hAnsi="Times New Roman"/>
          <w:color w:val="141414"/>
          <w:sz w:val="22"/>
          <w:szCs w:val="22"/>
        </w:rPr>
        <w:t xml:space="preserve">the second-line light cabinet reading “Physical Therapy and Wellness” (74.43″ W × 5.47″ H) notwithstanding Schedule D’s limitation of cabinets to the store identity name.</w:t>
      </w:r>
    </w:p>
    <w:p>
      <w:pPr>
        <w:spacing w:after="160" w:before="0" w:line="340"/>
        <w:jc w:val="left"/>
      </w:pPr>
      <w:r>
        <w:rPr>
          <w:rFonts w:ascii="Times New Roman" w:cs="Times New Roman" w:eastAsia="Times New Roman" w:hAnsi="Times New Roman"/>
          <w:color w:val="141414"/>
          <w:sz w:val="22"/>
          <w:szCs w:val="22"/>
        </w:rPr>
        <w:t xml:space="preserve">Each variance is granted for this installation only, is personal to Lessee, and is neither an amendment to Schedule D nor a precedent. No variance extends to any other sign, any other tenant, or any future replacement or refacing of this sign.</w:t>
      </w:r>
    </w:p>
    <w:p>
      <w:pPr>
        <w:spacing w:after="160" w:line="340"/>
      </w:pPr>
      <w:r>
        <w:rPr>
          <w:rFonts w:ascii="Times New Roman" w:cs="Times New Roman" w:eastAsia="Times New Roman" w:hAnsi="Times New Roman"/>
          <w:b/>
          <w:bCs/>
          <w:color w:val="141414"/>
          <w:sz w:val="22"/>
          <w:szCs w:val="22"/>
        </w:rPr>
        <w:t xml:space="preserve">3. </w:t>
      </w:r>
      <w:r>
        <w:rPr>
          <w:rFonts w:ascii="Times New Roman" w:cs="Times New Roman" w:eastAsia="Times New Roman" w:hAnsi="Times New Roman"/>
          <w:b/>
          <w:bCs/>
          <w:color w:val="141414"/>
          <w:sz w:val="22"/>
          <w:szCs w:val="22"/>
        </w:rPr>
        <w:t xml:space="preserve">Required modifications; resubmittal.</w:t>
      </w:r>
      <w:r>
        <w:rPr>
          <w:rFonts w:ascii="Times New Roman" w:cs="Times New Roman" w:eastAsia="Times New Roman" w:hAnsi="Times New Roman"/>
          <w:color w:val="141414"/>
          <w:sz w:val="22"/>
          <w:szCs w:val="22"/>
        </w:rPr>
        <w:t xml:space="preserve"> Lessee shall cause the drawing set to be revised and resubmitted as follows:</w:t>
      </w:r>
    </w:p>
    <w:p>
      <w:pPr>
        <w:spacing w:after="160" w:line="340"/>
        <w:ind w:left="720" w:hanging="360"/>
      </w:pPr>
      <w:r>
        <w:rPr>
          <w:rFonts w:ascii="Times New Roman" w:cs="Times New Roman" w:eastAsia="Times New Roman" w:hAnsi="Times New Roman"/>
          <w:color w:val="141414"/>
          <w:sz w:val="22"/>
          <w:szCs w:val="22"/>
        </w:rPr>
        <w:t xml:space="preserve">(a) </w:t>
      </w:r>
      <w:r>
        <w:rPr>
          <w:rFonts w:ascii="Times New Roman" w:cs="Times New Roman" w:eastAsia="Times New Roman" w:hAnsi="Times New Roman"/>
          <w:i/>
          <w:iCs/>
          <w:color w:val="141414"/>
          <w:sz w:val="22"/>
          <w:szCs w:val="22"/>
        </w:rPr>
        <w:t xml:space="preserve">Door and window lettering. </w:t>
      </w:r>
      <w:r>
        <w:rPr>
          <w:rFonts w:ascii="Times New Roman" w:cs="Times New Roman" w:eastAsia="Times New Roman" w:hAnsi="Times New Roman"/>
          <w:color w:val="141414"/>
          <w:sz w:val="22"/>
          <w:szCs w:val="22"/>
        </w:rPr>
        <w:t xml:space="preserve">Schedule D limits lettering on doors, windows, and show windows to six (6″) inches in height and prohibits its illumination. The front and back door vinyl at 6.82″ (Sheet 5) and the window graphics at 12″ (Sheet 6) exceed this limit. Revise all door and window copy and graphics to a maximum of six (6″) inches in height. Sheet 6 states quantity (2) and depicts four; confirm the quantity and locations.</w:t>
      </w:r>
    </w:p>
    <w:p>
      <w:pPr>
        <w:spacing w:after="160" w:line="340"/>
        <w:ind w:left="720" w:hanging="360"/>
      </w:pPr>
      <w:r>
        <w:rPr>
          <w:rFonts w:ascii="Times New Roman" w:cs="Times New Roman" w:eastAsia="Times New Roman" w:hAnsi="Times New Roman"/>
          <w:color w:val="141414"/>
          <w:sz w:val="22"/>
          <w:szCs w:val="22"/>
        </w:rPr>
        <w:t xml:space="preserve">(b) </w:t>
      </w:r>
      <w:r>
        <w:rPr>
          <w:rFonts w:ascii="Times New Roman" w:cs="Times New Roman" w:eastAsia="Times New Roman" w:hAnsi="Times New Roman"/>
          <w:i/>
          <w:iCs/>
          <w:color w:val="141414"/>
          <w:sz w:val="22"/>
          <w:szCs w:val="22"/>
        </w:rPr>
        <w:t xml:space="preserve">Illumination control. </w:t>
      </w:r>
      <w:r>
        <w:rPr>
          <w:rFonts w:ascii="Times New Roman" w:cs="Times New Roman" w:eastAsia="Times New Roman" w:hAnsi="Times New Roman"/>
          <w:color w:val="141414"/>
          <w:sz w:val="22"/>
          <w:szCs w:val="22"/>
        </w:rPr>
        <w:t xml:space="preserve">Schedule D requires signs to turn on automatically at dusk and off at 12:00 midnight each day. A photocell alone operates dusk to dawn and does not satisfy this requirement. Add a timer or astronomical time clock in series with the photocell and note it on the drawing.</w:t>
      </w:r>
    </w:p>
    <w:p>
      <w:pPr>
        <w:spacing w:after="160" w:line="340"/>
        <w:ind w:left="720" w:hanging="360"/>
      </w:pPr>
      <w:r>
        <w:rPr>
          <w:rFonts w:ascii="Times New Roman" w:cs="Times New Roman" w:eastAsia="Times New Roman" w:hAnsi="Times New Roman"/>
          <w:color w:val="141414"/>
          <w:sz w:val="22"/>
          <w:szCs w:val="22"/>
        </w:rPr>
        <w:t xml:space="preserve">(c) </w:t>
      </w:r>
      <w:r>
        <w:rPr>
          <w:rFonts w:ascii="Times New Roman" w:cs="Times New Roman" w:eastAsia="Times New Roman" w:hAnsi="Times New Roman"/>
          <w:i/>
          <w:iCs/>
          <w:color w:val="141414"/>
          <w:sz w:val="22"/>
          <w:szCs w:val="22"/>
        </w:rPr>
        <w:t xml:space="preserve">Corner clearance. </w:t>
      </w:r>
      <w:r>
        <w:rPr>
          <w:rFonts w:ascii="Times New Roman" w:cs="Times New Roman" w:eastAsia="Times New Roman" w:hAnsi="Times New Roman"/>
          <w:color w:val="141414"/>
          <w:sz w:val="22"/>
          <w:szCs w:val="22"/>
        </w:rPr>
        <w:t xml:space="preserve">No letters shall be nearer than two (2′) feet to either corner of the Premises. Add dimensioned offsets from both corners to the front elevation.</w:t>
      </w:r>
    </w:p>
    <w:p>
      <w:pPr>
        <w:spacing w:after="160" w:line="340"/>
        <w:ind w:left="720" w:hanging="360"/>
      </w:pPr>
      <w:r>
        <w:rPr>
          <w:rFonts w:ascii="Times New Roman" w:cs="Times New Roman" w:eastAsia="Times New Roman" w:hAnsi="Times New Roman"/>
          <w:color w:val="141414"/>
          <w:sz w:val="22"/>
          <w:szCs w:val="22"/>
        </w:rPr>
        <w:t xml:space="preserve">(d) </w:t>
      </w:r>
      <w:r>
        <w:rPr>
          <w:rFonts w:ascii="Times New Roman" w:cs="Times New Roman" w:eastAsia="Times New Roman" w:hAnsi="Times New Roman"/>
          <w:i/>
          <w:iCs/>
          <w:color w:val="141414"/>
          <w:sz w:val="22"/>
          <w:szCs w:val="22"/>
        </w:rPr>
        <w:t xml:space="preserve">Sign area. </w:t>
      </w:r>
      <w:r>
        <w:rPr>
          <w:rFonts w:ascii="Times New Roman" w:cs="Times New Roman" w:eastAsia="Times New Roman" w:hAnsi="Times New Roman"/>
          <w:color w:val="141414"/>
          <w:sz w:val="22"/>
          <w:szCs w:val="22"/>
        </w:rPr>
        <w:t xml:space="preserve">Sheet 3 states 17.6 SF and Sheet 4 states 22.1 SF for the same sign. Reconcile to a single figure, state the method of measurement, and use that figure in the permit application.</w:t>
      </w:r>
    </w:p>
    <w:p>
      <w:pPr>
        <w:spacing w:after="160" w:line="340"/>
        <w:ind w:left="720" w:hanging="360"/>
      </w:pPr>
      <w:r>
        <w:rPr>
          <w:rFonts w:ascii="Times New Roman" w:cs="Times New Roman" w:eastAsia="Times New Roman" w:hAnsi="Times New Roman"/>
          <w:color w:val="141414"/>
          <w:sz w:val="22"/>
          <w:szCs w:val="22"/>
        </w:rPr>
        <w:t xml:space="preserve">(e) </w:t>
      </w:r>
      <w:r>
        <w:rPr>
          <w:rFonts w:ascii="Times New Roman" w:cs="Times New Roman" w:eastAsia="Times New Roman" w:hAnsi="Times New Roman"/>
          <w:i/>
          <w:iCs/>
          <w:color w:val="141414"/>
          <w:sz w:val="22"/>
          <w:szCs w:val="22"/>
        </w:rPr>
        <w:t xml:space="preserve">Raceway. </w:t>
      </w:r>
      <w:r>
        <w:rPr>
          <w:rFonts w:ascii="Times New Roman" w:cs="Times New Roman" w:eastAsia="Times New Roman" w:hAnsi="Times New Roman"/>
          <w:color w:val="141414"/>
          <w:sz w:val="22"/>
          <w:szCs w:val="22"/>
        </w:rPr>
        <w:t xml:space="preserve">Sheets 3 and 4 specify 5″ × 5″; the detail section specifies 4″ × 7″. Reconcile. Schedule D requires the raceway to be painted the same color as the building fascia to which it is attached. PMS 7501C is accepted only upon the manufacturer’s written confirmation that it matches the existing fascia; absent that confirmation, the raceway shall be field-matched.</w:t>
      </w:r>
    </w:p>
    <w:p>
      <w:pPr>
        <w:spacing w:after="160" w:line="340"/>
        <w:ind w:left="720" w:hanging="360"/>
      </w:pPr>
      <w:r>
        <w:rPr>
          <w:rFonts w:ascii="Times New Roman" w:cs="Times New Roman" w:eastAsia="Times New Roman" w:hAnsi="Times New Roman"/>
          <w:color w:val="141414"/>
          <w:sz w:val="22"/>
          <w:szCs w:val="22"/>
        </w:rPr>
        <w:t xml:space="preserve">(f) </w:t>
      </w:r>
      <w:r>
        <w:rPr>
          <w:rFonts w:ascii="Times New Roman" w:cs="Times New Roman" w:eastAsia="Times New Roman" w:hAnsi="Times New Roman"/>
          <w:i/>
          <w:iCs/>
          <w:color w:val="141414"/>
          <w:sz w:val="22"/>
          <w:szCs w:val="22"/>
        </w:rPr>
        <w:t xml:space="preserve">Overall assembly height. </w:t>
      </w:r>
      <w:r>
        <w:rPr>
          <w:rFonts w:ascii="Times New Roman" w:cs="Times New Roman" w:eastAsia="Times New Roman" w:hAnsi="Times New Roman"/>
          <w:color w:val="141414"/>
          <w:sz w:val="22"/>
          <w:szCs w:val="22"/>
        </w:rPr>
        <w:t xml:space="preserve">The set gives no dimension for the overall height of the two-line assembly. Add it. As submitted, and per the manufacturer’s own note, overall height shall not exceed twenty-six (26″) inches.</w:t>
      </w:r>
    </w:p>
    <w:p>
      <w:pPr>
        <w:spacing w:after="160" w:line="340"/>
        <w:ind w:left="720" w:hanging="360"/>
      </w:pPr>
      <w:r>
        <w:rPr>
          <w:rFonts w:ascii="Times New Roman" w:cs="Times New Roman" w:eastAsia="Times New Roman" w:hAnsi="Times New Roman"/>
          <w:color w:val="141414"/>
          <w:sz w:val="22"/>
          <w:szCs w:val="22"/>
        </w:rPr>
        <w:t xml:space="preserve">(g) </w:t>
      </w:r>
      <w:r>
        <w:rPr>
          <w:rFonts w:ascii="Times New Roman" w:cs="Times New Roman" w:eastAsia="Times New Roman" w:hAnsi="Times New Roman"/>
          <w:i/>
          <w:iCs/>
          <w:color w:val="141414"/>
          <w:sz w:val="22"/>
          <w:szCs w:val="22"/>
        </w:rPr>
        <w:t xml:space="preserve">Premises address. </w:t>
      </w:r>
      <w:r>
        <w:rPr>
          <w:rFonts w:ascii="Times New Roman" w:cs="Times New Roman" w:eastAsia="Times New Roman" w:hAnsi="Times New Roman"/>
          <w:color w:val="141414"/>
          <w:sz w:val="22"/>
          <w:szCs w:val="22"/>
        </w:rPr>
        <w:t xml:space="preserve">The information block on Sheets 2 through 8 reads “5533 Corporation Dr Ste, Lafayette West LA 28348.” The Premises are 145 Arnould Blvd., Lafayette, Louisiana 70506. Correct this on every sheet before any permit application is filed.</w:t>
      </w:r>
    </w:p>
    <w:p>
      <w:pPr>
        <w:spacing w:after="160" w:line="340"/>
        <w:ind w:left="720" w:hanging="360"/>
      </w:pPr>
      <w:r>
        <w:rPr>
          <w:rFonts w:ascii="Times New Roman" w:cs="Times New Roman" w:eastAsia="Times New Roman" w:hAnsi="Times New Roman"/>
          <w:color w:val="141414"/>
          <w:sz w:val="22"/>
          <w:szCs w:val="22"/>
        </w:rPr>
        <w:t xml:space="preserve">(h) </w:t>
      </w:r>
      <w:r>
        <w:rPr>
          <w:rFonts w:ascii="Times New Roman" w:cs="Times New Roman" w:eastAsia="Times New Roman" w:hAnsi="Times New Roman"/>
          <w:i/>
          <w:iCs/>
          <w:color w:val="141414"/>
          <w:sz w:val="22"/>
          <w:szCs w:val="22"/>
        </w:rPr>
        <w:t xml:space="preserve">Revision dates. </w:t>
      </w:r>
      <w:r>
        <w:rPr>
          <w:rFonts w:ascii="Times New Roman" w:cs="Times New Roman" w:eastAsia="Times New Roman" w:hAnsi="Times New Roman"/>
          <w:color w:val="141414"/>
          <w:sz w:val="22"/>
          <w:szCs w:val="22"/>
        </w:rPr>
        <w:t xml:space="preserve">Sheet 3 is dated 05/06/2025; Sheets 2 and 4 through 8 are dated 07/01/2026. Reissue the complete set under one revision date.</w:t>
      </w:r>
    </w:p>
    <w:p>
      <w:pPr>
        <w:spacing w:after="160" w:line="340"/>
        <w:ind w:left="720" w:hanging="360"/>
      </w:pPr>
      <w:r>
        <w:rPr>
          <w:rFonts w:ascii="Times New Roman" w:cs="Times New Roman" w:eastAsia="Times New Roman" w:hAnsi="Times New Roman"/>
          <w:color w:val="141414"/>
          <w:sz w:val="22"/>
          <w:szCs w:val="22"/>
        </w:rPr>
        <w:t xml:space="preserve">(i) </w:t>
      </w:r>
      <w:r>
        <w:rPr>
          <w:rFonts w:ascii="Times New Roman" w:cs="Times New Roman" w:eastAsia="Times New Roman" w:hAnsi="Times New Roman"/>
          <w:i/>
          <w:iCs/>
          <w:color w:val="141414"/>
          <w:sz w:val="22"/>
          <w:szCs w:val="22"/>
        </w:rPr>
        <w:t xml:space="preserve">Monument panel specifications. </w:t>
      </w:r>
      <w:r>
        <w:rPr>
          <w:rFonts w:ascii="Times New Roman" w:cs="Times New Roman" w:eastAsia="Times New Roman" w:hAnsi="Times New Roman"/>
          <w:color w:val="141414"/>
          <w:sz w:val="22"/>
          <w:szCs w:val="22"/>
        </w:rPr>
        <w:t xml:space="preserve">Sheet 8 states a cut size of 49″ W × 25.25″ H at quantity two (2), and separately “Height: 17.75 Inches, Width: 78 Inches, Sides: 1.” Reconcile.</w:t>
      </w:r>
    </w:p>
    <w:p>
      <w:pPr>
        <w:spacing w:after="160" w:line="340"/>
      </w:pPr>
      <w:r>
        <w:rPr>
          <w:rFonts w:ascii="Times New Roman" w:cs="Times New Roman" w:eastAsia="Times New Roman" w:hAnsi="Times New Roman"/>
          <w:b/>
          <w:bCs/>
          <w:color w:val="141414"/>
          <w:sz w:val="22"/>
          <w:szCs w:val="22"/>
        </w:rPr>
        <w:t xml:space="preserve">4. </w:t>
      </w:r>
      <w:r>
        <w:rPr>
          <w:rFonts w:ascii="Times New Roman" w:cs="Times New Roman" w:eastAsia="Times New Roman" w:hAnsi="Times New Roman"/>
          <w:b/>
          <w:bCs/>
          <w:color w:val="141414"/>
          <w:sz w:val="22"/>
          <w:szCs w:val="22"/>
        </w:rPr>
        <w:t xml:space="preserve">Parking signage and designated spaces.</w:t>
      </w:r>
      <w:r>
        <w:rPr>
          <w:rFonts w:ascii="Times New Roman" w:cs="Times New Roman" w:eastAsia="Times New Roman" w:hAnsi="Times New Roman"/>
          <w:color w:val="141414"/>
          <w:sz w:val="22"/>
          <w:szCs w:val="22"/>
        </w:rPr>
        <w:t xml:space="preserve"> Schedule D prohibits freestanding signs. Consistent with the parties’ agreement, Lessor confirms Lessee’s use of two (2) designated parking spaces and grants variance from Schedule D for two (2) 12″ × 18″ patient-parking signs, subject to each of the following:</w:t>
      </w:r>
    </w:p>
    <w:p>
      <w:pPr>
        <w:spacing w:after="160" w:line="340"/>
        <w:ind w:left="720" w:hanging="360"/>
      </w:pPr>
      <w:r>
        <w:rPr>
          <w:rFonts w:ascii="Times New Roman" w:cs="Times New Roman" w:eastAsia="Times New Roman" w:hAnsi="Times New Roman"/>
          <w:color w:val="141414"/>
          <w:sz w:val="22"/>
          <w:szCs w:val="22"/>
        </w:rPr>
        <w:t xml:space="preserve">(a) </w:t>
      </w:r>
      <w:r>
        <w:rPr>
          <w:rFonts w:ascii="Times New Roman" w:cs="Times New Roman" w:eastAsia="Times New Roman" w:hAnsi="Times New Roman"/>
          <w:i/>
          <w:iCs/>
          <w:color w:val="141414"/>
          <w:sz w:val="22"/>
          <w:szCs w:val="22"/>
        </w:rPr>
        <w:t xml:space="preserve">Location. </w:t>
      </w:r>
      <w:r>
        <w:rPr>
          <w:rFonts w:ascii="Times New Roman" w:cs="Times New Roman" w:eastAsia="Times New Roman" w:hAnsi="Times New Roman"/>
          <w:color w:val="141414"/>
          <w:sz w:val="22"/>
          <w:szCs w:val="22"/>
        </w:rPr>
        <w:t xml:space="preserve">The two (2) designated spaces shall be the two (2) stalls immediately adjacent to the Jason’s Deli to-go spaces, as marked on the site plan returned herewith. The location depicted in the submitted set is not approved. Lessor may relocate the designated stalls upon reasonable notice if required by site work, re-tenanting, or governmental requirement.</w:t>
      </w:r>
    </w:p>
    <w:p>
      <w:pPr>
        <w:spacing w:after="160" w:line="340"/>
        <w:ind w:left="720" w:hanging="360"/>
      </w:pPr>
      <w:r>
        <w:rPr>
          <w:rFonts w:ascii="Times New Roman" w:cs="Times New Roman" w:eastAsia="Times New Roman" w:hAnsi="Times New Roman"/>
          <w:color w:val="141414"/>
          <w:sz w:val="22"/>
          <w:szCs w:val="22"/>
        </w:rPr>
        <w:t xml:space="preserve">(b) </w:t>
      </w:r>
      <w:r>
        <w:rPr>
          <w:rFonts w:ascii="Times New Roman" w:cs="Times New Roman" w:eastAsia="Times New Roman" w:hAnsi="Times New Roman"/>
          <w:i/>
          <w:iCs/>
          <w:color w:val="141414"/>
          <w:sz w:val="22"/>
          <w:szCs w:val="22"/>
        </w:rPr>
        <w:t xml:space="preserve">Mounting. </w:t>
      </w:r>
      <w:r>
        <w:rPr>
          <w:rFonts w:ascii="Times New Roman" w:cs="Times New Roman" w:eastAsia="Times New Roman" w:hAnsi="Times New Roman"/>
          <w:color w:val="141414"/>
          <w:sz w:val="22"/>
          <w:szCs w:val="22"/>
        </w:rPr>
        <w:t xml:space="preserve">Post type, base, and anchoring method are subject to Lessor’s approval prior to installation. No pavement striping, curb painting, or stenciling shall be performed without Lessor’s prior written approval.</w:t>
      </w:r>
    </w:p>
    <w:p>
      <w:pPr>
        <w:spacing w:after="160" w:line="340"/>
        <w:ind w:left="720" w:hanging="360"/>
      </w:pPr>
      <w:r>
        <w:rPr>
          <w:rFonts w:ascii="Times New Roman" w:cs="Times New Roman" w:eastAsia="Times New Roman" w:hAnsi="Times New Roman"/>
          <w:color w:val="141414"/>
          <w:sz w:val="22"/>
          <w:szCs w:val="22"/>
        </w:rPr>
        <w:t xml:space="preserve">(c) </w:t>
      </w:r>
      <w:r>
        <w:rPr>
          <w:rFonts w:ascii="Times New Roman" w:cs="Times New Roman" w:eastAsia="Times New Roman" w:hAnsi="Times New Roman"/>
          <w:i/>
          <w:iCs/>
          <w:color w:val="141414"/>
          <w:sz w:val="22"/>
          <w:szCs w:val="22"/>
        </w:rPr>
        <w:t xml:space="preserve">Restoration. </w:t>
      </w:r>
      <w:r>
        <w:rPr>
          <w:rFonts w:ascii="Times New Roman" w:cs="Times New Roman" w:eastAsia="Times New Roman" w:hAnsi="Times New Roman"/>
          <w:color w:val="141414"/>
          <w:sz w:val="22"/>
          <w:szCs w:val="22"/>
        </w:rPr>
        <w:t xml:space="preserve">Upon removal, or at expiration or termination of the Lease, Lessee shall remove the posts and repair and restore the pavement at Lessee’s cost.</w:t>
      </w:r>
    </w:p>
    <w:p>
      <w:pPr>
        <w:spacing w:after="160" w:line="340"/>
        <w:ind w:left="720" w:hanging="360"/>
      </w:pPr>
      <w:r>
        <w:rPr>
          <w:rFonts w:ascii="Times New Roman" w:cs="Times New Roman" w:eastAsia="Times New Roman" w:hAnsi="Times New Roman"/>
          <w:color w:val="141414"/>
          <w:sz w:val="22"/>
          <w:szCs w:val="22"/>
        </w:rPr>
        <w:t xml:space="preserve">(d) </w:t>
      </w:r>
      <w:r>
        <w:rPr>
          <w:rFonts w:ascii="Times New Roman" w:cs="Times New Roman" w:eastAsia="Times New Roman" w:hAnsi="Times New Roman"/>
          <w:i/>
          <w:iCs/>
          <w:color w:val="141414"/>
          <w:sz w:val="22"/>
          <w:szCs w:val="22"/>
        </w:rPr>
        <w:t xml:space="preserve">Character of the grant. </w:t>
      </w:r>
      <w:r>
        <w:rPr>
          <w:rFonts w:ascii="Times New Roman" w:cs="Times New Roman" w:eastAsia="Times New Roman" w:hAnsi="Times New Roman"/>
          <w:color w:val="141414"/>
          <w:sz w:val="22"/>
          <w:szCs w:val="22"/>
        </w:rPr>
        <w:t xml:space="preserve">This is a limited consent. It creates no exclusive easement or servitude, does not reduce the common area, imposes no obligation on Lessor to police or enforce the designation against third parties, and creates no rights in favor of Lessee’s patrons or invitees. It is not a precedent for any other tenant.</w:t>
      </w:r>
    </w:p>
    <w:p>
      <w:pPr>
        <w:spacing w:after="160" w:line="340"/>
      </w:pPr>
      <w:r>
        <w:rPr>
          <w:rFonts w:ascii="Times New Roman" w:cs="Times New Roman" w:eastAsia="Times New Roman" w:hAnsi="Times New Roman"/>
          <w:b/>
          <w:bCs/>
          <w:color w:val="141414"/>
          <w:sz w:val="22"/>
          <w:szCs w:val="22"/>
        </w:rPr>
        <w:t xml:space="preserve">5. </w:t>
      </w:r>
      <w:r>
        <w:rPr>
          <w:rFonts w:ascii="Times New Roman" w:cs="Times New Roman" w:eastAsia="Times New Roman" w:hAnsi="Times New Roman"/>
          <w:b/>
          <w:bCs/>
          <w:color w:val="141414"/>
          <w:sz w:val="22"/>
          <w:szCs w:val="22"/>
        </w:rPr>
        <w:t xml:space="preserve">Monument / pylon panel — approval reserved.</w:t>
      </w:r>
      <w:r>
        <w:rPr>
          <w:rFonts w:ascii="Times New Roman" w:cs="Times New Roman" w:eastAsia="Times New Roman" w:hAnsi="Times New Roman"/>
          <w:color w:val="141414"/>
          <w:sz w:val="22"/>
          <w:szCs w:val="22"/>
        </w:rPr>
        <w:t xml:space="preserve"> Schedule D prohibits freestanding signs and confers no right to monument or pylon signage, and the Lease grants Lessee no such right. Any tenant panel on the Center’s pylon is therefore a matter of Lessor’s separate written consent, revocable, at Lessee’s sole cost of fabrication, installation, maintenance, and removal. Approval of the RTA tenant panel shown on Sheet 8 is reserved. If consent is given, panel size, module, background field, and mounting must conform to the existing panel standard on the pylon; Lessor withholds approval of the white panel field as depicted pending review against the adjacent panels.</w:t>
      </w:r>
    </w:p>
    <w:p>
      <w:pPr>
        <w:spacing w:after="160" w:line="340"/>
      </w:pPr>
      <w:r>
        <w:rPr>
          <w:rFonts w:ascii="Times New Roman" w:cs="Times New Roman" w:eastAsia="Times New Roman" w:hAnsi="Times New Roman"/>
          <w:b/>
          <w:bCs/>
          <w:color w:val="141414"/>
          <w:sz w:val="22"/>
          <w:szCs w:val="22"/>
        </w:rPr>
        <w:t xml:space="preserve">6. </w:t>
      </w:r>
      <w:r>
        <w:rPr>
          <w:rFonts w:ascii="Times New Roman" w:cs="Times New Roman" w:eastAsia="Times New Roman" w:hAnsi="Times New Roman"/>
          <w:b/>
          <w:bCs/>
          <w:color w:val="141414"/>
          <w:sz w:val="22"/>
          <w:szCs w:val="22"/>
        </w:rPr>
        <w:t xml:space="preserve">Sign manufacturer.</w:t>
      </w:r>
      <w:r>
        <w:rPr>
          <w:rFonts w:ascii="Times New Roman" w:cs="Times New Roman" w:eastAsia="Times New Roman" w:hAnsi="Times New Roman"/>
          <w:color w:val="141414"/>
          <w:sz w:val="22"/>
          <w:szCs w:val="22"/>
        </w:rPr>
        <w:t xml:space="preserve"> Schedule D requires Lessor’s prior written consent to the sign manufacturing company. Lessor approves Big Mouth Signs, Inc. for this installation, conditioned upon delivery to Lessor, before any work is performed at the Center, of a certificate of insurance evidencing commercial general liability and workers’ compensation coverage and naming Belle Realty of Lafayette, LLC as additional insured.</w:t>
      </w:r>
    </w:p>
    <w:p>
      <w:pPr>
        <w:spacing w:after="160" w:line="340"/>
      </w:pPr>
      <w:r>
        <w:rPr>
          <w:rFonts w:ascii="Times New Roman" w:cs="Times New Roman" w:eastAsia="Times New Roman" w:hAnsi="Times New Roman"/>
          <w:b/>
          <w:bCs/>
          <w:color w:val="141414"/>
          <w:sz w:val="22"/>
          <w:szCs w:val="22"/>
        </w:rPr>
        <w:t xml:space="preserve">7. </w:t>
      </w:r>
      <w:r>
        <w:rPr>
          <w:rFonts w:ascii="Times New Roman" w:cs="Times New Roman" w:eastAsia="Times New Roman" w:hAnsi="Times New Roman"/>
          <w:b/>
          <w:bCs/>
          <w:color w:val="141414"/>
          <w:sz w:val="22"/>
          <w:szCs w:val="22"/>
        </w:rPr>
        <w:t xml:space="preserve">Installation conditions.</w:t>
      </w:r>
      <w:r>
        <w:rPr>
          <w:rFonts w:ascii="Times New Roman" w:cs="Times New Roman" w:eastAsia="Times New Roman" w:hAnsi="Times New Roman"/>
          <w:color w:val="141414"/>
          <w:sz w:val="22"/>
          <w:szCs w:val="22"/>
        </w:rPr>
        <w:t xml:space="preserve"> All penetrations shall be thru-wall as detailed; no outside jumps. Lessee is responsible for weatherproofing every penetration and for repair of the fascia and wall upon removal. The 120v primary electrical service to the junction box is at Lessee’s cost and shall be connected to Lessee’s meter only. The sign shall be removed and the fascia restored at expiration or termination of the Lease. No installation shall commence prior to Lessor’s final written approval of the corrected set and issuance of the municipal sign permit.</w:t>
      </w:r>
    </w:p>
    <w:p>
      <w:pPr>
        <w:spacing w:after="160" w:line="340"/>
      </w:pPr>
      <w:r>
        <w:rPr>
          <w:rFonts w:ascii="Times New Roman" w:cs="Times New Roman" w:eastAsia="Times New Roman" w:hAnsi="Times New Roman"/>
          <w:b/>
          <w:bCs/>
          <w:color w:val="141414"/>
          <w:sz w:val="22"/>
          <w:szCs w:val="22"/>
        </w:rPr>
        <w:t xml:space="preserve">8. </w:t>
      </w:r>
      <w:r>
        <w:rPr>
          <w:rFonts w:ascii="Times New Roman" w:cs="Times New Roman" w:eastAsia="Times New Roman" w:hAnsi="Times New Roman"/>
          <w:b/>
          <w:bCs/>
          <w:color w:val="141414"/>
          <w:sz w:val="22"/>
          <w:szCs w:val="22"/>
        </w:rPr>
        <w:t xml:space="preserve">Conditions precedent to Lessor’s permit authorization.</w:t>
      </w:r>
      <w:r>
        <w:rPr>
          <w:rFonts w:ascii="Times New Roman" w:cs="Times New Roman" w:eastAsia="Times New Roman" w:hAnsi="Times New Roman"/>
          <w:color w:val="141414"/>
          <w:sz w:val="22"/>
          <w:szCs w:val="22"/>
        </w:rPr>
        <w:t xml:space="preserve"> The Authorization of the Property Owner form submitted by Big Mouth Signs, Inc. will be executed upon (i) Lessor’s receipt and written approval of the corrected drawing set required under Paragraph 3, and (ii) delivery to Lessor of the Lease for Suite 145 fully executed by Lessee, with the Effective Date completed and the Delivery Date recorded. Lessor’s execution of that form will authorize the permit application for the layouts as revised and approved only; Lessor does not certify the content of the applicant’s permit application.</w:t>
      </w:r>
    </w:p>
    <w:p>
      <w:pPr>
        <w:spacing w:after="160" w:line="340"/>
      </w:pPr>
      <w:r>
        <w:rPr>
          <w:rFonts w:ascii="Times New Roman" w:cs="Times New Roman" w:eastAsia="Times New Roman" w:hAnsi="Times New Roman"/>
          <w:b/>
          <w:bCs/>
          <w:color w:val="141414"/>
          <w:sz w:val="22"/>
          <w:szCs w:val="22"/>
        </w:rPr>
        <w:t xml:space="preserve">9. </w:t>
      </w:r>
      <w:r>
        <w:rPr>
          <w:rFonts w:ascii="Times New Roman" w:cs="Times New Roman" w:eastAsia="Times New Roman" w:hAnsi="Times New Roman"/>
          <w:b/>
          <w:bCs/>
          <w:color w:val="141414"/>
          <w:sz w:val="22"/>
          <w:szCs w:val="22"/>
        </w:rPr>
        <w:t xml:space="preserve">Reservation of rights.</w:t>
      </w:r>
      <w:r>
        <w:rPr>
          <w:rFonts w:ascii="Times New Roman" w:cs="Times New Roman" w:eastAsia="Times New Roman" w:hAnsi="Times New Roman"/>
          <w:color w:val="141414"/>
          <w:sz w:val="22"/>
          <w:szCs w:val="22"/>
        </w:rPr>
        <w:t xml:space="preserve"> This letter constitutes Lessor’s set returned with suggested modifications under Schedule D. Nothing herein amends the Lease or Schedule D, waives any requirement of Schedule D not expressly varied in Paragraph 2 or Paragraph 4, or constitutes approval of Lessee’s plans and specifications for space improvement work. Lessor reserves all rights and remedies, including its rights under Schedule D with respect to signs placed or erected without prior written approval.</w:t>
      </w:r>
    </w:p>
    <w:p>
      <w:pPr>
        <w:spacing w:after="240" w:before="240" w:line="340"/>
        <w:jc w:val="left"/>
      </w:pPr>
      <w:r>
        <w:rPr>
          <w:rFonts w:ascii="Times New Roman" w:cs="Times New Roman" w:eastAsia="Times New Roman" w:hAnsi="Times New Roman"/>
          <w:color w:val="141414"/>
          <w:sz w:val="22"/>
          <w:szCs w:val="22"/>
        </w:rPr>
        <w:t xml:space="preserve">Sincerely,</w:t>
      </w:r>
    </w:p>
    <w:p>
      <w:pPr>
        <w:spacing w:after="0" w:before="0" w:line="260"/>
        <w:jc w:val="left"/>
      </w:pPr>
      <w:r>
        <w:rPr>
          <w:rFonts w:ascii="Times New Roman" w:cs="Times New Roman" w:eastAsia="Times New Roman" w:hAnsi="Times New Roman"/>
          <w:color w:val="141414"/>
          <w:sz w:val="22"/>
          <w:szCs w:val="22"/>
        </w:rPr>
        <w:t xml:space="preserve">Belle Realty of Lafayette, LLC</w:t>
      </w:r>
    </w:p>
    <w:p>
      <w:pPr>
        <w:spacing w:after="400" w:before="0" w:line="260"/>
        <w:jc w:val="left"/>
      </w:pPr>
      <w:r>
        <w:rPr>
          <w:rFonts w:ascii="Times New Roman" w:cs="Times New Roman" w:eastAsia="Times New Roman" w:hAnsi="Times New Roman"/>
          <w:color w:val="141414"/>
          <w:sz w:val="22"/>
          <w:szCs w:val="22"/>
        </w:rPr>
        <w:t xml:space="preserve">By its authorized property manager, Orange Ocean, LLC</w:t>
      </w:r>
    </w:p>
    <w:p>
      <w:pPr>
        <w:spacing w:after="0" w:before="0" w:line="260"/>
        <w:jc w:val="left"/>
      </w:pPr>
      <w:r>
        <w:rPr>
          <w:rFonts w:ascii="Times New Roman" w:cs="Times New Roman" w:eastAsia="Times New Roman" w:hAnsi="Times New Roman"/>
          <w:color w:val="141414"/>
          <w:sz w:val="22"/>
          <w:szCs w:val="22"/>
        </w:rPr>
        <w:t xml:space="preserve">________________________________</w:t>
      </w:r>
    </w:p>
    <w:p>
      <w:pPr>
        <w:spacing w:after="0" w:before="0" w:line="260"/>
        <w:jc w:val="left"/>
      </w:pPr>
      <w:r>
        <w:rPr>
          <w:rFonts w:ascii="Times New Roman" w:cs="Times New Roman" w:eastAsia="Times New Roman" w:hAnsi="Times New Roman"/>
          <w:color w:val="141414"/>
          <w:sz w:val="22"/>
          <w:szCs w:val="22"/>
        </w:rPr>
        <w:t xml:space="preserve">Adam Anthony Abdalla</w:t>
      </w:r>
    </w:p>
    <w:p>
      <w:pPr>
        <w:spacing w:after="320" w:before="0" w:line="260"/>
        <w:jc w:val="left"/>
      </w:pPr>
      <w:r>
        <w:rPr>
          <w:rFonts w:ascii="Times New Roman" w:cs="Times New Roman" w:eastAsia="Times New Roman" w:hAnsi="Times New Roman"/>
          <w:color w:val="141414"/>
          <w:sz w:val="22"/>
          <w:szCs w:val="22"/>
        </w:rPr>
        <w:t xml:space="preserve">Authorized Representative</w:t>
      </w:r>
    </w:p>
    <w:p>
      <w:pPr>
        <w:spacing w:after="40" w:before="0" w:line="260"/>
        <w:jc w:val="left"/>
      </w:pPr>
      <w:r>
        <w:rPr>
          <w:rFonts w:ascii="Times New Roman" w:cs="Times New Roman" w:eastAsia="Times New Roman" w:hAnsi="Times New Roman"/>
          <w:b/>
          <w:bCs/>
          <w:color w:val="141414"/>
          <w:sz w:val="22"/>
          <w:szCs w:val="22"/>
        </w:rPr>
        <w:t xml:space="preserve">cc:</w:t>
      </w:r>
      <w:r>
        <w:rPr>
          <w:rFonts w:ascii="Times New Roman" w:cs="Times New Roman" w:eastAsia="Times New Roman" w:hAnsi="Times New Roman"/>
          <w:color w:val="141414"/>
          <w:sz w:val="22"/>
          <w:szCs w:val="22"/>
        </w:rPr>
        <w:t xml:space="preserve">  Big Mouth Signs, Inc. — Paul Pertelesi, paul@bigmouthsigns.com</w:t>
      </w:r>
    </w:p>
    <w:p>
      <w:pPr>
        <w:spacing w:after="0" w:before="0" w:line="260"/>
        <w:jc w:val="left"/>
      </w:pPr>
      <w:r>
        <w:rPr>
          <w:rFonts w:ascii="Times New Roman" w:cs="Times New Roman" w:eastAsia="Times New Roman" w:hAnsi="Times New Roman"/>
          <w:b/>
          <w:bCs/>
          <w:color w:val="141414"/>
          <w:sz w:val="22"/>
          <w:szCs w:val="22"/>
        </w:rPr>
        <w:t xml:space="preserve">Enclosures:</w:t>
      </w:r>
      <w:r>
        <w:rPr>
          <w:rFonts w:ascii="Times New Roman" w:cs="Times New Roman" w:eastAsia="Times New Roman" w:hAnsi="Times New Roman"/>
          <w:color w:val="141414"/>
          <w:sz w:val="22"/>
          <w:szCs w:val="22"/>
        </w:rPr>
        <w:t xml:space="preserve">  Sign package Sheets 1–8, marked; site plan with designated parking stalls marked; Schedule 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2026-08-11T08:31:44.929Z</dcterms:created>
  <dcterms:modified xsi:type="dcterms:W3CDTF">2026-08-11T08:31:44.958Z</dcterms:modified>
</cp:coreProperties>
</file>

<file path=docProps/custom.xml><?xml version="1.0" encoding="utf-8"?>
<Properties xmlns="http://schemas.openxmlformats.org/officeDocument/2006/custom-properties" xmlns:vt="http://schemas.openxmlformats.org/officeDocument/2006/docPropsVTypes"/>
</file>