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1C59C" w14:textId="77777777" w:rsidR="0053176F" w:rsidRDefault="00C773BB">
      <w:pPr>
        <w:spacing w:after="40" w:line="340" w:lineRule="auto"/>
        <w:jc w:val="center"/>
      </w:pPr>
      <w:r>
        <w:rPr>
          <w:b/>
          <w:bCs/>
          <w:spacing w:val="40"/>
          <w:sz w:val="26"/>
          <w:szCs w:val="26"/>
        </w:rPr>
        <w:t>BELLE REALTY OF LAFAYETTE, LLC</w:t>
      </w:r>
    </w:p>
    <w:p w14:paraId="5616DB78" w14:textId="77777777" w:rsidR="0053176F" w:rsidRDefault="00C773BB">
      <w:pPr>
        <w:pBdr>
          <w:bottom w:val="single" w:sz="6" w:space="8" w:color="141414"/>
        </w:pBdr>
        <w:spacing w:after="240" w:line="340" w:lineRule="auto"/>
        <w:jc w:val="center"/>
      </w:pPr>
      <w:r>
        <w:rPr>
          <w:color w:val="888888"/>
          <w:sz w:val="18"/>
          <w:szCs w:val="18"/>
        </w:rPr>
        <w:t xml:space="preserve">101–149 Arnould Blvd.  </w:t>
      </w:r>
      <w:proofErr w:type="gramStart"/>
      <w:r>
        <w:rPr>
          <w:color w:val="888888"/>
          <w:sz w:val="18"/>
          <w:szCs w:val="18"/>
        </w:rPr>
        <w:t>·  Lafayette</w:t>
      </w:r>
      <w:proofErr w:type="gramEnd"/>
      <w:r>
        <w:rPr>
          <w:color w:val="888888"/>
          <w:sz w:val="18"/>
          <w:szCs w:val="18"/>
        </w:rPr>
        <w:t xml:space="preserve">, Louisiana </w:t>
      </w:r>
      <w:proofErr w:type="gramStart"/>
      <w:r>
        <w:rPr>
          <w:color w:val="888888"/>
          <w:sz w:val="18"/>
          <w:szCs w:val="18"/>
        </w:rPr>
        <w:t>70506  ·</w:t>
      </w:r>
      <w:proofErr w:type="gramEnd"/>
      <w:r>
        <w:rPr>
          <w:color w:val="888888"/>
          <w:sz w:val="18"/>
          <w:szCs w:val="18"/>
        </w:rPr>
        <w:t xml:space="preserve">  337-769-</w:t>
      </w:r>
      <w:proofErr w:type="gramStart"/>
      <w:r>
        <w:rPr>
          <w:color w:val="888888"/>
          <w:sz w:val="18"/>
          <w:szCs w:val="18"/>
        </w:rPr>
        <w:t>1554  ·</w:t>
      </w:r>
      <w:proofErr w:type="gramEnd"/>
      <w:r>
        <w:rPr>
          <w:color w:val="888888"/>
          <w:sz w:val="18"/>
          <w:szCs w:val="18"/>
        </w:rPr>
        <w:t xml:space="preserve">  adam@belle-realty.com</w:t>
      </w:r>
    </w:p>
    <w:p w14:paraId="45EE76B7" w14:textId="77777777" w:rsidR="0053176F" w:rsidRDefault="00C773BB">
      <w:pPr>
        <w:spacing w:after="40" w:line="340" w:lineRule="auto"/>
      </w:pPr>
      <w:r>
        <w:t>[Date]</w:t>
      </w:r>
    </w:p>
    <w:p w14:paraId="684D2870" w14:textId="77777777" w:rsidR="0053176F" w:rsidRDefault="00C773BB">
      <w:pPr>
        <w:spacing w:after="240" w:line="340" w:lineRule="auto"/>
      </w:pPr>
      <w:r>
        <w:rPr>
          <w:spacing w:val="20"/>
        </w:rPr>
        <w:t>VIA EMAIL</w:t>
      </w:r>
    </w:p>
    <w:p w14:paraId="73154858" w14:textId="77777777" w:rsidR="0053176F" w:rsidRDefault="00C773BB">
      <w:pPr>
        <w:spacing w:line="260" w:lineRule="auto"/>
      </w:pPr>
      <w:r>
        <w:t>Upstream Growth Partners, LLC</w:t>
      </w:r>
    </w:p>
    <w:p w14:paraId="12855B3F" w14:textId="77777777" w:rsidR="0053176F" w:rsidRDefault="00C773BB">
      <w:pPr>
        <w:spacing w:line="260" w:lineRule="auto"/>
      </w:pPr>
      <w:r>
        <w:t>c/o Upstream Rehabilitation, Inc.</w:t>
      </w:r>
    </w:p>
    <w:p w14:paraId="210A3C5B" w14:textId="77777777" w:rsidR="0053176F" w:rsidRDefault="00C773BB">
      <w:pPr>
        <w:spacing w:line="260" w:lineRule="auto"/>
      </w:pPr>
      <w:r>
        <w:t>Attn: Amy Elmer, [Title]</w:t>
      </w:r>
    </w:p>
    <w:p w14:paraId="20BA38F1" w14:textId="77777777" w:rsidR="0053176F" w:rsidRDefault="00C773BB">
      <w:pPr>
        <w:spacing w:line="260" w:lineRule="auto"/>
      </w:pPr>
      <w:r>
        <w:t>[Street Address]</w:t>
      </w:r>
    </w:p>
    <w:p w14:paraId="23272CC6" w14:textId="77777777" w:rsidR="0053176F" w:rsidRDefault="00C773BB">
      <w:pPr>
        <w:spacing w:line="260" w:lineRule="auto"/>
      </w:pPr>
      <w:r>
        <w:t>[City, State ZIP]</w:t>
      </w:r>
    </w:p>
    <w:p w14:paraId="30ED7CC0" w14:textId="77777777" w:rsidR="0053176F" w:rsidRDefault="0053176F">
      <w:pPr>
        <w:spacing w:after="160" w:line="340" w:lineRule="auto"/>
      </w:pPr>
    </w:p>
    <w:p w14:paraId="21D79CE8" w14:textId="77777777" w:rsidR="0053176F" w:rsidRDefault="00C773BB">
      <w:pPr>
        <w:spacing w:after="40" w:line="280" w:lineRule="auto"/>
      </w:pPr>
      <w:r>
        <w:rPr>
          <w:b/>
          <w:bCs/>
        </w:rPr>
        <w:t xml:space="preserve">Re:  Conditional Sign Approval — Suite 145, On </w:t>
      </w:r>
      <w:proofErr w:type="gramStart"/>
      <w:r>
        <w:rPr>
          <w:b/>
          <w:bCs/>
        </w:rPr>
        <w:t>The</w:t>
      </w:r>
      <w:proofErr w:type="gramEnd"/>
      <w:r>
        <w:rPr>
          <w:b/>
          <w:bCs/>
        </w:rPr>
        <w:t xml:space="preserve"> Boulevard Shopping Center, 145 Arnould Blvd., Lafayette, LA 70506</w:t>
      </w:r>
    </w:p>
    <w:p w14:paraId="67AB2AE0" w14:textId="77777777" w:rsidR="0053176F" w:rsidRDefault="00C773BB">
      <w:pPr>
        <w:spacing w:after="280" w:line="280" w:lineRule="auto"/>
        <w:ind w:left="480"/>
      </w:pPr>
      <w:r>
        <w:t>Sign package: Big Mouth Signs, Inc., Project 11558 – PFPT – Lafayette West – LA – New Sign Package, Sheets 1–8</w:t>
      </w:r>
    </w:p>
    <w:p w14:paraId="2C98AEDD" w14:textId="77777777" w:rsidR="0053176F" w:rsidRDefault="00C773BB">
      <w:pPr>
        <w:spacing w:after="160" w:line="340" w:lineRule="auto"/>
      </w:pPr>
      <w:r>
        <w:t>Ms. Elmer:</w:t>
      </w:r>
    </w:p>
    <w:p w14:paraId="787925CE" w14:textId="77777777" w:rsidR="0053176F" w:rsidRDefault="00C773BB">
      <w:pPr>
        <w:spacing w:after="160" w:line="340" w:lineRule="auto"/>
      </w:pPr>
      <w:r>
        <w:t>Lessor has reviewed the above sign package against Schedule D of the Lease (Design Criteria for Lessee Signs). Pursuant to Schedule D, Lessor returns one set herewith with its approval and its suggested modifications. Approval is conditional as set out below.</w:t>
      </w:r>
    </w:p>
    <w:p w14:paraId="5AAC41A7" w14:textId="77777777" w:rsidR="0053176F" w:rsidRDefault="00C773BB">
      <w:pPr>
        <w:spacing w:after="160" w:line="340" w:lineRule="auto"/>
      </w:pPr>
      <w:r>
        <w:rPr>
          <w:b/>
          <w:bCs/>
        </w:rPr>
        <w:t>1. Approved as submitted.</w:t>
      </w:r>
      <w:r>
        <w:t xml:space="preserve"> Storefront location on the canopy fascia sign band; letter height (19.34″ logo; 5.47″ second line) within the twenty-six (26″) inch maximum; lettering length of 97.31″ against 260″ of Premises frontage, within the eighty percent (80%) maximum; raceway dimensions within the eight (8″) inch width and eight (8″) inch depth maximum; one (1″) inch gold </w:t>
      </w:r>
      <w:proofErr w:type="spellStart"/>
      <w:r>
        <w:t>Jewelite</w:t>
      </w:r>
      <w:proofErr w:type="spellEnd"/>
      <w:r>
        <w:t xml:space="preserve"> trim cap; plastic (3/16″ acrylic) facing; absence of flashing, moving, or audible elements; absence of paper signs; UL listing.</w:t>
      </w:r>
    </w:p>
    <w:p w14:paraId="1D5F7A36" w14:textId="77777777" w:rsidR="0053176F" w:rsidRDefault="00C773BB">
      <w:pPr>
        <w:spacing w:after="160" w:line="340" w:lineRule="auto"/>
      </w:pPr>
      <w:r>
        <w:rPr>
          <w:b/>
          <w:bCs/>
        </w:rPr>
        <w:t>2. Variances granted.</w:t>
      </w:r>
      <w:r>
        <w:t xml:space="preserve"> Lessor grants written variance from Schedule D for the following four items only:</w:t>
      </w:r>
    </w:p>
    <w:p w14:paraId="72E03B96" w14:textId="77777777" w:rsidR="0053176F" w:rsidRDefault="00C773BB">
      <w:pPr>
        <w:spacing w:after="160" w:line="340" w:lineRule="auto"/>
        <w:ind w:left="720" w:hanging="360"/>
      </w:pPr>
      <w:r>
        <w:t>(a) 7100K white LED light modules in lieu of single 12mm white neon;</w:t>
      </w:r>
    </w:p>
    <w:p w14:paraId="1F5ADEC2" w14:textId="77777777" w:rsidR="0053176F" w:rsidRDefault="00C773BB">
      <w:pPr>
        <w:spacing w:after="160" w:line="340" w:lineRule="auto"/>
        <w:ind w:left="720" w:hanging="360"/>
      </w:pPr>
      <w:r>
        <w:t>(b) 5″ channel letter return depth in lieu of five and one-half (5½″) inches;</w:t>
      </w:r>
    </w:p>
    <w:p w14:paraId="7C20764A" w14:textId="77777777" w:rsidR="0053176F" w:rsidRDefault="00C773BB">
      <w:pPr>
        <w:spacing w:after="160" w:line="340" w:lineRule="auto"/>
        <w:ind w:left="720" w:hanging="360"/>
      </w:pPr>
      <w:r>
        <w:t>(c) .040 aluminum returns painted bronze in lieu of bronze factory baked enamel finish, provided the coating is exterior-grade and color-matched to the specified bronze standard; and</w:t>
      </w:r>
    </w:p>
    <w:p w14:paraId="0466EF78" w14:textId="77777777" w:rsidR="0053176F" w:rsidRDefault="00C773BB">
      <w:pPr>
        <w:spacing w:after="160" w:line="340" w:lineRule="auto"/>
        <w:ind w:left="720" w:hanging="360"/>
      </w:pPr>
      <w:r>
        <w:t xml:space="preserve">(d) </w:t>
      </w:r>
      <w:r>
        <w:t>the second-line light cabinet reading “Physical Therapy and Wellness” (74.43″ W × 5.47″ H) notwithstanding Schedule D’s limitation of cabinets to the store identity name.</w:t>
      </w:r>
    </w:p>
    <w:p w14:paraId="7BFD885C" w14:textId="77777777" w:rsidR="0053176F" w:rsidRDefault="00C773BB">
      <w:pPr>
        <w:spacing w:after="160" w:line="340" w:lineRule="auto"/>
      </w:pPr>
      <w:r>
        <w:lastRenderedPageBreak/>
        <w:t>Each variance is granted for this installation only, is personal to Lessee, and is neither an amendment to Schedule D nor a precedent. No variance extends to any other sign, any other tenant, or any future replacement or refacing of this sign.</w:t>
      </w:r>
    </w:p>
    <w:p w14:paraId="48653359" w14:textId="77777777" w:rsidR="0053176F" w:rsidRDefault="00C773BB">
      <w:pPr>
        <w:spacing w:after="160" w:line="340" w:lineRule="auto"/>
      </w:pPr>
      <w:r>
        <w:rPr>
          <w:b/>
          <w:bCs/>
        </w:rPr>
        <w:t>3. Required modifications; resubmittal.</w:t>
      </w:r>
      <w:r>
        <w:t xml:space="preserve"> Lessee shall cause the drawing set to be revised and resubmitted as follows:</w:t>
      </w:r>
    </w:p>
    <w:p w14:paraId="6D6FB5F8" w14:textId="77777777" w:rsidR="0053176F" w:rsidRDefault="00C773BB">
      <w:pPr>
        <w:spacing w:after="160" w:line="340" w:lineRule="auto"/>
        <w:ind w:left="720" w:hanging="360"/>
      </w:pPr>
      <w:r>
        <w:t xml:space="preserve">(a) </w:t>
      </w:r>
      <w:r>
        <w:rPr>
          <w:i/>
          <w:iCs/>
        </w:rPr>
        <w:t xml:space="preserve">Door and window lettering. </w:t>
      </w:r>
      <w:r>
        <w:t>Schedule D limits lettering on doors, windows, and show windows to six (</w:t>
      </w:r>
      <w:proofErr w:type="gramStart"/>
      <w:r>
        <w:t>6″)</w:t>
      </w:r>
      <w:proofErr w:type="gramEnd"/>
      <w:r>
        <w:t xml:space="preserve"> inches in height and prohibits its illumination. The front and back door vinyl at </w:t>
      </w:r>
      <w:proofErr w:type="gramStart"/>
      <w:r>
        <w:t>6.82″ (</w:t>
      </w:r>
      <w:proofErr w:type="gramEnd"/>
      <w:r>
        <w:t xml:space="preserve">Sheet 5) and the window graphics at </w:t>
      </w:r>
      <w:proofErr w:type="gramStart"/>
      <w:r>
        <w:t>12″ (</w:t>
      </w:r>
      <w:proofErr w:type="gramEnd"/>
      <w:r>
        <w:t>Sheet 6) exceed this limit. Revise all door and window copy and graphics to a maximum of six (</w:t>
      </w:r>
      <w:proofErr w:type="gramStart"/>
      <w:r>
        <w:t>6″)</w:t>
      </w:r>
      <w:proofErr w:type="gramEnd"/>
      <w:r>
        <w:t xml:space="preserve"> inches in height. Sheet 6 states quantity (2) and depicts four; confirm the quantity and locations.</w:t>
      </w:r>
    </w:p>
    <w:p w14:paraId="71A4E6B9" w14:textId="77777777" w:rsidR="0053176F" w:rsidRDefault="00C773BB">
      <w:pPr>
        <w:spacing w:after="160" w:line="340" w:lineRule="auto"/>
        <w:ind w:left="720" w:hanging="360"/>
      </w:pPr>
      <w:r>
        <w:t xml:space="preserve">(b) </w:t>
      </w:r>
      <w:r>
        <w:rPr>
          <w:i/>
          <w:iCs/>
        </w:rPr>
        <w:t xml:space="preserve">Illumination control. </w:t>
      </w:r>
      <w:r>
        <w:t>Schedule D requires signs to turn on automatically at dusk and off at 12:00 midnight each day. A photocell alone operates dusk to dawn and does not satisfy this requirement. Add a timer or astronomical time clock in series with the photocell and note it on the drawing.</w:t>
      </w:r>
    </w:p>
    <w:p w14:paraId="5E343C52" w14:textId="77777777" w:rsidR="0053176F" w:rsidRDefault="00C773BB">
      <w:pPr>
        <w:spacing w:after="160" w:line="340" w:lineRule="auto"/>
        <w:ind w:left="720" w:hanging="360"/>
      </w:pPr>
      <w:r>
        <w:t xml:space="preserve">(c) </w:t>
      </w:r>
      <w:r>
        <w:rPr>
          <w:i/>
          <w:iCs/>
        </w:rPr>
        <w:t xml:space="preserve">Corner clearance. </w:t>
      </w:r>
      <w:r>
        <w:t>No letters shall be nearer than two (2′) feet to either corner of the Premises. Add dimensioned offsets from both corners to the front elevation.</w:t>
      </w:r>
    </w:p>
    <w:p w14:paraId="14FAEC09" w14:textId="77777777" w:rsidR="0053176F" w:rsidRDefault="00C773BB">
      <w:pPr>
        <w:spacing w:after="160" w:line="340" w:lineRule="auto"/>
        <w:ind w:left="720" w:hanging="360"/>
      </w:pPr>
      <w:r>
        <w:t xml:space="preserve">(d) </w:t>
      </w:r>
      <w:r>
        <w:rPr>
          <w:i/>
          <w:iCs/>
        </w:rPr>
        <w:t xml:space="preserve">Sign area. </w:t>
      </w:r>
      <w:r>
        <w:t>Sheet 3 states 17.6 SF and Sheet 4 states 22.1 SF for the same sign. Reconcile to a single figure, state the method of measurement, and use that figure in the permit application.</w:t>
      </w:r>
    </w:p>
    <w:p w14:paraId="793DCB5D" w14:textId="77777777" w:rsidR="0053176F" w:rsidRDefault="00C773BB">
      <w:pPr>
        <w:spacing w:after="160" w:line="340" w:lineRule="auto"/>
        <w:ind w:left="720" w:hanging="360"/>
      </w:pPr>
      <w:r>
        <w:t xml:space="preserve">(e) </w:t>
      </w:r>
      <w:r>
        <w:rPr>
          <w:i/>
          <w:iCs/>
        </w:rPr>
        <w:t xml:space="preserve">Raceway. </w:t>
      </w:r>
      <w:r>
        <w:t>Sheets 3 and 4 specify 5″ × 5″; the detail section specifies 4″ × 7″. Reconcile. Schedule D requires the raceway to be painted the same color as the building fascia to which it is attached. PMS 7501C is accepted only upon the manufacturer’s written confirmation that it matches the existing fascia; absent that confirmation, the raceway shall be field-matched.</w:t>
      </w:r>
    </w:p>
    <w:p w14:paraId="52AFB488" w14:textId="77777777" w:rsidR="0053176F" w:rsidRDefault="00C773BB">
      <w:pPr>
        <w:spacing w:after="160" w:line="340" w:lineRule="auto"/>
        <w:ind w:left="720" w:hanging="360"/>
      </w:pPr>
      <w:r>
        <w:t xml:space="preserve">(f) </w:t>
      </w:r>
      <w:r>
        <w:rPr>
          <w:i/>
          <w:iCs/>
        </w:rPr>
        <w:t xml:space="preserve">Overall assembly height. </w:t>
      </w:r>
      <w:r>
        <w:t>The set gives no dimension for the overall height of the two-line assembly. Add it. As submitted, and per the manufacturer’s own note, overall height shall not exceed twenty-six (</w:t>
      </w:r>
      <w:proofErr w:type="gramStart"/>
      <w:r>
        <w:t>26″)</w:t>
      </w:r>
      <w:proofErr w:type="gramEnd"/>
      <w:r>
        <w:t xml:space="preserve"> inches.</w:t>
      </w:r>
    </w:p>
    <w:p w14:paraId="39ADA816" w14:textId="77777777" w:rsidR="0053176F" w:rsidRDefault="00C773BB">
      <w:pPr>
        <w:spacing w:after="160" w:line="340" w:lineRule="auto"/>
        <w:ind w:left="720" w:hanging="360"/>
      </w:pPr>
      <w:r>
        <w:t xml:space="preserve">(g) </w:t>
      </w:r>
      <w:r>
        <w:rPr>
          <w:i/>
          <w:iCs/>
        </w:rPr>
        <w:t xml:space="preserve">Premises address. </w:t>
      </w:r>
      <w:r>
        <w:t>The information block on Sheets 2 through 8 reads “5533 Corporation Dr Ste, Lafayette West LA 28348.” The Premises are 145 Arnould Blvd., Lafayette, Louisiana 70506. Correct this on every sheet before any permit application is filed.</w:t>
      </w:r>
    </w:p>
    <w:p w14:paraId="5616364C" w14:textId="77777777" w:rsidR="0053176F" w:rsidRDefault="00C773BB">
      <w:pPr>
        <w:spacing w:after="160" w:line="340" w:lineRule="auto"/>
        <w:ind w:left="720" w:hanging="360"/>
      </w:pPr>
      <w:r>
        <w:t xml:space="preserve">(h) </w:t>
      </w:r>
      <w:r>
        <w:rPr>
          <w:i/>
          <w:iCs/>
        </w:rPr>
        <w:t xml:space="preserve">Revision dates. </w:t>
      </w:r>
      <w:r>
        <w:t>Sheet 3 is dated 05/06/2025; Sheets 2 and 4 through 8 are dated 07/01/2026. Reissue the complete set under one revision date.</w:t>
      </w:r>
    </w:p>
    <w:p w14:paraId="2D2DE770" w14:textId="77777777" w:rsidR="0053176F" w:rsidRDefault="00C773BB">
      <w:pPr>
        <w:spacing w:after="160" w:line="340" w:lineRule="auto"/>
        <w:ind w:left="720" w:hanging="360"/>
      </w:pPr>
      <w:r>
        <w:lastRenderedPageBreak/>
        <w:t>(</w:t>
      </w:r>
      <w:proofErr w:type="spellStart"/>
      <w:r>
        <w:t>i</w:t>
      </w:r>
      <w:proofErr w:type="spellEnd"/>
      <w:r>
        <w:t xml:space="preserve">) </w:t>
      </w:r>
      <w:r>
        <w:rPr>
          <w:i/>
          <w:iCs/>
        </w:rPr>
        <w:t xml:space="preserve">Monument panel specifications. </w:t>
      </w:r>
      <w:r>
        <w:t xml:space="preserve">Sheet 8 states a cut size of 49″ W × 25.25″ </w:t>
      </w:r>
      <w:proofErr w:type="spellStart"/>
      <w:r>
        <w:t>H at</w:t>
      </w:r>
      <w:proofErr w:type="spellEnd"/>
      <w:r>
        <w:t xml:space="preserve"> quantity two (2), and separately “Height: 17.75 Inches, Width: 78 Inches, Sides: 1.” Reconcile, and conform the panel to the pylon module addressed in Paragraph 5.</w:t>
      </w:r>
    </w:p>
    <w:p w14:paraId="551487C2" w14:textId="77777777" w:rsidR="0053176F" w:rsidRDefault="00C773BB">
      <w:pPr>
        <w:spacing w:after="160" w:line="340" w:lineRule="auto"/>
        <w:ind w:left="720" w:hanging="360"/>
      </w:pPr>
      <w:r>
        <w:t xml:space="preserve">(j) </w:t>
      </w:r>
      <w:r>
        <w:rPr>
          <w:i/>
          <w:iCs/>
        </w:rPr>
        <w:t xml:space="preserve">Parking signage. </w:t>
      </w:r>
      <w:r>
        <w:t>Sheet 7 depicts a sixty (</w:t>
      </w:r>
      <w:proofErr w:type="gramStart"/>
      <w:r>
        <w:t>60″)</w:t>
      </w:r>
      <w:proofErr w:type="gramEnd"/>
      <w:r>
        <w:t xml:space="preserve"> inch impact-recovery post with a rubber base anchored to the asphalt by anchor </w:t>
      </w:r>
      <w:proofErr w:type="gramStart"/>
      <w:r>
        <w:t>kit (#</w:t>
      </w:r>
      <w:proofErr w:type="gramEnd"/>
      <w:r>
        <w:t>IM-ANCHOR-KIT). That detail is not approved and shall be removed from the set. Substitute a portable, free-standing sign stand of a type that is set out and removed daily and that requires no anchor, fastener, adhesive, or other penetration or attachment to the pavement, curb, or any improvement, and resubmit that detail for Lessor’s approval.</w:t>
      </w:r>
    </w:p>
    <w:p w14:paraId="0FA8EFAD" w14:textId="77777777" w:rsidR="0053176F" w:rsidRDefault="00C773BB">
      <w:pPr>
        <w:spacing w:after="160" w:line="340" w:lineRule="auto"/>
      </w:pPr>
      <w:r>
        <w:rPr>
          <w:b/>
          <w:bCs/>
        </w:rPr>
        <w:t xml:space="preserve">4. </w:t>
      </w:r>
      <w:r>
        <w:rPr>
          <w:b/>
          <w:bCs/>
        </w:rPr>
        <w:t>Temporary patient parking — portable signage only.</w:t>
      </w:r>
      <w:r>
        <w:t xml:space="preserve"> Schedule D prohibits freestanding signs. Consistent with the parties’ agreement, Lessor grants Lessee a revocable license to place two (2) portable 12″ × 18″ patient-parking signs during Lessee’s business hours only, subject to each of the following:</w:t>
      </w:r>
    </w:p>
    <w:p w14:paraId="5EFF7D4A" w14:textId="77777777" w:rsidR="0053176F" w:rsidRDefault="00C773BB">
      <w:pPr>
        <w:spacing w:after="160" w:line="340" w:lineRule="auto"/>
        <w:ind w:left="720" w:hanging="360"/>
      </w:pPr>
      <w:r>
        <w:t xml:space="preserve">(a) </w:t>
      </w:r>
      <w:r>
        <w:rPr>
          <w:i/>
          <w:iCs/>
        </w:rPr>
        <w:t xml:space="preserve">Portable placement only; no installation. </w:t>
      </w:r>
      <w:r>
        <w:t xml:space="preserve">The signs shall be of a portable, free-standing type set out by Lessee at the opening of each business day and removed by Lessee at the </w:t>
      </w:r>
      <w:proofErr w:type="gramStart"/>
      <w:r>
        <w:t>close</w:t>
      </w:r>
      <w:proofErr w:type="gramEnd"/>
      <w:r>
        <w:t xml:space="preserve"> of each business day. No permanent installation of any kind is approved. No post, base, sleeve, bollard, anchor, fastener, or adhesive shall be installed in or attached to the pavement, curb, sidewalk, landscaping, or any other improvement, and no pavement striping, curb painting, or stenciling shall be performed. The signs shall not be left in place overnight.</w:t>
      </w:r>
    </w:p>
    <w:p w14:paraId="0A7657A1" w14:textId="77777777" w:rsidR="0053176F" w:rsidRDefault="00C773BB">
      <w:pPr>
        <w:spacing w:after="160" w:line="340" w:lineRule="auto"/>
        <w:ind w:left="720" w:hanging="360"/>
      </w:pPr>
      <w:r>
        <w:t xml:space="preserve">(b) </w:t>
      </w:r>
      <w:r>
        <w:rPr>
          <w:i/>
          <w:iCs/>
        </w:rPr>
        <w:t xml:space="preserve">Location. </w:t>
      </w:r>
      <w:r>
        <w:t>The signs may be placed at the two (2) parking stalls immediately adjacent to the Jason’s Deli to-go stalls serving Suite 149, as marked on the site plan returned herewith. The location depicted in the submitted set is not approved. Lessor may change or withdraw the permitted location upon reasonable notice.</w:t>
      </w:r>
    </w:p>
    <w:p w14:paraId="790C637F" w14:textId="77777777" w:rsidR="0053176F" w:rsidRDefault="00C773BB">
      <w:pPr>
        <w:spacing w:after="160" w:line="340" w:lineRule="auto"/>
        <w:ind w:left="720" w:hanging="360"/>
      </w:pPr>
      <w:r>
        <w:t xml:space="preserve">(c) </w:t>
      </w:r>
      <w:r>
        <w:rPr>
          <w:i/>
          <w:iCs/>
        </w:rPr>
        <w:t xml:space="preserve">No exclusive right; no enforcement by Lessor. </w:t>
      </w:r>
      <w:r>
        <w:t>The stalls are and remain unreserved common area available to all tenants, customers, and invitees of the Shopping Center. Lessee is advised and acknowledges that Lessor does not designate, reserve, or allocate the stalls to Lessee, and that Lessor will not police, monitor, tow, ticket, or otherwise enforce the signs against any person. Lessee’s sole remedy for a stall occupied by another is to wait for it. This license creates no exclusive use right, easement, servitude, or reduction of the common area, an</w:t>
      </w:r>
      <w:r>
        <w:t xml:space="preserve">d creates no rights in favor of Lessee’s patrons or </w:t>
      </w:r>
      <w:proofErr w:type="gramStart"/>
      <w:r>
        <w:t>invitees</w:t>
      </w:r>
      <w:proofErr w:type="gramEnd"/>
      <w:r>
        <w:t>.</w:t>
      </w:r>
    </w:p>
    <w:p w14:paraId="6B51FF30" w14:textId="77777777" w:rsidR="0053176F" w:rsidRDefault="00C773BB">
      <w:pPr>
        <w:spacing w:after="160" w:line="340" w:lineRule="auto"/>
        <w:ind w:left="720" w:hanging="360"/>
      </w:pPr>
      <w:r>
        <w:t xml:space="preserve">(d) </w:t>
      </w:r>
      <w:r>
        <w:rPr>
          <w:i/>
          <w:iCs/>
        </w:rPr>
        <w:t xml:space="preserve">Revocation, condition, and indemnity. </w:t>
      </w:r>
      <w:r>
        <w:t xml:space="preserve">This license is revocable by Lessor at any time upon written notice, is personal to Lessee, is not assignable, is not a precedent for any other tenant, and terminates automatically with the Lease. Lessee shall keep the signs in good condition, shall remove them immediately upon revocation or upon Lessor’s request, shall repair any damage to </w:t>
      </w:r>
      <w:r>
        <w:lastRenderedPageBreak/>
        <w:t>the common area arising from their placement, and shall indemnify and hold Lessor harmless from any claim, damage, or injury arising from the signs or their placement, i</w:t>
      </w:r>
      <w:r>
        <w:t>ncluding any claim by a third party asserting a right to a stall. Lessee shall not place any additional sign, cone, barricade, stanchion, chain, or other device in the common area.</w:t>
      </w:r>
    </w:p>
    <w:p w14:paraId="43B7BE9C" w14:textId="77777777" w:rsidR="0053176F" w:rsidRDefault="00C773BB">
      <w:pPr>
        <w:spacing w:after="160" w:line="340" w:lineRule="auto"/>
      </w:pPr>
      <w:r>
        <w:rPr>
          <w:b/>
          <w:bCs/>
        </w:rPr>
        <w:t>5. Monument / pylon panel — approval reserved.</w:t>
      </w:r>
      <w:r>
        <w:t xml:space="preserve"> Schedule D prohibits freestanding signs and confers no right to monument or pylon signage, and the Lease grants Lessee no such right. Any tenant panel on the Center’s pylon is therefore a matter of Lessor’s separate written consent, revocable, at Lessee’s sole cost of fabrication, installation, maintenance, and removal. Approval of the RTA tenant panel shown on Sheet 8 is reserved. If consent is given, the panel shall conform to the pylon’s existing tenant panel module of nominally two (2′) feet by four (4</w:t>
      </w:r>
      <w:r>
        <w:t xml:space="preserve">′) feet, with the frame opening and required overlap to be </w:t>
      </w:r>
      <w:proofErr w:type="gramStart"/>
      <w:r>
        <w:t>field-verified</w:t>
      </w:r>
      <w:proofErr w:type="gramEnd"/>
      <w:r>
        <w:t xml:space="preserve"> by the manufacturer against the pylon before fabrication; the panel background field, graphics, and mounting must likewise conform to the existing panel standard. Lessor withholds approval of the white panel field as depicted pending review against the adjacent panels.</w:t>
      </w:r>
    </w:p>
    <w:p w14:paraId="7B184F58" w14:textId="77777777" w:rsidR="0053176F" w:rsidRDefault="00C773BB">
      <w:pPr>
        <w:spacing w:after="160" w:line="340" w:lineRule="auto"/>
      </w:pPr>
      <w:r>
        <w:rPr>
          <w:b/>
          <w:bCs/>
        </w:rPr>
        <w:t>6. Sign manufacturer.</w:t>
      </w:r>
      <w:r>
        <w:t xml:space="preserve"> Schedule D requires Lessor’s prior written consent to the sign manufacturing company. Lessor approves Big Mouth Signs, Inc. for this installation, conditioned upon delivery to Lessor, before any work is performed at the Center, of a certificate of insurance evidencing commercial general liability and workers’ compensation coverage and naming Belle Realty of Lafayette, LLC as additional insured.</w:t>
      </w:r>
    </w:p>
    <w:p w14:paraId="6EA8D9A7" w14:textId="77777777" w:rsidR="0053176F" w:rsidRDefault="00C773BB">
      <w:pPr>
        <w:spacing w:after="160" w:line="340" w:lineRule="auto"/>
      </w:pPr>
      <w:r>
        <w:rPr>
          <w:b/>
          <w:bCs/>
        </w:rPr>
        <w:t>7. Installation conditions.</w:t>
      </w:r>
      <w:r>
        <w:t xml:space="preserve"> All penetrations shall be thru-wall as detailed; no outside jumps. Lessee is responsible for weatherproofing every penetration and for repair of the fascia and wall upon removal. The 120v primary electrical service to the junction box is at Lessee’s cost and shall be connected to Lessee’s meter only. The sign shall be removed and the fascia restored at expiration or termination of the Lease. No installation shall commence prior to Lessor’s final written approval of the corrected set and issuance of the mun</w:t>
      </w:r>
      <w:r>
        <w:t>icipal sign permit.</w:t>
      </w:r>
    </w:p>
    <w:p w14:paraId="5EB2D114" w14:textId="77777777" w:rsidR="0053176F" w:rsidRDefault="00C773BB">
      <w:pPr>
        <w:spacing w:after="160" w:line="340" w:lineRule="auto"/>
      </w:pPr>
      <w:r>
        <w:rPr>
          <w:b/>
          <w:bCs/>
        </w:rPr>
        <w:t>8. Conditions precedent to Lessor’s permit authorization.</w:t>
      </w:r>
      <w:r>
        <w:t xml:space="preserve"> The Authorization of the Property Owner form submitted by Big Mouth Signs, Inc. will be executed upon (</w:t>
      </w:r>
      <w:proofErr w:type="spellStart"/>
      <w:r>
        <w:t>i</w:t>
      </w:r>
      <w:proofErr w:type="spellEnd"/>
      <w:r>
        <w:t>) Lessor’s receipt and written approval of the corrected drawing set required under Paragraph 3, and (ii) delivery to Lessor of the Lease for Suite 145 fully executed by Lessee, with the Effective Date completed and the Delivery Date recorded. Lessor’s execution of that form will authorize the permit application for the layouts as revised and approved only; Lessor does not certify the content of the appl</w:t>
      </w:r>
      <w:r>
        <w:t>icant’s permit application.</w:t>
      </w:r>
    </w:p>
    <w:p w14:paraId="0D0BDE63" w14:textId="77777777" w:rsidR="0053176F" w:rsidRDefault="00C773BB">
      <w:pPr>
        <w:spacing w:after="160" w:line="340" w:lineRule="auto"/>
      </w:pPr>
      <w:r>
        <w:rPr>
          <w:b/>
          <w:bCs/>
        </w:rPr>
        <w:t>9. Reservation of rights.</w:t>
      </w:r>
      <w:r>
        <w:t xml:space="preserve"> This letter constitutes Lessor’s set returned with suggested modifications under Schedule D. Nothing herein amends the Lease or Schedule D, waives any requirement of Schedule D not expressly varied in Paragraph 2 or Paragraph 4, or constitutes approval of Lessee’s plans and </w:t>
      </w:r>
      <w:r>
        <w:lastRenderedPageBreak/>
        <w:t>specifications for space improvement work. Lessor reserves all rights and remedies, including its rights under Schedule D with respect to signs placed or erected without prior written approval.</w:t>
      </w:r>
    </w:p>
    <w:p w14:paraId="1B5F2195" w14:textId="77777777" w:rsidR="0053176F" w:rsidRDefault="00C773BB">
      <w:pPr>
        <w:spacing w:before="240" w:after="240" w:line="340" w:lineRule="auto"/>
      </w:pPr>
      <w:r>
        <w:t>Sincerely,</w:t>
      </w:r>
    </w:p>
    <w:p w14:paraId="2B980BA6" w14:textId="77777777" w:rsidR="0053176F" w:rsidRDefault="00C773BB">
      <w:pPr>
        <w:spacing w:line="260" w:lineRule="auto"/>
      </w:pPr>
      <w:r>
        <w:t>Belle Realty of Lafayette, LLC</w:t>
      </w:r>
    </w:p>
    <w:p w14:paraId="0303B3D4" w14:textId="77777777" w:rsidR="0053176F" w:rsidRDefault="00C773BB">
      <w:pPr>
        <w:spacing w:after="400" w:line="260" w:lineRule="auto"/>
      </w:pPr>
      <w:r>
        <w:t>By its authorized property manager, Orange Ocean, LLC</w:t>
      </w:r>
    </w:p>
    <w:p w14:paraId="40167B4C" w14:textId="352DEF12" w:rsidR="0053176F" w:rsidRPr="00B06663" w:rsidRDefault="00B06663">
      <w:pPr>
        <w:spacing w:line="260" w:lineRule="auto"/>
        <w:rPr>
          <w:rFonts w:ascii="Brush Script MT" w:hAnsi="Brush Script MT"/>
        </w:rPr>
      </w:pPr>
      <w:r w:rsidRPr="00B06663">
        <w:rPr>
          <w:rFonts w:ascii="Brush Script MT" w:hAnsi="Brush Script MT"/>
        </w:rPr>
        <w:t>Adam Abdalla</w:t>
      </w:r>
    </w:p>
    <w:p w14:paraId="3984DDB1" w14:textId="77777777" w:rsidR="0053176F" w:rsidRDefault="00C773BB">
      <w:pPr>
        <w:spacing w:line="260" w:lineRule="auto"/>
      </w:pPr>
      <w:r>
        <w:t>Adam Anthony Abdalla</w:t>
      </w:r>
    </w:p>
    <w:p w14:paraId="393999EE" w14:textId="77777777" w:rsidR="0053176F" w:rsidRDefault="00C773BB">
      <w:pPr>
        <w:spacing w:after="320" w:line="260" w:lineRule="auto"/>
      </w:pPr>
      <w:r>
        <w:t>Authorized Representative</w:t>
      </w:r>
    </w:p>
    <w:p w14:paraId="71D31600" w14:textId="77777777" w:rsidR="0053176F" w:rsidRDefault="00C773BB">
      <w:pPr>
        <w:spacing w:after="40" w:line="260" w:lineRule="auto"/>
      </w:pPr>
      <w:r>
        <w:rPr>
          <w:b/>
          <w:bCs/>
        </w:rPr>
        <w:t>cc:</w:t>
      </w:r>
      <w:r>
        <w:t xml:space="preserve">  Big Mouth Signs, Inc. — Paul Pertelesi, paul@bigmouthsigns.com</w:t>
      </w:r>
    </w:p>
    <w:p w14:paraId="49FFF656" w14:textId="77777777" w:rsidR="0053176F" w:rsidRDefault="00C773BB">
      <w:pPr>
        <w:spacing w:line="260" w:lineRule="auto"/>
      </w:pPr>
      <w:r>
        <w:rPr>
          <w:b/>
          <w:bCs/>
        </w:rPr>
        <w:t>Enclosures:</w:t>
      </w:r>
      <w:r>
        <w:t xml:space="preserve">  Sign package Sheets 1–8, marked; Site Plan Sheet A-1 (Rev 11) with permitted parking stall locations marked; Schedule D</w:t>
      </w:r>
    </w:p>
    <w:sectPr w:rsidR="0053176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rush Script MT">
    <w:panose1 w:val="03060802040406070304"/>
    <w:charset w:val="00"/>
    <w:family w:val="script"/>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8C6D09"/>
    <w:multiLevelType w:val="hybridMultilevel"/>
    <w:tmpl w:val="7C2886C8"/>
    <w:lvl w:ilvl="0" w:tplc="3F7A9598">
      <w:start w:val="1"/>
      <w:numFmt w:val="bullet"/>
      <w:lvlText w:val="●"/>
      <w:lvlJc w:val="left"/>
      <w:pPr>
        <w:ind w:left="720" w:hanging="360"/>
      </w:pPr>
    </w:lvl>
    <w:lvl w:ilvl="1" w:tplc="88C09F10">
      <w:start w:val="1"/>
      <w:numFmt w:val="bullet"/>
      <w:lvlText w:val="○"/>
      <w:lvlJc w:val="left"/>
      <w:pPr>
        <w:ind w:left="1440" w:hanging="360"/>
      </w:pPr>
    </w:lvl>
    <w:lvl w:ilvl="2" w:tplc="CBF88612">
      <w:start w:val="1"/>
      <w:numFmt w:val="bullet"/>
      <w:lvlText w:val="■"/>
      <w:lvlJc w:val="left"/>
      <w:pPr>
        <w:ind w:left="2160" w:hanging="360"/>
      </w:pPr>
    </w:lvl>
    <w:lvl w:ilvl="3" w:tplc="F6E8E1C4">
      <w:start w:val="1"/>
      <w:numFmt w:val="bullet"/>
      <w:lvlText w:val="●"/>
      <w:lvlJc w:val="left"/>
      <w:pPr>
        <w:ind w:left="2880" w:hanging="360"/>
      </w:pPr>
    </w:lvl>
    <w:lvl w:ilvl="4" w:tplc="D36A128C">
      <w:start w:val="1"/>
      <w:numFmt w:val="bullet"/>
      <w:lvlText w:val="○"/>
      <w:lvlJc w:val="left"/>
      <w:pPr>
        <w:ind w:left="3600" w:hanging="360"/>
      </w:pPr>
    </w:lvl>
    <w:lvl w:ilvl="5" w:tplc="DD62AEFA">
      <w:start w:val="1"/>
      <w:numFmt w:val="bullet"/>
      <w:lvlText w:val="■"/>
      <w:lvlJc w:val="left"/>
      <w:pPr>
        <w:ind w:left="4320" w:hanging="360"/>
      </w:pPr>
    </w:lvl>
    <w:lvl w:ilvl="6" w:tplc="5EF65C6E">
      <w:start w:val="1"/>
      <w:numFmt w:val="bullet"/>
      <w:lvlText w:val="●"/>
      <w:lvlJc w:val="left"/>
      <w:pPr>
        <w:ind w:left="5040" w:hanging="360"/>
      </w:pPr>
    </w:lvl>
    <w:lvl w:ilvl="7" w:tplc="407C4F00">
      <w:start w:val="1"/>
      <w:numFmt w:val="bullet"/>
      <w:lvlText w:val="●"/>
      <w:lvlJc w:val="left"/>
      <w:pPr>
        <w:ind w:left="5760" w:hanging="360"/>
      </w:pPr>
    </w:lvl>
    <w:lvl w:ilvl="8" w:tplc="040A458C">
      <w:start w:val="1"/>
      <w:numFmt w:val="bullet"/>
      <w:lvlText w:val="●"/>
      <w:lvlJc w:val="left"/>
      <w:pPr>
        <w:ind w:left="6480" w:hanging="360"/>
      </w:pPr>
    </w:lvl>
  </w:abstractNum>
  <w:num w:numId="1" w16cid:durableId="4442784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76F"/>
    <w:rsid w:val="0046721D"/>
    <w:rsid w:val="0053176F"/>
    <w:rsid w:val="00B06663"/>
    <w:rsid w:val="00C77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FCD8E"/>
  <w15:docId w15:val="{9A12931E-78D3-4025-BE38-9A3018262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41414"/>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5</Pages>
  <Words>1632</Words>
  <Characters>9309</Characters>
  <Application>Microsoft Office Word</Application>
  <DocSecurity>0</DocSecurity>
  <Lines>77</Lines>
  <Paragraphs>21</Paragraphs>
  <ScaleCrop>false</ScaleCrop>
  <Company/>
  <LinksUpToDate>false</LinksUpToDate>
  <CharactersWithSpaces>10920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Abdalla</cp:lastModifiedBy>
  <cp:revision>2</cp:revision>
  <dcterms:created xsi:type="dcterms:W3CDTF">2026-08-12T13:51:00Z</dcterms:created>
  <dcterms:modified xsi:type="dcterms:W3CDTF">2026-08-12T16:48:00Z</dcterms:modified>
</cp:coreProperties>
</file>