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Times New Roman" w:hAnsi="Times New Roman" w:eastAsia="Times New Roman"/>
          <w:b/>
          <w:i w:val="0"/>
          <w:sz w:val="32"/>
        </w:rPr>
        <w:t>REPLACEMENT GUARANTY</w:t>
      </w:r>
    </w:p>
    <w:p>
      <w:pPr>
        <w:spacing w:after="40" w:before="0" w:line="276" w:lineRule="auto"/>
        <w:jc w:val="center"/>
      </w:pPr>
      <w:r>
        <w:rPr>
          <w:rFonts w:ascii="Times New Roman" w:hAnsi="Times New Roman" w:eastAsia="Times New Roman"/>
          <w:b/>
          <w:i w:val="0"/>
          <w:sz w:val="24"/>
        </w:rPr>
        <w:t>J. C. KATE BOUTIQUE LLC</w:t>
      </w:r>
    </w:p>
    <w:p>
      <w:pPr>
        <w:spacing w:after="240" w:before="0" w:line="276" w:lineRule="auto"/>
        <w:jc w:val="center"/>
      </w:pPr>
      <w:r>
        <w:rPr>
          <w:rFonts w:ascii="Times New Roman" w:hAnsi="Times New Roman" w:eastAsia="Times New Roman"/>
          <w:b w:val="0"/>
          <w:i w:val="0"/>
          <w:sz w:val="22"/>
        </w:rPr>
        <w:t>Suite 109, The Boulevard Shopping Center</w:t>
      </w:r>
    </w:p>
    <w:p>
      <w:pPr>
        <w:spacing w:after="160" w:before="0" w:line="276" w:lineRule="auto"/>
        <w:jc w:val="both"/>
      </w:pPr>
      <w:r>
        <w:rPr>
          <w:rFonts w:ascii="Times New Roman" w:hAnsi="Times New Roman" w:eastAsia="Times New Roman"/>
          <w:b w:val="0"/>
          <w:i w:val="0"/>
          <w:sz w:val="22"/>
        </w:rPr>
        <w:t>This Guaranty ("Guaranty") is entered into as of the 31st day of August, 2026 (the "Effective Date"), by the undersigned (the "Guarantor" whether one or more), for the benefit of BELLE REALTY OF LAFAYETTE, L.L.C., a Louisiana limited liability company (the "Lessor").</w:t>
      </w:r>
    </w:p>
    <w:p>
      <w:pPr>
        <w:spacing w:after="160" w:before="160" w:line="276" w:lineRule="auto"/>
        <w:jc w:val="center"/>
      </w:pPr>
      <w:r>
        <w:rPr>
          <w:rFonts w:ascii="Times New Roman" w:hAnsi="Times New Roman" w:eastAsia="Times New Roman"/>
          <w:b/>
          <w:i w:val="0"/>
          <w:sz w:val="24"/>
        </w:rPr>
        <w:t>RECITALS</w:t>
      </w:r>
    </w:p>
    <w:p>
      <w:pPr>
        <w:spacing w:after="160" w:before="0" w:line="276" w:lineRule="auto"/>
        <w:jc w:val="both"/>
      </w:pPr>
      <w:r>
        <w:rPr>
          <w:rFonts w:ascii="Times New Roman" w:hAnsi="Times New Roman" w:eastAsia="Times New Roman"/>
          <w:b w:val="0"/>
          <w:i w:val="0"/>
          <w:sz w:val="22"/>
        </w:rPr>
        <w:t>A.  J. C. KATE BOUTIQUE LLC, a Louisiana limited liability company (the "Lessee"), entered into a certain Lease Agreement dated as of November 2019, but effective for all purposes as of August 1, 2020 (as amended, including by that certain First Addendum to Lease Agreement, the "Lease"), by and between Lessor and Lessee, covering approximately Two Thousand Five Hundred Forty-Six (2,546) square feet of space having a municipal address of 109 Arnould Boulevard, Lafayette, Louisiana 70506 (the "Premises"). The Lessee remains J. C. KATE BOUTIQUE LLC. This Guaranty does not amend rent, term, or any other commercial term of the Lease.</w:t>
      </w:r>
    </w:p>
    <w:p>
      <w:pPr>
        <w:spacing w:after="160" w:before="0" w:line="276" w:lineRule="auto"/>
        <w:jc w:val="both"/>
      </w:pPr>
      <w:r>
        <w:rPr>
          <w:rFonts w:ascii="Times New Roman" w:hAnsi="Times New Roman" w:eastAsia="Times New Roman"/>
          <w:b w:val="0"/>
          <w:i w:val="0"/>
          <w:sz w:val="22"/>
        </w:rPr>
        <w:t>B.  Guarantor has an economic interest in Lessee or will otherwise obtain a material financial benefit from the Lease.</w:t>
      </w:r>
    </w:p>
    <w:p>
      <w:pPr>
        <w:spacing w:after="160" w:before="0" w:line="276" w:lineRule="auto"/>
        <w:jc w:val="both"/>
      </w:pPr>
      <w:r>
        <w:rPr>
          <w:rFonts w:ascii="Times New Roman" w:hAnsi="Times New Roman" w:eastAsia="Times New Roman"/>
          <w:b w:val="0"/>
          <w:i w:val="0"/>
          <w:sz w:val="22"/>
        </w:rPr>
        <w:t>C.  Jeanne Guilbeaux Desormeaux and Coby John Desormeaux (together, the "Prior Guarantors") previously executed a Guaranty dated as of November 2019, but effective for all purposes as of August 1, 2020 (the "Prior Guaranty"), guaranteeing the obligations of Lessee under the Lease.</w:t>
      </w:r>
    </w:p>
    <w:p>
      <w:pPr>
        <w:spacing w:after="160" w:before="0" w:line="276" w:lineRule="auto"/>
        <w:jc w:val="both"/>
      </w:pPr>
      <w:r>
        <w:rPr>
          <w:rFonts w:ascii="Times New Roman" w:hAnsi="Times New Roman" w:eastAsia="Times New Roman"/>
          <w:b w:val="0"/>
          <w:i w:val="0"/>
          <w:sz w:val="22"/>
        </w:rPr>
        <w:t>D.  As a condition to Lessor's consent to the change of business ownership of Lessee's operations at the Premises (an asset sale, with the Lease remaining in place with Lessee) and to the release of the Prior Guarantors as provided in a separate Consent and Release of even date herewith, Lessor requires that the Guarantor execute this Guaranty, which replaces the Prior Guaranty as of the Effective Date.</w:t>
      </w:r>
    </w:p>
    <w:p>
      <w:pPr>
        <w:spacing w:after="160" w:before="0" w:line="276" w:lineRule="auto"/>
        <w:jc w:val="both"/>
      </w:pPr>
      <w:r>
        <w:rPr>
          <w:rFonts w:ascii="Times New Roman" w:hAnsi="Times New Roman" w:eastAsia="Times New Roman"/>
          <w:b w:val="0"/>
          <w:i w:val="0"/>
          <w:sz w:val="22"/>
        </w:rPr>
        <w:t>NOW, THEREFORE, in order to induce Lessor to consent to the change of business ownership described above and to release the Prior Guarantors from the Prior Guaranty as to obligations accruing after the Effective Date, and in consideration thereof, Guarantor agrees as follows:</w:t>
      </w:r>
    </w:p>
    <w:p>
      <w:pPr>
        <w:spacing w:after="160" w:before="0" w:line="276" w:lineRule="auto"/>
        <w:jc w:val="both"/>
      </w:pPr>
      <w:r>
        <w:rPr>
          <w:rFonts w:ascii="Times New Roman" w:hAnsi="Times New Roman" w:eastAsia="Times New Roman"/>
          <w:b w:val="0"/>
          <w:i w:val="0"/>
          <w:sz w:val="22"/>
        </w:rPr>
        <w:t>1.  Capitalized terms used but not defined in this Guaranty shall have the meanings assigned to them in the Lease.</w:t>
      </w:r>
    </w:p>
    <w:p>
      <w:pPr>
        <w:spacing w:after="160" w:before="0" w:line="276" w:lineRule="auto"/>
        <w:jc w:val="both"/>
      </w:pPr>
      <w:r>
        <w:rPr>
          <w:rFonts w:ascii="Times New Roman" w:hAnsi="Times New Roman" w:eastAsia="Times New Roman"/>
          <w:b w:val="0"/>
          <w:i w:val="0"/>
          <w:sz w:val="22"/>
        </w:rPr>
        <w:t>2.  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w:t>
      </w:r>
    </w:p>
    <w:p>
      <w:pPr>
        <w:spacing w:after="160" w:before="0" w:line="276" w:lineRule="auto"/>
        <w:jc w:val="both"/>
      </w:pPr>
      <w:r>
        <w:rPr>
          <w:rFonts w:ascii="Times New Roman" w:hAnsi="Times New Roman" w:eastAsia="Times New Roman"/>
          <w:b w:val="0"/>
          <w:i w:val="0"/>
          <w:sz w:val="22"/>
        </w:rPr>
        <w:t>(a)  The payment, by the Lessee, when due, of all amounts due under the Lease.</w:t>
      </w:r>
    </w:p>
    <w:p>
      <w:pPr>
        <w:spacing w:after="160" w:before="0" w:line="276" w:lineRule="auto"/>
        <w:jc w:val="both"/>
      </w:pPr>
      <w:r>
        <w:rPr>
          <w:rFonts w:ascii="Times New Roman" w:hAnsi="Times New Roman" w:eastAsia="Times New Roman"/>
          <w:b w:val="0"/>
          <w:i w:val="0"/>
          <w:sz w:val="22"/>
        </w:rPr>
        <w:t>(b)  The prompt performance of or compliance with any covenant or agreement contained in the Lease by the Lessee and the prompt performance by the Lessee of all of its obligations pursuant to the terms and conditions of the Lease.</w:t>
      </w:r>
    </w:p>
    <w:p>
      <w:pPr>
        <w:spacing w:after="160" w:before="0" w:line="276" w:lineRule="auto"/>
        <w:jc w:val="both"/>
      </w:pPr>
      <w:r>
        <w:rPr>
          <w:rFonts w:ascii="Times New Roman" w:hAnsi="Times New Roman" w:eastAsia="Times New Roman"/>
          <w:b w:val="0"/>
          <w:i w:val="0"/>
          <w:sz w:val="22"/>
        </w:rPr>
        <w:t>(c)  All costs and expenses, including reasonable fees and out of pocket expenses of attorneys and expert witnesses, incurred by Lessor in enforcing its rights under this Guaranty.</w:t>
      </w:r>
    </w:p>
    <w:p>
      <w:pPr>
        <w:spacing w:after="160" w:before="0" w:line="276" w:lineRule="auto"/>
        <w:jc w:val="both"/>
      </w:pPr>
      <w:r>
        <w:rPr>
          <w:rFonts w:ascii="Times New Roman" w:hAnsi="Times New Roman" w:eastAsia="Times New Roman"/>
          <w:b w:val="0"/>
          <w:i w:val="0"/>
          <w:sz w:val="22"/>
        </w:rPr>
        <w:t>3.  Guarantor's obligations under this Guaranty constitute an unconditional guaranty of payment and performance and not merely a guaranty of collection.</w:t>
      </w:r>
    </w:p>
    <w:p>
      <w:pPr>
        <w:spacing w:after="160" w:before="0" w:line="276" w:lineRule="auto"/>
        <w:jc w:val="both"/>
      </w:pPr>
      <w:r>
        <w:rPr>
          <w:rFonts w:ascii="Times New Roman" w:hAnsi="Times New Roman" w:eastAsia="Times New Roman"/>
          <w:b w:val="0"/>
          <w:i w:val="0"/>
          <w:sz w:val="22"/>
        </w:rPr>
        <w:t>4.  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w:t>
      </w:r>
    </w:p>
    <w:p>
      <w:pPr>
        <w:spacing w:after="160" w:before="0" w:line="276" w:lineRule="auto"/>
        <w:jc w:val="both"/>
      </w:pPr>
      <w:r>
        <w:rPr>
          <w:rFonts w:ascii="Times New Roman" w:hAnsi="Times New Roman" w:eastAsia="Times New Roman"/>
          <w:b w:val="0"/>
          <w:i w:val="0"/>
          <w:sz w:val="22"/>
        </w:rPr>
        <w:t>5.  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w:t>
      </w:r>
    </w:p>
    <w:p>
      <w:pPr>
        <w:spacing w:after="160" w:before="0" w:line="276" w:lineRule="auto"/>
        <w:jc w:val="both"/>
      </w:pPr>
      <w:r>
        <w:rPr>
          <w:rFonts w:ascii="Times New Roman" w:hAnsi="Times New Roman" w:eastAsia="Times New Roman"/>
          <w:b w:val="0"/>
          <w:i w:val="0"/>
          <w:sz w:val="22"/>
        </w:rPr>
        <w:t>6.  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w:t>
      </w:r>
    </w:p>
    <w:p>
      <w:pPr>
        <w:spacing w:after="160" w:before="0" w:line="276" w:lineRule="auto"/>
        <w:jc w:val="both"/>
      </w:pPr>
      <w:r>
        <w:rPr>
          <w:rFonts w:ascii="Times New Roman" w:hAnsi="Times New Roman" w:eastAsia="Times New Roman"/>
          <w:b w:val="0"/>
          <w:i w:val="0"/>
          <w:sz w:val="22"/>
        </w:rPr>
        <w:t>7.  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w:t>
      </w:r>
    </w:p>
    <w:p>
      <w:pPr>
        <w:spacing w:after="160" w:before="0" w:line="276" w:lineRule="auto"/>
        <w:jc w:val="both"/>
      </w:pPr>
      <w:r>
        <w:rPr>
          <w:rFonts w:ascii="Times New Roman" w:hAnsi="Times New Roman" w:eastAsia="Times New Roman"/>
          <w:b w:val="0"/>
          <w:i w:val="0"/>
          <w:sz w:val="22"/>
        </w:rPr>
        <w:t>8.  Guarantor shall from time to time, upon request by Lessor, deliver to Lessor such financial statements as Lessor may reasonably require.</w:t>
      </w:r>
    </w:p>
    <w:p>
      <w:pPr>
        <w:spacing w:after="160" w:before="0" w:line="276" w:lineRule="auto"/>
        <w:jc w:val="both"/>
      </w:pPr>
      <w:r>
        <w:rPr>
          <w:rFonts w:ascii="Times New Roman" w:hAnsi="Times New Roman" w:eastAsia="Times New Roman"/>
          <w:b w:val="0"/>
          <w:i w:val="0"/>
          <w:sz w:val="22"/>
        </w:rPr>
        <w:t>9.  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w:t>
      </w:r>
    </w:p>
    <w:p>
      <w:pPr>
        <w:spacing w:after="160" w:before="0" w:line="276" w:lineRule="auto"/>
        <w:jc w:val="both"/>
      </w:pPr>
      <w:r>
        <w:rPr>
          <w:rFonts w:ascii="Times New Roman" w:hAnsi="Times New Roman" w:eastAsia="Times New Roman"/>
          <w:b w:val="0"/>
          <w:i w:val="0"/>
          <w:sz w:val="22"/>
        </w:rPr>
        <w:t>10.  THIS GUARANTY AND THE LEASE REPRESENT THE FINAL AGREEMENT BETWEEN THE PARTIES AND MAY NOT BE CONTRADICTED BY EVIDENCE OF PRIOR, CONTEMPORANEOUS OR SUBSEQUENT ORAL AGREEMENTS. THERE ARE NO UNWRITTEN ORAL AGREEMENTS BETWEEN THE PARTIES.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w:t>
      </w:r>
    </w:p>
    <w:p>
      <w:pPr>
        <w:spacing w:after="160" w:before="0" w:line="276" w:lineRule="auto"/>
        <w:jc w:val="both"/>
      </w:pPr>
      <w:r>
        <w:rPr>
          <w:rFonts w:ascii="Times New Roman" w:hAnsi="Times New Roman" w:eastAsia="Times New Roman"/>
          <w:b w:val="0"/>
          <w:i w:val="0"/>
          <w:sz w:val="22"/>
        </w:rPr>
        <w:t>11.  Guarantor agrees that any controversy arising under or in relation to this Guaranty shall be litigated exclusively in Lafayette, Lafayette Parish, Louisiana (the "Property Jurisdiction").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w:t>
      </w:r>
    </w:p>
    <w:p>
      <w:pPr>
        <w:spacing w:after="160" w:before="0" w:line="276" w:lineRule="auto"/>
        <w:jc w:val="both"/>
      </w:pPr>
      <w:r>
        <w:rPr>
          <w:rFonts w:ascii="Times New Roman" w:hAnsi="Times New Roman" w:eastAsia="Times New Roman"/>
          <w:b w:val="0"/>
          <w:i w:val="0"/>
          <w:sz w:val="22"/>
        </w:rPr>
        <w:t>IN WITNESS WHEREOF, Guarantor has signed and delivered this Guaranty or has caused this Guaranty to be signed and delivered by its duly authorized representative as of the date set forth above.</w:t>
      </w:r>
    </w:p>
    <w:p>
      <w:pPr>
        <w:spacing w:after="160" w:before="320" w:line="276" w:lineRule="auto"/>
        <w:jc w:val="left"/>
      </w:pPr>
      <w:r>
        <w:rPr>
          <w:rFonts w:ascii="Times New Roman" w:hAnsi="Times New Roman" w:eastAsia="Times New Roman"/>
          <w:b/>
          <w:i w:val="0"/>
          <w:sz w:val="22"/>
        </w:rPr>
        <w:t>GUARANTOR:</w:t>
      </w:r>
    </w:p>
    <w:p>
      <w:pPr>
        <w:spacing w:after="80" w:before="0" w:line="276" w:lineRule="auto"/>
        <w:jc w:val="left"/>
      </w:pPr>
      <w:r>
        <w:rPr>
          <w:rFonts w:ascii="Times New Roman" w:hAnsi="Times New Roman" w:eastAsia="Times New Roman"/>
          <w:b w:val="0"/>
          <w:i w:val="0"/>
          <w:sz w:val="22"/>
        </w:rPr>
        <w:t>Lakin Carlin     (SSN: ___-__-________)</w:t>
      </w:r>
    </w:p>
    <w:p>
      <w:pPr>
        <w:spacing w:after="80" w:before="0" w:line="276" w:lineRule="auto"/>
        <w:jc w:val="left"/>
      </w:pPr>
      <w:r>
        <w:rPr>
          <w:rFonts w:ascii="Times New Roman" w:hAnsi="Times New Roman" w:eastAsia="Times New Roman"/>
          <w:b w:val="0"/>
          <w:i w:val="0"/>
          <w:sz w:val="22"/>
        </w:rPr>
        <w:t>Home address: ________________________________________________</w:t>
      </w:r>
    </w:p>
    <w:p>
      <w:pPr>
        <w:spacing w:after="80" w:before="0" w:line="276" w:lineRule="auto"/>
        <w:jc w:val="left"/>
      </w:pPr>
      <w:r>
        <w:rPr>
          <w:rFonts w:ascii="Times New Roman" w:hAnsi="Times New Roman" w:eastAsia="Times New Roman"/>
          <w:b w:val="0"/>
          <w:i w:val="0"/>
          <w:sz w:val="22"/>
        </w:rPr>
        <w:t>City / State / ZIP: _________________________________________</w:t>
      </w:r>
    </w:p>
    <w:p>
      <w:pPr>
        <w:spacing w:after="80" w:before="0" w:line="276" w:lineRule="auto"/>
        <w:jc w:val="left"/>
      </w:pPr>
      <w:r>
        <w:rPr>
          <w:rFonts w:ascii="Times New Roman" w:hAnsi="Times New Roman" w:eastAsia="Times New Roman"/>
          <w:b w:val="0"/>
          <w:i w:val="0"/>
          <w:sz w:val="22"/>
        </w:rPr>
        <w:t>Phone: 337-371-7451</w:t>
      </w:r>
    </w:p>
    <w:p>
      <w:pPr>
        <w:spacing w:after="200" w:before="0" w:line="276" w:lineRule="auto"/>
        <w:jc w:val="left"/>
      </w:pPr>
      <w:r>
        <w:rPr>
          <w:rFonts w:ascii="Times New Roman" w:hAnsi="Times New Roman" w:eastAsia="Times New Roman"/>
          <w:b w:val="0"/>
          <w:i w:val="0"/>
          <w:sz w:val="22"/>
        </w:rPr>
        <w:t>Email: jckateboutique@gmail.com</w:t>
      </w:r>
    </w:p>
    <w:p>
      <w:pPr>
        <w:spacing w:after="80" w:before="0" w:line="276" w:lineRule="auto"/>
        <w:jc w:val="left"/>
      </w:pPr>
      <w:r>
        <w:rPr>
          <w:rFonts w:ascii="Times New Roman" w:hAnsi="Times New Roman" w:eastAsia="Times New Roman"/>
          <w:b w:val="0"/>
          <w:i w:val="0"/>
          <w:sz w:val="22"/>
        </w:rPr>
        <w:t>Signature: _________________________________     Date: ______________</w:t>
      </w:r>
    </w:p>
    <w:p>
      <w:pPr>
        <w:spacing w:after="240" w:before="0" w:line="276" w:lineRule="auto"/>
        <w:jc w:val="left"/>
      </w:pPr>
      <w:r>
        <w:rPr>
          <w:rFonts w:ascii="Times New Roman" w:hAnsi="Times New Roman" w:eastAsia="Times New Roman"/>
          <w:b w:val="0"/>
          <w:i w:val="0"/>
          <w:sz w:val="22"/>
        </w:rPr>
        <w:t>Printed name: Lakin Carlin</w:t>
      </w:r>
    </w:p>
    <w:sectPr w:rsidR="00FC693F" w:rsidRPr="0006063C" w:rsidSect="00034616">
      <w:footerReference w:type="default" r:id="rId9"/>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666666"/>
        <w:sz w:val="16"/>
      </w:rPr>
      <w:t>DRAFT — Belle Realty of Lafayette, LLC — JC Kate Replacement Guaranty — August 31, 2026 — not executed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