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Addendum 5 - Exclusive Use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2"/>
      </w:pPr>
      <w:r>
        <w:t>1. Any exclusive use right granted to Tenant is limited to the exact use description stated in the Lease Summary or this Addendum and must be interpreted narrowly.</w:t>
      </w:r>
    </w:p>
    <w:p>
      <w:pPr>
        <w:pStyle w:val="Heading2"/>
      </w:pPr>
      <w:r>
        <w:t>2. The exclusive use right is subject to existing uses, renewals, replacements, temporary uses, de minimis sales, ancillary sales, online order pickup, and other stated carve-outs.</w:t>
      </w:r>
    </w:p>
    <w:p>
      <w:pPr>
        <w:pStyle w:val="Heading2"/>
      </w:pPr>
      <w:r>
        <w:t>3. No defaulting tenant may enforce an exclusive use right while in default beyond applicable cure periods.</w:t>
      </w:r>
    </w:p>
    <w:p>
      <w:pPr>
        <w:pStyle w:val="Heading2"/>
      </w:pPr>
      <w:r>
        <w:t>4. Remedies for violation, if any, are limited to those expressly stated in the Lease or this Addendum. No implied termination right exists unless expressly granted.</w:t>
      </w:r>
    </w:p>
    <w:p>
      <w:pPr>
        <w:pStyle w:val="Heading2"/>
      </w:pPr>
      <w:r>
        <w:t>5. This Addendum does not expand Tenant's use right beyond the Permitted Use.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