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Addendum 1 - Food and Beverage Use - Version 3.1 Software-Ready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pPr>
        <w:pStyle w:val="Heading2"/>
      </w:pPr>
      <w:r>
        <w:t>1. Tenant will obtain and maintain all food-service, alcohol-service, and health permits required by law.</w:t>
      </w:r>
    </w:p>
    <w:p>
      <w:pPr>
        <w:pStyle w:val="Heading2"/>
      </w:pPr>
      <w:r>
        <w:t>2. Tenant will maintain grease traps, exhaust systems, odor control, pest control, and trash handling in first-class condition and in compliance with Landlord's operational rules.</w:t>
      </w:r>
    </w:p>
    <w:p>
      <w:pPr>
        <w:pStyle w:val="Heading2"/>
      </w:pPr>
      <w:r>
        <w:t>3. No roof penetrations, venting, gas work, or exterior service installations may be made without Landlord's prior written approval.</w:t>
      </w:r>
    </w:p>
    <w:p>
      <w:pPr>
        <w:pStyle w:val="Heading2"/>
      </w:pPr>
      <w:r>
        <w:t>4. Tenant will prevent odors, smoke, grease, noise, waste overflow, or parking impacts from interfering with the Shopping Center.</w:t>
      </w:r>
    </w:p>
    <w:p>
      <w:pPr>
        <w:pStyle w:val="Heading2"/>
      </w:pPr>
      <w:r>
        <w:t>5. Any food-delivery, pickup, or outdoor service program must comply with Landlord's parking, traffic, and exterior-use rules.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