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8E84D" w14:textId="77777777" w:rsidR="00A539DC" w:rsidRPr="00A539DC" w:rsidRDefault="00A539DC" w:rsidP="00A539DC">
      <w:pPr>
        <w:widowControl/>
        <w:spacing w:after="3" w:line="259" w:lineRule="auto"/>
        <w:ind w:left="-5" w:hanging="10"/>
        <w:jc w:val="both"/>
        <w:rPr>
          <w:rFonts w:ascii="Garamond" w:hAnsi="Garamond"/>
          <w:snapToGrid/>
          <w:color w:val="000000"/>
          <w:sz w:val="24"/>
          <w:szCs w:val="24"/>
        </w:rPr>
      </w:pPr>
      <w:r w:rsidRPr="00A539DC">
        <w:rPr>
          <w:rFonts w:ascii="Garamond" w:hAnsi="Garamond"/>
          <w:b/>
          <w:snapToGrid/>
          <w:color w:val="000000"/>
          <w:sz w:val="24"/>
          <w:szCs w:val="24"/>
        </w:rPr>
        <w:t xml:space="preserve">Section 2.01 - </w:t>
      </w:r>
      <w:r w:rsidRPr="00A539DC">
        <w:rPr>
          <w:rFonts w:ascii="Garamond" w:hAnsi="Garamond"/>
          <w:b/>
          <w:snapToGrid/>
          <w:color w:val="000000"/>
          <w:sz w:val="24"/>
          <w:szCs w:val="24"/>
          <w:u w:val="single" w:color="000000"/>
        </w:rPr>
        <w:t>Use</w:t>
      </w:r>
      <w:r w:rsidRPr="00A539DC">
        <w:rPr>
          <w:rFonts w:ascii="Garamond" w:hAnsi="Garamond"/>
          <w:b/>
          <w:snapToGrid/>
          <w:color w:val="000000"/>
          <w:sz w:val="24"/>
          <w:szCs w:val="24"/>
        </w:rPr>
        <w:t>:</w:t>
      </w:r>
      <w:r w:rsidRPr="00A539DC">
        <w:rPr>
          <w:rFonts w:ascii="Garamond" w:hAnsi="Garamond"/>
          <w:snapToGrid/>
          <w:color w:val="000000"/>
          <w:sz w:val="24"/>
          <w:szCs w:val="24"/>
        </w:rPr>
        <w:t xml:space="preserve"> </w:t>
      </w:r>
    </w:p>
    <w:p w14:paraId="4964CC8E" w14:textId="77777777" w:rsidR="00A539DC" w:rsidRPr="00A539DC" w:rsidRDefault="00A539DC" w:rsidP="00A539DC">
      <w:pPr>
        <w:widowControl/>
        <w:spacing w:line="259" w:lineRule="auto"/>
        <w:jc w:val="both"/>
        <w:rPr>
          <w:rFonts w:ascii="Garamond" w:hAnsi="Garamond"/>
          <w:snapToGrid/>
          <w:color w:val="000000"/>
          <w:sz w:val="24"/>
          <w:szCs w:val="24"/>
        </w:rPr>
      </w:pPr>
      <w:r w:rsidRPr="00A539DC">
        <w:rPr>
          <w:rFonts w:ascii="Garamond" w:hAnsi="Garamond"/>
          <w:snapToGrid/>
          <w:color w:val="000000"/>
          <w:sz w:val="24"/>
          <w:szCs w:val="24"/>
        </w:rPr>
        <w:t xml:space="preserve"> </w:t>
      </w:r>
    </w:p>
    <w:p w14:paraId="3B0843B8" w14:textId="77777777" w:rsidR="00A539DC" w:rsidRPr="00A539DC" w:rsidRDefault="00A539DC" w:rsidP="00A539DC">
      <w:pPr>
        <w:widowControl/>
        <w:spacing w:after="5" w:line="251" w:lineRule="auto"/>
        <w:ind w:left="-5" w:hanging="10"/>
        <w:jc w:val="both"/>
        <w:rPr>
          <w:rFonts w:ascii="Garamond" w:hAnsi="Garamond"/>
          <w:snapToGrid/>
          <w:color w:val="000000"/>
          <w:sz w:val="24"/>
          <w:szCs w:val="24"/>
        </w:rPr>
      </w:pPr>
      <w:r w:rsidRPr="00A539DC">
        <w:rPr>
          <w:rFonts w:ascii="Garamond" w:hAnsi="Garamond"/>
          <w:snapToGrid/>
          <w:color w:val="000000"/>
          <w:sz w:val="24"/>
          <w:szCs w:val="24"/>
        </w:rPr>
        <w:t>The Premises shall be used by Lessee during the term hereof</w:t>
      </w:r>
      <w:r w:rsidRPr="00A539DC">
        <w:rPr>
          <w:rFonts w:ascii="Garamond" w:hAnsi="Garamond"/>
          <w:snapToGrid/>
          <w:color w:val="000000"/>
          <w:spacing w:val="58"/>
          <w:sz w:val="24"/>
          <w:szCs w:val="24"/>
        </w:rPr>
        <w:t xml:space="preserve"> </w:t>
      </w:r>
      <w:r w:rsidRPr="00A539DC">
        <w:rPr>
          <w:rFonts w:ascii="Garamond" w:hAnsi="Garamond"/>
          <w:snapToGrid/>
          <w:color w:val="000000"/>
          <w:sz w:val="24"/>
          <w:szCs w:val="24"/>
        </w:rPr>
        <w:t xml:space="preserve">for the operation of a Great American Cookie Franchise and a Hershey’s Ice Cream Franchise including, but not limited to the retail sale of deserts,  ice cream and cookie cakes and related items and general office and general office space and Lessee agrees that any change in the use of the Premises shall require the prior written consent of the Lessor which shall not be unreasonably withheld; provided, however, Lessee shall be entitled without Lessor’s consent to change the usage of the Premises from the operation of a Hershey’s Ice Cream franchise to the operation of a Marble Slab Creamery franchise.  Lessee acknowledges and agrees that: </w:t>
      </w:r>
    </w:p>
    <w:p w14:paraId="471AC568" w14:textId="77777777" w:rsidR="00A539DC" w:rsidRPr="00A539DC" w:rsidRDefault="00A539DC" w:rsidP="00A539DC">
      <w:pPr>
        <w:widowControl/>
        <w:spacing w:line="259" w:lineRule="auto"/>
        <w:jc w:val="both"/>
        <w:rPr>
          <w:rFonts w:ascii="Garamond" w:hAnsi="Garamond"/>
          <w:snapToGrid/>
          <w:color w:val="000000"/>
          <w:sz w:val="24"/>
          <w:szCs w:val="24"/>
        </w:rPr>
      </w:pPr>
      <w:r w:rsidRPr="00A539DC">
        <w:rPr>
          <w:rFonts w:ascii="Garamond" w:hAnsi="Garamond"/>
          <w:snapToGrid/>
          <w:color w:val="000000"/>
          <w:sz w:val="24"/>
          <w:szCs w:val="24"/>
        </w:rPr>
        <w:t xml:space="preserve"> </w:t>
      </w:r>
    </w:p>
    <w:p w14:paraId="6913FF45" w14:textId="77777777" w:rsidR="00A539DC" w:rsidRPr="00A539DC" w:rsidRDefault="00A539DC" w:rsidP="00A539DC">
      <w:pPr>
        <w:widowControl/>
        <w:numPr>
          <w:ilvl w:val="1"/>
          <w:numId w:val="1"/>
        </w:numPr>
        <w:spacing w:after="5" w:line="251" w:lineRule="auto"/>
        <w:ind w:left="720"/>
        <w:jc w:val="both"/>
        <w:rPr>
          <w:rFonts w:ascii="Garamond" w:hAnsi="Garamond"/>
          <w:snapToGrid/>
          <w:color w:val="000000"/>
          <w:sz w:val="24"/>
          <w:szCs w:val="24"/>
        </w:rPr>
      </w:pPr>
      <w:r w:rsidRPr="00A539DC">
        <w:rPr>
          <w:rFonts w:ascii="Garamond" w:hAnsi="Garamond"/>
          <w:snapToGrid/>
          <w:color w:val="000000"/>
          <w:sz w:val="24"/>
          <w:szCs w:val="24"/>
        </w:rPr>
        <w:t xml:space="preserve">The Premises </w:t>
      </w:r>
      <w:proofErr w:type="gramStart"/>
      <w:r w:rsidRPr="00A539DC">
        <w:rPr>
          <w:rFonts w:ascii="Garamond" w:hAnsi="Garamond"/>
          <w:snapToGrid/>
          <w:color w:val="000000"/>
          <w:sz w:val="24"/>
          <w:szCs w:val="24"/>
        </w:rPr>
        <w:t>shall be not be</w:t>
      </w:r>
      <w:proofErr w:type="gramEnd"/>
      <w:r w:rsidRPr="00A539DC">
        <w:rPr>
          <w:rFonts w:ascii="Garamond" w:hAnsi="Garamond"/>
          <w:snapToGrid/>
          <w:color w:val="000000"/>
          <w:sz w:val="24"/>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F34E7C3" w14:textId="77777777" w:rsidR="00A539DC" w:rsidRPr="00A539DC" w:rsidRDefault="00A539DC" w:rsidP="00A539DC">
      <w:pPr>
        <w:widowControl/>
        <w:spacing w:after="5" w:line="251" w:lineRule="auto"/>
        <w:ind w:left="720"/>
        <w:jc w:val="both"/>
        <w:rPr>
          <w:rFonts w:ascii="Garamond" w:hAnsi="Garamond"/>
          <w:snapToGrid/>
          <w:color w:val="000000"/>
          <w:sz w:val="24"/>
          <w:szCs w:val="24"/>
        </w:rPr>
      </w:pPr>
    </w:p>
    <w:p w14:paraId="6BABFAAE" w14:textId="77777777" w:rsidR="00A539DC" w:rsidRPr="00A539DC" w:rsidRDefault="00A539DC" w:rsidP="00A539DC">
      <w:pPr>
        <w:widowControl/>
        <w:numPr>
          <w:ilvl w:val="1"/>
          <w:numId w:val="1"/>
        </w:numPr>
        <w:spacing w:after="5" w:line="251" w:lineRule="auto"/>
        <w:ind w:left="720"/>
        <w:jc w:val="both"/>
        <w:rPr>
          <w:rFonts w:ascii="Garamond" w:hAnsi="Garamond"/>
          <w:snapToGrid/>
          <w:color w:val="000000"/>
          <w:sz w:val="24"/>
          <w:szCs w:val="24"/>
        </w:rPr>
      </w:pPr>
      <w:r w:rsidRPr="00A539DC">
        <w:rPr>
          <w:rFonts w:ascii="Garamond" w:hAnsi="Garamond"/>
          <w:snapToGrid/>
          <w:color w:val="000000"/>
          <w:sz w:val="24"/>
          <w:szCs w:val="24"/>
        </w:rPr>
        <w:t xml:space="preserve">The Premises shall not be used during the Initial Term or any Renewal Term hereof as a veterinary clinic engaged primarily in the care and treatment of cats. </w:t>
      </w:r>
    </w:p>
    <w:p w14:paraId="3FBCD30E" w14:textId="77777777" w:rsidR="00A539DC" w:rsidRPr="00A539DC" w:rsidRDefault="00A539DC" w:rsidP="00A539DC">
      <w:pPr>
        <w:widowControl/>
        <w:spacing w:line="259" w:lineRule="auto"/>
        <w:jc w:val="both"/>
        <w:rPr>
          <w:rFonts w:ascii="Garamond" w:hAnsi="Garamond"/>
          <w:snapToGrid/>
          <w:color w:val="000000"/>
          <w:sz w:val="24"/>
          <w:szCs w:val="24"/>
        </w:rPr>
      </w:pPr>
      <w:r w:rsidRPr="00A539DC">
        <w:rPr>
          <w:rFonts w:ascii="Garamond" w:hAnsi="Garamond"/>
          <w:snapToGrid/>
          <w:color w:val="000000"/>
          <w:sz w:val="24"/>
          <w:szCs w:val="24"/>
        </w:rPr>
        <w:t xml:space="preserve"> </w:t>
      </w:r>
    </w:p>
    <w:p w14:paraId="49F9A504" w14:textId="77777777" w:rsidR="00A539DC" w:rsidRPr="00A539DC" w:rsidRDefault="00A539DC" w:rsidP="00A539DC">
      <w:pPr>
        <w:widowControl/>
        <w:spacing w:line="259" w:lineRule="auto"/>
        <w:jc w:val="both"/>
        <w:rPr>
          <w:rFonts w:ascii="Garamond" w:hAnsi="Garamond"/>
          <w:snapToGrid/>
          <w:color w:val="000000"/>
          <w:sz w:val="24"/>
          <w:szCs w:val="24"/>
        </w:rPr>
      </w:pPr>
      <w:r w:rsidRPr="00A539DC">
        <w:rPr>
          <w:rFonts w:ascii="Garamond" w:hAnsi="Garamond"/>
          <w:snapToGrid/>
          <w:color w:val="000000"/>
          <w:sz w:val="24"/>
          <w:szCs w:val="24"/>
        </w:rPr>
        <w:t xml:space="preserve">Provided Lessee is open and operating in the Premises, Lessor shall not lease or permit the leasing or subleasing of or sell any space in the Boulevard Shopping Center Property during the term of this Lease and any extensions hereof to any person or entity which will utilize the space, or any part thereof, for a Nothing Bundt Cakes store or whose primary business is selling cookies, cookie cakes, ice cream or other frozen desserts.  Lessee acknowledges that this provision shall not apply to any of Lessor’s existing tenants that currently have the right to use their premises in such a manner, except that Lessor agrees not to modify any of the existing leases to permit such conflicting use.  As used herein, the term “primary business” shall mean a business in which the sales of cookies, cookie cakes, ice cream or other frozen desserts constitute more than 10% of such business’s total sales.  In the event that there is a breach of this paragraph by Lessor, Lessee’s rights and remedies hereunder shall include, without limitation, abatement of fifty percent (50%) of all rent payable hereunder during the continuation of such breach, and further provided if the competing tenant continues operating for a period of six (6) months, then Lessee may, at its option and upon written notice to Lessor, terminate this Lease, and upon such election this Lease shall terminate and the parties shall be released and discharged from all further liability hereunder.  </w:t>
      </w:r>
    </w:p>
    <w:p w14:paraId="43DC9CC4" w14:textId="77777777" w:rsidR="00A539DC" w:rsidRDefault="00A539DC" w:rsidP="00A539DC">
      <w:pPr>
        <w:tabs>
          <w:tab w:val="left" w:pos="-720"/>
        </w:tabs>
        <w:suppressAutoHyphens/>
        <w:jc w:val="both"/>
        <w:rPr>
          <w:rFonts w:ascii="Garamond" w:hAnsi="Garamond"/>
          <w:b/>
          <w:sz w:val="24"/>
          <w:szCs w:val="24"/>
        </w:rPr>
      </w:pPr>
    </w:p>
    <w:p w14:paraId="4A9AE8FE" w14:textId="77777777" w:rsidR="00A539DC" w:rsidRDefault="00A539DC" w:rsidP="00A539DC">
      <w:pPr>
        <w:tabs>
          <w:tab w:val="left" w:pos="-720"/>
        </w:tabs>
        <w:suppressAutoHyphens/>
        <w:jc w:val="both"/>
        <w:rPr>
          <w:rFonts w:ascii="Garamond" w:hAnsi="Garamond"/>
          <w:b/>
          <w:sz w:val="24"/>
          <w:szCs w:val="24"/>
        </w:rPr>
      </w:pPr>
    </w:p>
    <w:p w14:paraId="67831FFD" w14:textId="0176EE26" w:rsidR="00A539DC" w:rsidRPr="00CD1CE5" w:rsidRDefault="00A539DC" w:rsidP="00A539DC">
      <w:pPr>
        <w:tabs>
          <w:tab w:val="left" w:pos="-720"/>
        </w:tabs>
        <w:suppressAutoHyphens/>
        <w:jc w:val="both"/>
        <w:rPr>
          <w:rFonts w:ascii="Garamond" w:hAnsi="Garamond"/>
          <w:sz w:val="24"/>
          <w:szCs w:val="24"/>
        </w:rPr>
      </w:pPr>
      <w:r w:rsidRPr="00CD1CE5">
        <w:rPr>
          <w:rFonts w:ascii="Garamond" w:hAnsi="Garamond"/>
          <w:b/>
          <w:sz w:val="24"/>
          <w:szCs w:val="24"/>
        </w:rPr>
        <w:t xml:space="preserve">Section 2.01 - </w:t>
      </w:r>
      <w:r w:rsidRPr="00CD1CE5">
        <w:rPr>
          <w:rFonts w:ascii="Garamond" w:hAnsi="Garamond"/>
          <w:b/>
          <w:sz w:val="24"/>
          <w:szCs w:val="24"/>
          <w:u w:val="single"/>
        </w:rPr>
        <w:t>Use</w:t>
      </w:r>
      <w:r w:rsidRPr="00CD1CE5">
        <w:rPr>
          <w:rFonts w:ascii="Garamond" w:hAnsi="Garamond"/>
          <w:b/>
          <w:sz w:val="24"/>
          <w:szCs w:val="24"/>
        </w:rPr>
        <w:t>:</w:t>
      </w:r>
    </w:p>
    <w:p w14:paraId="2C6F0E78" w14:textId="77777777" w:rsidR="00A539DC" w:rsidRPr="00CD1CE5" w:rsidRDefault="00A539DC" w:rsidP="00A539DC">
      <w:pPr>
        <w:tabs>
          <w:tab w:val="left" w:pos="-720"/>
        </w:tabs>
        <w:suppressAutoHyphens/>
        <w:jc w:val="both"/>
        <w:rPr>
          <w:rFonts w:ascii="Garamond" w:hAnsi="Garamond"/>
          <w:sz w:val="24"/>
          <w:szCs w:val="24"/>
        </w:rPr>
      </w:pPr>
    </w:p>
    <w:p w14:paraId="3B8AD81A" w14:textId="77777777" w:rsidR="00A539DC" w:rsidRPr="00CD1CE5" w:rsidRDefault="00A539DC" w:rsidP="00A539DC">
      <w:pPr>
        <w:tabs>
          <w:tab w:val="left" w:pos="-720"/>
        </w:tabs>
        <w:suppressAutoHyphens/>
        <w:jc w:val="both"/>
        <w:rPr>
          <w:rFonts w:ascii="Garamond" w:hAnsi="Garamond"/>
          <w:sz w:val="24"/>
          <w:szCs w:val="24"/>
        </w:rPr>
      </w:pPr>
      <w:r w:rsidRPr="00CD1CE5">
        <w:rPr>
          <w:rFonts w:ascii="Garamond" w:hAnsi="Garamond"/>
          <w:sz w:val="24"/>
          <w:szCs w:val="24"/>
        </w:rPr>
        <w:t xml:space="preserve">Premises 1 and Premises 2 shall be used by Lessee during the term hereof as a retail boutique for the sale of </w:t>
      </w:r>
      <w:r>
        <w:rPr>
          <w:rFonts w:ascii="Garamond" w:hAnsi="Garamond"/>
          <w:sz w:val="24"/>
          <w:szCs w:val="24"/>
        </w:rPr>
        <w:t xml:space="preserve">items including, but not limited to </w:t>
      </w:r>
      <w:bookmarkStart w:id="0" w:name="_Hlk106372278"/>
      <w:r w:rsidRPr="00CD1CE5">
        <w:rPr>
          <w:rFonts w:ascii="Garamond" w:hAnsi="Garamond"/>
          <w:sz w:val="24"/>
          <w:szCs w:val="24"/>
        </w:rPr>
        <w:t>clothing, gifts, accessories, home goods,</w:t>
      </w:r>
      <w:r w:rsidRPr="00433499">
        <w:t xml:space="preserve"> </w:t>
      </w:r>
      <w:r>
        <w:t>m</w:t>
      </w:r>
      <w:r w:rsidRPr="00433499">
        <w:rPr>
          <w:rFonts w:ascii="Garamond" w:hAnsi="Garamond"/>
          <w:sz w:val="24"/>
          <w:szCs w:val="24"/>
        </w:rPr>
        <w:t xml:space="preserve">onogrammed </w:t>
      </w:r>
      <w:r>
        <w:rPr>
          <w:rFonts w:ascii="Garamond" w:hAnsi="Garamond"/>
          <w:sz w:val="24"/>
          <w:szCs w:val="24"/>
        </w:rPr>
        <w:t>and/</w:t>
      </w:r>
      <w:r w:rsidRPr="00433499">
        <w:rPr>
          <w:rFonts w:ascii="Garamond" w:hAnsi="Garamond"/>
          <w:sz w:val="24"/>
          <w:szCs w:val="24"/>
        </w:rPr>
        <w:t>or personalized items</w:t>
      </w:r>
      <w:r>
        <w:rPr>
          <w:rFonts w:ascii="Garamond" w:hAnsi="Garamond"/>
          <w:sz w:val="24"/>
          <w:szCs w:val="24"/>
        </w:rPr>
        <w:t>,</w:t>
      </w:r>
      <w:r w:rsidRPr="00433499">
        <w:rPr>
          <w:rFonts w:ascii="Garamond" w:hAnsi="Garamond"/>
          <w:sz w:val="24"/>
          <w:szCs w:val="24"/>
        </w:rPr>
        <w:t xml:space="preserve"> candles, home decorations, drinkware, and jewelry</w:t>
      </w:r>
      <w:bookmarkEnd w:id="0"/>
      <w:r>
        <w:rPr>
          <w:rFonts w:ascii="Garamond" w:hAnsi="Garamond"/>
          <w:sz w:val="24"/>
          <w:szCs w:val="24"/>
        </w:rPr>
        <w:t xml:space="preserve">. </w:t>
      </w:r>
      <w:r w:rsidRPr="00CD1CE5">
        <w:rPr>
          <w:rFonts w:ascii="Garamond" w:hAnsi="Garamond"/>
          <w:sz w:val="24"/>
          <w:szCs w:val="24"/>
        </w:rPr>
        <w:t>Lessee agrees that any change in the use of Premises 1 and/or Premises 2 shall require the prior written consent of the Lessor</w:t>
      </w:r>
      <w:r>
        <w:rPr>
          <w:rFonts w:ascii="Garamond" w:hAnsi="Garamond"/>
          <w:sz w:val="24"/>
          <w:szCs w:val="24"/>
        </w:rPr>
        <w:t xml:space="preserve"> </w:t>
      </w:r>
      <w:r w:rsidRPr="00F12AA9">
        <w:rPr>
          <w:rFonts w:ascii="Garamond" w:hAnsi="Garamond"/>
          <w:sz w:val="24"/>
          <w:szCs w:val="24"/>
        </w:rPr>
        <w:t>which consent shall not be unreasonably withheld</w:t>
      </w:r>
    </w:p>
    <w:p w14:paraId="5891345C" w14:textId="77777777" w:rsidR="00A539DC" w:rsidRPr="00CD1CE5" w:rsidRDefault="00A539DC" w:rsidP="00A539DC">
      <w:pPr>
        <w:tabs>
          <w:tab w:val="left" w:pos="-720"/>
        </w:tabs>
        <w:suppressAutoHyphens/>
        <w:jc w:val="both"/>
        <w:rPr>
          <w:rFonts w:ascii="Garamond" w:hAnsi="Garamond"/>
          <w:sz w:val="24"/>
          <w:szCs w:val="24"/>
        </w:rPr>
      </w:pPr>
    </w:p>
    <w:p w14:paraId="5592A23C" w14:textId="77777777" w:rsidR="00A539DC" w:rsidRPr="00904FA7" w:rsidRDefault="00A539DC" w:rsidP="00A539DC">
      <w:pPr>
        <w:tabs>
          <w:tab w:val="left" w:pos="-720"/>
        </w:tabs>
        <w:suppressAutoHyphens/>
        <w:jc w:val="both"/>
        <w:rPr>
          <w:rFonts w:ascii="Garamond" w:hAnsi="Garamond"/>
          <w:sz w:val="24"/>
          <w:szCs w:val="24"/>
        </w:rPr>
      </w:pPr>
      <w:r w:rsidRPr="00904FA7">
        <w:rPr>
          <w:rFonts w:ascii="Garamond" w:hAnsi="Garamond"/>
          <w:sz w:val="24"/>
          <w:szCs w:val="24"/>
        </w:rPr>
        <w:t>The Pink Paisley Use Rights</w:t>
      </w:r>
      <w:r>
        <w:rPr>
          <w:rFonts w:ascii="Garamond" w:hAnsi="Garamond"/>
          <w:sz w:val="24"/>
          <w:szCs w:val="24"/>
        </w:rPr>
        <w:t xml:space="preserve">: </w:t>
      </w:r>
      <w:r w:rsidRPr="00904FA7">
        <w:rPr>
          <w:rFonts w:ascii="Garamond" w:hAnsi="Garamond"/>
          <w:sz w:val="24"/>
          <w:szCs w:val="24"/>
        </w:rPr>
        <w:t xml:space="preserve">Subject to the provisions of Section 2, and provided that: (a) this Lease has not been terminated; (b) Lessee is not in default of this Lease beyond applicable notice and cure </w:t>
      </w:r>
      <w:r w:rsidRPr="00904FA7">
        <w:rPr>
          <w:rFonts w:ascii="Garamond" w:hAnsi="Garamond"/>
          <w:sz w:val="24"/>
          <w:szCs w:val="24"/>
        </w:rPr>
        <w:lastRenderedPageBreak/>
        <w:t>periods; (c) Lessee opens to the public at the Premises for the permitted Use, Lessor agrees that it shall not voluntarily enter into any lease agreement giving a third party the right to operate in the Boulevard Shopping Center Property, a business whose primary business would be a retail gift store selling items which are the same or similar to that of The Pink Paisley and which includes the sale of clothing, gifts, accessories, home goods, monogrammed and/or personalized items, candles, home decorations, drinkware, and jewelry.</w:t>
      </w:r>
    </w:p>
    <w:p w14:paraId="7566B874" w14:textId="77777777" w:rsidR="00A539DC" w:rsidRPr="00904FA7" w:rsidRDefault="00A539DC" w:rsidP="00A539DC">
      <w:pPr>
        <w:tabs>
          <w:tab w:val="left" w:pos="-720"/>
        </w:tabs>
        <w:suppressAutoHyphens/>
        <w:jc w:val="both"/>
        <w:rPr>
          <w:rFonts w:ascii="Garamond" w:hAnsi="Garamond"/>
          <w:sz w:val="24"/>
          <w:szCs w:val="24"/>
        </w:rPr>
      </w:pPr>
      <w:r w:rsidRPr="00904FA7">
        <w:rPr>
          <w:rFonts w:ascii="Garamond" w:hAnsi="Garamond"/>
          <w:sz w:val="24"/>
          <w:szCs w:val="24"/>
        </w:rPr>
        <w:t>The prohibition against primarily engaging as a retail gift store selling items which are the same or similar to that of The Pink Paisley and which includes the sale of clothing, gifts, accessories, home goods, monogrammed and/or personalized items, candles, home decorations, drinkware, and jewelry shall not apply to: (a) any Lessee or successor to Lessee whose lease, including any renewal or extension, is in effect prior to the Effective Date; (b) any business who manufactures goods and which monograms or personalizes said goods; (c) any business whose primary use is that of a high end jewelry store.</w:t>
      </w:r>
    </w:p>
    <w:p w14:paraId="00BF201F" w14:textId="77777777" w:rsidR="00A539DC" w:rsidRPr="00904FA7" w:rsidRDefault="00A539DC" w:rsidP="00A539DC">
      <w:pPr>
        <w:tabs>
          <w:tab w:val="left" w:pos="-720"/>
        </w:tabs>
        <w:suppressAutoHyphens/>
        <w:jc w:val="both"/>
        <w:rPr>
          <w:rFonts w:ascii="Garamond" w:hAnsi="Garamond"/>
          <w:sz w:val="24"/>
          <w:szCs w:val="24"/>
        </w:rPr>
      </w:pPr>
      <w:r w:rsidRPr="00904FA7">
        <w:rPr>
          <w:rFonts w:ascii="Garamond" w:hAnsi="Garamond"/>
          <w:sz w:val="24"/>
          <w:szCs w:val="24"/>
        </w:rPr>
        <w:t>Should any other Lessee or occupant at the Shopping Center violate the exclusive use rights granted to Lessee by this Section, Lessor shall take all reasonable and prudent actions necessary or desirable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p>
    <w:p w14:paraId="61C81ECF" w14:textId="77777777" w:rsidR="00A507EB" w:rsidRDefault="00A507EB"/>
    <w:sectPr w:rsidR="00A50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495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9DC"/>
    <w:rsid w:val="00A507EB"/>
    <w:rsid w:val="00A53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F1EF"/>
  <w15:chartTrackingRefBased/>
  <w15:docId w15:val="{D11F3B7D-5E36-41CA-827C-1A350649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9DC"/>
    <w:pPr>
      <w:widowControl w:val="0"/>
      <w:spacing w:after="0" w:line="240" w:lineRule="auto"/>
    </w:pPr>
    <w:rPr>
      <w:rFonts w:ascii="Courier" w:eastAsia="Times New Roman" w:hAnsi="Courier" w:cs="Times New Roman"/>
      <w:snapToGrid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821</Words>
  <Characters>4685</Characters>
  <Application>Microsoft Office Word</Application>
  <DocSecurity>0</DocSecurity>
  <Lines>39</Lines>
  <Paragraphs>10</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1</cp:revision>
  <dcterms:created xsi:type="dcterms:W3CDTF">2022-07-20T18:50:00Z</dcterms:created>
  <dcterms:modified xsi:type="dcterms:W3CDTF">2022-07-20T18:54:00Z</dcterms:modified>
</cp:coreProperties>
</file>