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Exhibit L - SNDA Form - Version 3.1 Software-Ready</w:t>
      </w:r>
    </w:p>
    <w:p>
      <w:pPr>
        <w:jc w:val="center"/>
      </w:pPr>
      <w:r>
        <w:rPr>
          <w:i/>
        </w:rPr>
        <w:t>On the Boulevard Shopping Center | 101-149 Arnould Blvd., Lafayette, LA 70506</w:t>
      </w:r>
    </w:p>
    <w:p>
      <w:r>
        <w:t>On the Boulevard Shopping Center</w:t>
      </w:r>
    </w:p>
    <w:p>
      <w:r>
        <w:t>Purpose: Standard short-form framework for subordination, non-disturbance, and attornment when required by Landlord or Landlord's lender.</w:t>
      </w:r>
    </w:p>
    <w:p>
      <w:pPr>
        <w:pStyle w:val="Heading2"/>
      </w:pPr>
      <w:r>
        <w:t>1. Subordination</w:t>
      </w:r>
    </w:p>
    <w:p>
      <w:r>
        <w:t>Tenant agrees that the Lease is and shall remain subordinate to present and future mortgages, deeds of trust, and other financing instruments affecting the Shopping Center, subject to the non-disturbance terms expressly granted in the final signed SNDA.</w:t>
      </w:r>
    </w:p>
    <w:p>
      <w:pPr>
        <w:pStyle w:val="Heading2"/>
      </w:pPr>
      <w:r>
        <w:t>2. Non-Disturbance</w:t>
      </w:r>
    </w:p>
    <w:p>
      <w:r>
        <w:t>If Tenant is not in default beyond applicable notice and cure periods, the lender or successor landlord will not disturb Tenant's possession solely because of foreclosure or deed in lieu, subject to the terms of the final SNDA.</w:t>
      </w:r>
    </w:p>
    <w:p>
      <w:pPr>
        <w:pStyle w:val="Heading2"/>
      </w:pPr>
      <w:r>
        <w:t>3. Attornment</w:t>
      </w:r>
    </w:p>
    <w:p>
      <w:r>
        <w:t>Tenant will attorn to any successor landlord or purchaser who acquires Landlord's interest through foreclosure, deed in lieu, sale, or transfer of ownership rights.</w:t>
      </w:r>
    </w:p>
    <w:p>
      <w:pPr>
        <w:pStyle w:val="Heading2"/>
      </w:pPr>
      <w:r>
        <w:t>4. Lender Protections</w:t>
      </w:r>
    </w:p>
    <w:p>
      <w:r>
        <w:t>The final SNDA may include commercially reasonable lender protections concerning notice, cure rights, and limits on successor liability.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