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Addendum 7 - Early Access / Fixturing - Version 3.1 Software-Ready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pPr>
        <w:pStyle w:val="Heading2"/>
      </w:pPr>
      <w:r>
        <w:t>1. If early access is granted, Tenant may enter the Premises before the Commencement Date solely for approved fixturing, stocking, cabling, or construction activity.</w:t>
      </w:r>
    </w:p>
    <w:p>
      <w:pPr>
        <w:pStyle w:val="Heading2"/>
      </w:pPr>
      <w:r>
        <w:t>2. Early access is conditioned on full insurance compliance, contractor approval, and execution of all access-related requirements imposed by Landlord.</w:t>
      </w:r>
    </w:p>
    <w:p>
      <w:pPr>
        <w:pStyle w:val="Heading2"/>
      </w:pPr>
      <w:r>
        <w:t>3. No public business operation may commence during the fixturing period unless Landlord expressly approves otherwise in writing.</w:t>
      </w:r>
    </w:p>
    <w:p>
      <w:pPr>
        <w:pStyle w:val="Heading2"/>
      </w:pPr>
      <w:r>
        <w:t>4. Tenant bears all risk of loss, utility costs, contractor costs, and operational responsibility arising from early entry.</w:t>
      </w:r>
    </w:p>
    <w:p>
      <w:pPr>
        <w:pStyle w:val="Heading2"/>
      </w:pPr>
      <w:r>
        <w:t>5. Early access may be revoked by Landlord if Tenant fails to comply with access rules, insurance requirements, or approved construction limits.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