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-987424</wp:posOffset>
            </wp:positionH>
            <wp:positionV relativeFrom="paragraph">
              <wp:posOffset>52070</wp:posOffset>
            </wp:positionV>
            <wp:extent cx="1783715" cy="142748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НИЖЕГОРОДСКИЙ ГОСУДАРСТВЕННЫЙ ТЕХНИЧЕСКИЙ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им. Р.Е.АЛЕКСЕЕВА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Институт радиоэлектроники и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систем управления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Степаненко М.А.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Карманов А.А.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27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27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23-ИВТ-2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защищена «___» ____________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6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оценкой 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3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максимально подробную блок-схему алгоритма решения задачи.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3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Заданы фамилия, имя и отчество учащегося, разделенные пробелами. Оставьте только фамилию и инициалы.</w:t>
      </w:r>
    </w:p>
    <w:p w:rsidR="00000000" w:rsidDel="00000000" w:rsidP="00000000" w:rsidRDefault="00000000" w:rsidRPr="00000000" w14:paraId="00000024">
      <w:pPr>
        <w:shd w:fill="ffffff" w:val="clear"/>
        <w:spacing w:line="33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Ход работы: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33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ввод данных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33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алгоритм обработки входной строки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33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Разработал вывод данных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3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63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3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в ходе выполнения работы я научился строить блок-схемы алгоритма. Блок-схемы это более наглядный вид алгоритма, его легче читать и понимать.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26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