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i w:val="0"/>
          <w:color w:val="132A46"/>
          <w:sz w:val="52"/>
        </w:rPr>
        <w:t>Customer Support Policy</w:t>
      </w:r>
    </w:p>
    <w:p>
      <w:pPr>
        <w:pStyle w:val="Subtitle"/>
      </w:pPr>
      <w:r>
        <w:rPr>
          <w:rFonts w:ascii="Aptos" w:hAnsi="Aptos"/>
          <w:b w:val="0"/>
          <w:i w:val="0"/>
          <w:color w:val="5B6573"/>
          <w:sz w:val="22"/>
        </w:rPr>
        <w:t>Digital Employees, AI voice services, and business telephone numbers</w:t>
      </w:r>
    </w:p>
    <w:tbl>
      <w:tblPr>
        <w:tblW w:type="auto" w:w="0"/>
        <w:tblLayout w:type="fixed"/>
        <w:tblLook w:firstColumn="1" w:firstRow="1" w:lastColumn="0" w:lastRow="0" w:noHBand="0" w:noVBand="1" w:val="04A0"/>
      </w:tblPr>
      <w:tblGrid>
        <w:gridCol w:w="4939"/>
        <w:gridCol w:w="4939"/>
      </w:tblGrid>
      <w:tr>
        <w:tc>
          <w:tcPr>
            <w:tcW w:type="dxa" w:w="4810"/>
            <w:tcMar>
              <w:top w:w="100" w:type="dxa"/>
              <w:start w:w="140" w:type="dxa"/>
              <w:bottom w:w="100" w:type="dxa"/>
              <w:end w:w="140" w:type="dxa"/>
            </w:tcMar>
            <w:shd w:fill="EEF4FB"/>
            <w:vAlign w:val="center"/>
          </w:tcPr>
          <w:p>
            <w:pPr>
              <w:spacing w:after="0"/>
            </w:pPr>
            <w:r>
              <w:rPr>
                <w:rFonts w:ascii="Aptos" w:hAnsi="Aptos"/>
                <w:b/>
                <w:i w:val="0"/>
                <w:color w:val="5B6573"/>
                <w:sz w:val="16"/>
              </w:rPr>
              <w:t>COMPANY</w:t>
              <w:br/>
            </w:r>
            <w:r>
              <w:rPr>
                <w:rFonts w:ascii="Aptos" w:hAnsi="Aptos"/>
                <w:b w:val="0"/>
                <w:i w:val="0"/>
                <w:color w:val="132A46"/>
                <w:sz w:val="20"/>
              </w:rPr>
              <w:t>Orbit Systems AI, LLC</w:t>
            </w:r>
          </w:p>
        </w:tc>
        <w:tc>
          <w:tcPr>
            <w:tcW w:type="dxa" w:w="4810"/>
            <w:tcMar>
              <w:top w:w="100" w:type="dxa"/>
              <w:start w:w="140" w:type="dxa"/>
              <w:bottom w:w="100" w:type="dxa"/>
              <w:end w:w="140" w:type="dxa"/>
            </w:tcMar>
            <w:shd w:fill="EEF4FB"/>
            <w:vAlign w:val="center"/>
          </w:tcPr>
          <w:p>
            <w:pPr>
              <w:spacing w:after="0"/>
            </w:pPr>
            <w:r>
              <w:rPr>
                <w:rFonts w:ascii="Aptos" w:hAnsi="Aptos"/>
                <w:b/>
                <w:i w:val="0"/>
                <w:color w:val="5B6573"/>
                <w:sz w:val="16"/>
              </w:rPr>
              <w:t>EFFECTIVE DATE</w:t>
              <w:br/>
            </w:r>
            <w:r>
              <w:rPr>
                <w:rFonts w:ascii="Aptos" w:hAnsi="Aptos"/>
                <w:b w:val="0"/>
                <w:i w:val="0"/>
                <w:color w:val="132A46"/>
                <w:sz w:val="20"/>
              </w:rPr>
              <w:t>September 4, 2026</w:t>
            </w:r>
          </w:p>
        </w:tc>
      </w:tr>
      <w:tr>
        <w:tc>
          <w:tcPr>
            <w:tcW w:type="dxa" w:w="4810"/>
            <w:tcMar>
              <w:top w:w="100" w:type="dxa"/>
              <w:start w:w="140" w:type="dxa"/>
              <w:bottom w:w="100" w:type="dxa"/>
              <w:end w:w="140" w:type="dxa"/>
            </w:tcMar>
            <w:shd w:fill="EEF4FB"/>
            <w:vAlign w:val="center"/>
          </w:tcPr>
          <w:p>
            <w:pPr>
              <w:spacing w:after="0"/>
            </w:pPr>
            <w:r>
              <w:rPr>
                <w:rFonts w:ascii="Aptos" w:hAnsi="Aptos"/>
                <w:b/>
                <w:i w:val="0"/>
                <w:color w:val="5B6573"/>
                <w:sz w:val="16"/>
              </w:rPr>
              <w:t>SUPPORT EMAIL</w:t>
              <w:br/>
            </w:r>
            <w:r>
              <w:rPr>
                <w:rFonts w:ascii="Aptos" w:hAnsi="Aptos"/>
                <w:b w:val="0"/>
                <w:i w:val="0"/>
                <w:color w:val="132A46"/>
                <w:sz w:val="20"/>
              </w:rPr>
              <w:t>support@orbitsystems.ai</w:t>
            </w:r>
          </w:p>
        </w:tc>
        <w:tc>
          <w:tcPr>
            <w:tcW w:type="dxa" w:w="4810"/>
            <w:tcMar>
              <w:top w:w="100" w:type="dxa"/>
              <w:start w:w="140" w:type="dxa"/>
              <w:bottom w:w="100" w:type="dxa"/>
              <w:end w:w="140" w:type="dxa"/>
            </w:tcMar>
            <w:shd w:fill="EEF4FB"/>
            <w:vAlign w:val="center"/>
          </w:tcPr>
          <w:p>
            <w:pPr>
              <w:spacing w:after="0"/>
            </w:pPr>
            <w:r>
              <w:rPr>
                <w:rFonts w:ascii="Aptos" w:hAnsi="Aptos"/>
                <w:b/>
                <w:i w:val="0"/>
                <w:color w:val="5B6573"/>
                <w:sz w:val="16"/>
              </w:rPr>
              <w:t>SUPPORT PHONE</w:t>
              <w:br/>
            </w:r>
            <w:r>
              <w:rPr>
                <w:rFonts w:ascii="Aptos" w:hAnsi="Aptos"/>
                <w:b w:val="0"/>
                <w:i w:val="0"/>
                <w:color w:val="132A46"/>
                <w:sz w:val="20"/>
              </w:rPr>
              <w:t>(213) 279-7175</w:t>
            </w:r>
          </w:p>
        </w:tc>
      </w:tr>
    </w:tbl>
    <w:p>
      <w:pPr>
        <w:pStyle w:val="Heading1"/>
      </w:pPr>
      <w:r>
        <w:t>1. Purpose and scope</w:t>
      </w:r>
    </w:p>
    <w:p>
      <w:pPr>
        <w:spacing w:after="120" w:line="264" w:lineRule="auto"/>
      </w:pPr>
      <w:r>
        <w:rPr>
          <w:rFonts w:ascii="Aptos" w:hAnsi="Aptos"/>
          <w:b w:val="0"/>
          <w:i w:val="0"/>
          <w:color w:val="1F2937"/>
          <w:sz w:val="21"/>
        </w:rPr>
        <w:t>This Customer Support Policy explains how Orbit Systems AI, LLC ("Orbit," "we," "us," or "our") supports customers that purchase or subscribe to Digital Employees, AI-enabled voice and workflow services, telephone-number provisioning, call routing, messaging capabilities, integrations, and related professional services (collectively, the "Services").</w:t>
      </w:r>
    </w:p>
    <w:p>
      <w:pPr>
        <w:spacing w:after="120" w:line="264" w:lineRule="auto"/>
      </w:pPr>
      <w:r>
        <w:rPr>
          <w:rFonts w:ascii="Aptos" w:hAnsi="Aptos"/>
          <w:b w:val="0"/>
          <w:i w:val="0"/>
          <w:color w:val="1F2937"/>
          <w:sz w:val="21"/>
        </w:rPr>
        <w:t>This policy applies to customer-service, technical-support, service-delivery, cancellation, refund, billing, and complaint requests. A signed order form, master services agreement, service-level agreement, acceptable use policy, or carrier/provider requirement may contain additional or different terms. If there is a conflict, the signed agreement controls to the extent permitted by law.</w:t>
      </w:r>
    </w:p>
    <w:p>
      <w:pPr>
        <w:pStyle w:val="Heading1"/>
      </w:pPr>
      <w:r>
        <w:t>2. How to contact support</w:t>
      </w:r>
    </w:p>
    <w:p>
      <w:pPr>
        <w:spacing w:after="120" w:line="264" w:lineRule="auto"/>
      </w:pPr>
      <w:r>
        <w:rPr>
          <w:rFonts w:ascii="Aptos" w:hAnsi="Aptos"/>
          <w:b w:val="0"/>
          <w:i w:val="0"/>
          <w:color w:val="1F2937"/>
          <w:sz w:val="21"/>
        </w:rPr>
        <w:t>Customers may contact Orbit through the channels below. Please do not send passwords, API secrets, full payment-card numbers, or sensitive personal information through ordinary email.</w:t>
      </w:r>
    </w:p>
    <w:tbl>
      <w:tblPr>
        <w:tblW w:type="auto" w:w="0"/>
        <w:tblLayout w:type="fixed"/>
        <w:tblLook w:firstColumn="1" w:firstRow="1" w:lastColumn="0" w:lastRow="0" w:noHBand="0" w:noVBand="1" w:val="04A0"/>
      </w:tblPr>
      <w:tblGrid>
        <w:gridCol w:w="2232"/>
        <w:gridCol w:w="3240"/>
        <w:gridCol w:w="4147"/>
      </w:tblGrid>
      <w:tr>
        <w:trPr>
          <w:tblHeader w:val="true"/>
        </w:trPr>
        <w:tc>
          <w:tcPr>
            <w:tcW w:type="dxa" w:w="3293"/>
            <w:shd w:fill="132A46"/>
            <w:tcMar>
              <w:top w:w="100" w:type="dxa"/>
              <w:start w:w="140" w:type="dxa"/>
              <w:bottom w:w="100" w:type="dxa"/>
              <w:end w:w="140" w:type="dxa"/>
            </w:tcMar>
          </w:tcPr>
          <w:p>
            <w:r>
              <w:rPr>
                <w:rFonts w:ascii="Aptos" w:hAnsi="Aptos"/>
                <w:b/>
                <w:i w:val="0"/>
                <w:color w:val="FFFFFF"/>
                <w:sz w:val="18"/>
              </w:rPr>
              <w:t>Channel</w:t>
            </w:r>
          </w:p>
        </w:tc>
        <w:tc>
          <w:tcPr>
            <w:tcW w:type="dxa" w:w="3293"/>
            <w:shd w:fill="132A46"/>
            <w:tcMar>
              <w:top w:w="100" w:type="dxa"/>
              <w:start w:w="140" w:type="dxa"/>
              <w:bottom w:w="100" w:type="dxa"/>
              <w:end w:w="140" w:type="dxa"/>
            </w:tcMar>
          </w:tcPr>
          <w:p>
            <w:r>
              <w:rPr>
                <w:rFonts w:ascii="Aptos" w:hAnsi="Aptos"/>
                <w:b/>
                <w:i w:val="0"/>
                <w:color w:val="FFFFFF"/>
                <w:sz w:val="18"/>
              </w:rPr>
              <w:t>Contact</w:t>
            </w:r>
          </w:p>
        </w:tc>
        <w:tc>
          <w:tcPr>
            <w:tcW w:type="dxa" w:w="3293"/>
            <w:shd w:fill="132A46"/>
            <w:tcMar>
              <w:top w:w="100" w:type="dxa"/>
              <w:start w:w="140" w:type="dxa"/>
              <w:bottom w:w="100" w:type="dxa"/>
              <w:end w:w="140" w:type="dxa"/>
            </w:tcMar>
          </w:tcPr>
          <w:p>
            <w:r>
              <w:rPr>
                <w:rFonts w:ascii="Aptos" w:hAnsi="Aptos"/>
                <w:b/>
                <w:i w:val="0"/>
                <w:color w:val="FFFFFF"/>
                <w:sz w:val="18"/>
              </w:rPr>
              <w:t>Best for</w:t>
            </w:r>
          </w:p>
        </w:tc>
      </w:tr>
      <w:tr>
        <w:tc>
          <w:tcPr>
            <w:tcW w:type="dxa" w:w="2232"/>
            <w:tcMar>
              <w:top w:w="100" w:type="dxa"/>
              <w:start w:w="140" w:type="dxa"/>
              <w:bottom w:w="100" w:type="dxa"/>
              <w:end w:w="140" w:type="dxa"/>
            </w:tcMar>
            <w:vAlign w:val="center"/>
          </w:tcPr>
          <w:p>
            <w:r>
              <w:rPr>
                <w:rFonts w:ascii="Aptos" w:hAnsi="Aptos"/>
                <w:b w:val="0"/>
                <w:i w:val="0"/>
                <w:color w:val="1F2937"/>
                <w:sz w:val="18"/>
              </w:rPr>
              <w:t>Email</w:t>
            </w:r>
          </w:p>
        </w:tc>
        <w:tc>
          <w:tcPr>
            <w:tcW w:type="dxa" w:w="3240"/>
            <w:tcMar>
              <w:top w:w="100" w:type="dxa"/>
              <w:start w:w="140" w:type="dxa"/>
              <w:bottom w:w="100" w:type="dxa"/>
              <w:end w:w="140" w:type="dxa"/>
            </w:tcMar>
            <w:vAlign w:val="center"/>
          </w:tcPr>
          <w:p>
            <w:r>
              <w:rPr>
                <w:rFonts w:ascii="Aptos" w:hAnsi="Aptos"/>
                <w:b w:val="0"/>
                <w:i w:val="0"/>
                <w:color w:val="1F2937"/>
                <w:sz w:val="18"/>
              </w:rPr>
              <w:t>support@orbitsystems.ai</w:t>
            </w:r>
          </w:p>
        </w:tc>
        <w:tc>
          <w:tcPr>
            <w:tcW w:type="dxa" w:w="4147"/>
            <w:tcMar>
              <w:top w:w="100" w:type="dxa"/>
              <w:start w:w="140" w:type="dxa"/>
              <w:bottom w:w="100" w:type="dxa"/>
              <w:end w:w="140" w:type="dxa"/>
            </w:tcMar>
            <w:vAlign w:val="center"/>
          </w:tcPr>
          <w:p>
            <w:r>
              <w:rPr>
                <w:rFonts w:ascii="Aptos" w:hAnsi="Aptos"/>
                <w:b w:val="0"/>
                <w:i w:val="0"/>
                <w:color w:val="1F2937"/>
                <w:sz w:val="18"/>
              </w:rPr>
              <w:t>General, technical, cancellation, and written complaints</w:t>
            </w:r>
          </w:p>
        </w:tc>
      </w:tr>
      <w:tr>
        <w:tc>
          <w:tcPr>
            <w:tcW w:type="dxa" w:w="2232"/>
            <w:tcMar>
              <w:top w:w="100" w:type="dxa"/>
              <w:start w:w="140" w:type="dxa"/>
              <w:bottom w:w="100" w:type="dxa"/>
              <w:end w:w="140" w:type="dxa"/>
            </w:tcMar>
            <w:vAlign w:val="center"/>
          </w:tcPr>
          <w:p>
            <w:r>
              <w:rPr>
                <w:rFonts w:ascii="Aptos" w:hAnsi="Aptos"/>
                <w:b w:val="0"/>
                <w:i w:val="0"/>
                <w:color w:val="1F2937"/>
                <w:sz w:val="18"/>
              </w:rPr>
              <w:t>Telephone</w:t>
            </w:r>
          </w:p>
        </w:tc>
        <w:tc>
          <w:tcPr>
            <w:tcW w:type="dxa" w:w="3240"/>
            <w:tcMar>
              <w:top w:w="100" w:type="dxa"/>
              <w:start w:w="140" w:type="dxa"/>
              <w:bottom w:w="100" w:type="dxa"/>
              <w:end w:w="140" w:type="dxa"/>
            </w:tcMar>
            <w:vAlign w:val="center"/>
          </w:tcPr>
          <w:p>
            <w:r>
              <w:rPr>
                <w:rFonts w:ascii="Aptos" w:hAnsi="Aptos"/>
                <w:b w:val="0"/>
                <w:i w:val="0"/>
                <w:color w:val="1F2937"/>
                <w:sz w:val="18"/>
              </w:rPr>
              <w:t>(213) 279-7175</w:t>
            </w:r>
          </w:p>
        </w:tc>
        <w:tc>
          <w:tcPr>
            <w:tcW w:type="dxa" w:w="4147"/>
            <w:tcMar>
              <w:top w:w="100" w:type="dxa"/>
              <w:start w:w="140" w:type="dxa"/>
              <w:bottom w:w="100" w:type="dxa"/>
              <w:end w:w="140" w:type="dxa"/>
            </w:tcMar>
            <w:vAlign w:val="center"/>
          </w:tcPr>
          <w:p>
            <w:r>
              <w:rPr>
                <w:rFonts w:ascii="Aptos" w:hAnsi="Aptos"/>
                <w:b w:val="0"/>
                <w:i w:val="0"/>
                <w:color w:val="1F2937"/>
                <w:sz w:val="18"/>
              </w:rPr>
              <w:t>Urgent service-impacting issues and accessibility support</w:t>
            </w:r>
          </w:p>
        </w:tc>
      </w:tr>
      <w:tr>
        <w:tc>
          <w:tcPr>
            <w:tcW w:type="dxa" w:w="2232"/>
            <w:tcMar>
              <w:top w:w="100" w:type="dxa"/>
              <w:start w:w="140" w:type="dxa"/>
              <w:bottom w:w="100" w:type="dxa"/>
              <w:end w:w="140" w:type="dxa"/>
            </w:tcMar>
            <w:vAlign w:val="center"/>
          </w:tcPr>
          <w:p>
            <w:r>
              <w:rPr>
                <w:rFonts w:ascii="Aptos" w:hAnsi="Aptos"/>
                <w:b w:val="0"/>
                <w:i w:val="0"/>
                <w:color w:val="1F2937"/>
                <w:sz w:val="18"/>
              </w:rPr>
              <w:t>Support portal</w:t>
            </w:r>
          </w:p>
        </w:tc>
        <w:tc>
          <w:tcPr>
            <w:tcW w:type="dxa" w:w="3240"/>
            <w:tcMar>
              <w:top w:w="100" w:type="dxa"/>
              <w:start w:w="140" w:type="dxa"/>
              <w:bottom w:w="100" w:type="dxa"/>
              <w:end w:w="140" w:type="dxa"/>
            </w:tcMar>
            <w:vAlign w:val="center"/>
          </w:tcPr>
          <w:p>
            <w:r>
              <w:rPr>
                <w:rFonts w:ascii="Aptos" w:hAnsi="Aptos"/>
                <w:b w:val="0"/>
                <w:i w:val="0"/>
                <w:color w:val="1F2937"/>
                <w:sz w:val="18"/>
              </w:rPr>
              <w:t>https://orbitsystems.ai/member/support</w:t>
            </w:r>
          </w:p>
        </w:tc>
        <w:tc>
          <w:tcPr>
            <w:tcW w:type="dxa" w:w="4147"/>
            <w:tcMar>
              <w:top w:w="100" w:type="dxa"/>
              <w:start w:w="140" w:type="dxa"/>
              <w:bottom w:w="100" w:type="dxa"/>
              <w:end w:w="140" w:type="dxa"/>
            </w:tcMar>
            <w:vAlign w:val="center"/>
          </w:tcPr>
          <w:p>
            <w:r>
              <w:rPr>
                <w:rFonts w:ascii="Aptos" w:hAnsi="Aptos"/>
                <w:b w:val="0"/>
                <w:i w:val="0"/>
                <w:color w:val="1F2937"/>
                <w:sz w:val="18"/>
              </w:rPr>
              <w:t>Ticket tracking, attachments, and account-specific requests</w:t>
            </w:r>
          </w:p>
        </w:tc>
      </w:tr>
      <w:tr>
        <w:tc>
          <w:tcPr>
            <w:tcW w:type="dxa" w:w="2232"/>
            <w:tcMar>
              <w:top w:w="100" w:type="dxa"/>
              <w:start w:w="140" w:type="dxa"/>
              <w:bottom w:w="100" w:type="dxa"/>
              <w:end w:w="140" w:type="dxa"/>
            </w:tcMar>
            <w:vAlign w:val="center"/>
          </w:tcPr>
          <w:p>
            <w:r>
              <w:rPr>
                <w:rFonts w:ascii="Aptos" w:hAnsi="Aptos"/>
                <w:b w:val="0"/>
                <w:i w:val="0"/>
                <w:color w:val="1F2937"/>
                <w:sz w:val="18"/>
              </w:rPr>
              <w:t>Abuse / security</w:t>
            </w:r>
          </w:p>
        </w:tc>
        <w:tc>
          <w:tcPr>
            <w:tcW w:type="dxa" w:w="3240"/>
            <w:tcMar>
              <w:top w:w="100" w:type="dxa"/>
              <w:start w:w="140" w:type="dxa"/>
              <w:bottom w:w="100" w:type="dxa"/>
              <w:end w:w="140" w:type="dxa"/>
            </w:tcMar>
            <w:vAlign w:val="center"/>
          </w:tcPr>
          <w:p>
            <w:r>
              <w:rPr>
                <w:rFonts w:ascii="Aptos" w:hAnsi="Aptos"/>
                <w:b w:val="0"/>
                <w:i w:val="0"/>
                <w:color w:val="1F2937"/>
                <w:sz w:val="18"/>
              </w:rPr>
              <w:t>support@orbitsystems.ai</w:t>
            </w:r>
          </w:p>
        </w:tc>
        <w:tc>
          <w:tcPr>
            <w:tcW w:type="dxa" w:w="4147"/>
            <w:tcMar>
              <w:top w:w="100" w:type="dxa"/>
              <w:start w:w="140" w:type="dxa"/>
              <w:bottom w:w="100" w:type="dxa"/>
              <w:end w:w="140" w:type="dxa"/>
            </w:tcMar>
            <w:vAlign w:val="center"/>
          </w:tcPr>
          <w:p>
            <w:r>
              <w:rPr>
                <w:rFonts w:ascii="Aptos" w:hAnsi="Aptos"/>
                <w:b w:val="0"/>
                <w:i w:val="0"/>
                <w:color w:val="1F2937"/>
                <w:sz w:val="18"/>
              </w:rPr>
              <w:t>Suspected fraud, unlawful calling, compromised credentials, or security incidents</w:t>
            </w:r>
          </w:p>
        </w:tc>
      </w:tr>
    </w:tbl>
    <w:p>
      <w:pPr>
        <w:spacing w:after="120" w:line="264" w:lineRule="auto"/>
      </w:pPr>
      <w:r>
        <w:rPr>
          <w:rFonts w:ascii="Aptos" w:hAnsi="Aptos"/>
          <w:b w:val="0"/>
          <w:i w:val="0"/>
          <w:color w:val="1F2937"/>
          <w:sz w:val="21"/>
        </w:rPr>
        <w:t>Standard support hours: Monday through Friday, 10:00 a.m. to 4:00 p.m. Eastern Time. Requests received outside standard hours are logged on the next business day unless the customer has contracted for 24/7 or after-hours support.</w:t>
      </w:r>
    </w:p>
    <w:p>
      <w:pPr>
        <w:pStyle w:val="Heading1"/>
      </w:pPr>
      <w:r>
        <w:t>3. Information to include</w:t>
      </w:r>
    </w:p>
    <w:p>
      <w:pPr>
        <w:spacing w:after="120" w:line="264" w:lineRule="auto"/>
      </w:pPr>
      <w:r>
        <w:rPr>
          <w:rFonts w:ascii="Aptos" w:hAnsi="Aptos"/>
          <w:b w:val="0"/>
          <w:i w:val="0"/>
          <w:color w:val="1F2937"/>
          <w:sz w:val="21"/>
        </w:rPr>
        <w:t>To help us respond quickly, include:</w:t>
      </w:r>
    </w:p>
    <w:p>
      <w:pPr>
        <w:pStyle w:val="ListBullet"/>
        <w:spacing w:after="60"/>
      </w:pPr>
      <w:r>
        <w:rPr>
          <w:rFonts w:ascii="Aptos" w:hAnsi="Aptos"/>
          <w:b w:val="0"/>
          <w:i w:val="0"/>
          <w:color w:val="1F2937"/>
          <w:sz w:val="21"/>
        </w:rPr>
        <w:t>your name, organization, account email, and a callback number;</w:t>
      </w:r>
    </w:p>
    <w:p>
      <w:pPr>
        <w:pStyle w:val="ListBullet"/>
        <w:spacing w:after="60"/>
      </w:pPr>
      <w:r>
        <w:rPr>
          <w:rFonts w:ascii="Aptos" w:hAnsi="Aptos"/>
          <w:b w:val="0"/>
          <w:i w:val="0"/>
          <w:color w:val="1F2937"/>
          <w:sz w:val="21"/>
        </w:rPr>
        <w:t>the affected telephone number(s), Digital Employee, workflow, location, or integration;</w:t>
      </w:r>
    </w:p>
    <w:p>
      <w:pPr>
        <w:pStyle w:val="ListBullet"/>
        <w:spacing w:after="60"/>
      </w:pPr>
      <w:r>
        <w:rPr>
          <w:rFonts w:ascii="Aptos" w:hAnsi="Aptos"/>
          <w:b w:val="0"/>
          <w:i w:val="0"/>
          <w:color w:val="1F2937"/>
          <w:sz w:val="21"/>
        </w:rPr>
        <w:t>a concise description of the issue, when it began, and whether it is ongoing;</w:t>
      </w:r>
    </w:p>
    <w:p>
      <w:pPr>
        <w:pStyle w:val="ListBullet"/>
        <w:spacing w:after="60"/>
      </w:pPr>
      <w:r>
        <w:rPr>
          <w:rFonts w:ascii="Aptos" w:hAnsi="Aptos"/>
          <w:b w:val="0"/>
          <w:i w:val="0"/>
          <w:color w:val="1F2937"/>
          <w:sz w:val="21"/>
        </w:rPr>
        <w:t>examples such as call IDs, timestamps with time zone, error messages, or screenshots; and</w:t>
      </w:r>
    </w:p>
    <w:p>
      <w:pPr>
        <w:pStyle w:val="ListBullet"/>
        <w:spacing w:after="60"/>
      </w:pPr>
      <w:r>
        <w:rPr>
          <w:rFonts w:ascii="Aptos" w:hAnsi="Aptos"/>
          <w:b w:val="0"/>
          <w:i w:val="0"/>
          <w:color w:val="1F2937"/>
          <w:sz w:val="21"/>
        </w:rPr>
        <w:t>the business impact and any troubleshooting already performed.</w:t>
      </w:r>
    </w:p>
    <w:p>
      <w:pPr>
        <w:spacing w:after="120" w:line="264" w:lineRule="auto"/>
      </w:pPr>
      <w:r>
        <w:rPr>
          <w:rFonts w:ascii="Aptos" w:hAnsi="Aptos"/>
          <w:b w:val="0"/>
          <w:i w:val="0"/>
          <w:color w:val="1F2937"/>
          <w:sz w:val="21"/>
        </w:rPr>
        <w:t>Do not include call recordings, transcripts, protected health information, financial-account data, or other regulated information unless Orbit has authorized a secure method for that data and the applicable agreement permits it.</w:t>
      </w:r>
    </w:p>
    <w:p>
      <w:pPr>
        <w:pStyle w:val="Heading1"/>
      </w:pPr>
      <w:r>
        <w:t>4. Support priorities and response targets</w:t>
      </w:r>
    </w:p>
    <w:p>
      <w:pPr>
        <w:spacing w:after="120" w:line="264" w:lineRule="auto"/>
      </w:pPr>
      <w:r>
        <w:rPr>
          <w:rFonts w:ascii="Aptos" w:hAnsi="Aptos"/>
          <w:b w:val="0"/>
          <w:i w:val="0"/>
          <w:color w:val="1F2937"/>
          <w:sz w:val="21"/>
        </w:rPr>
        <w:t>Response targets are goals for an initial human acknowledgment, not guaranteed resolution times, unless a signed service-level agreement states otherwise.</w:t>
      </w:r>
    </w:p>
    <w:tbl>
      <w:tblPr>
        <w:tblW w:type="auto" w:w="0"/>
        <w:tblLayout w:type="fixed"/>
        <w:tblLook w:firstColumn="1" w:firstRow="1" w:lastColumn="0" w:lastRow="0" w:noHBand="0" w:noVBand="1" w:val="04A0"/>
      </w:tblPr>
      <w:tblGrid>
        <w:gridCol w:w="1080"/>
        <w:gridCol w:w="1584"/>
        <w:gridCol w:w="5083"/>
        <w:gridCol w:w="1872"/>
      </w:tblGrid>
      <w:tr>
        <w:trPr>
          <w:tblHeader w:val="true"/>
        </w:trPr>
        <w:tc>
          <w:tcPr>
            <w:tcW w:type="dxa" w:w="2469"/>
            <w:shd w:fill="132A46"/>
            <w:tcMar>
              <w:top w:w="100" w:type="dxa"/>
              <w:start w:w="140" w:type="dxa"/>
              <w:bottom w:w="100" w:type="dxa"/>
              <w:end w:w="140" w:type="dxa"/>
            </w:tcMar>
          </w:tcPr>
          <w:p>
            <w:r>
              <w:rPr>
                <w:rFonts w:ascii="Aptos" w:hAnsi="Aptos"/>
                <w:b/>
                <w:i w:val="0"/>
                <w:color w:val="FFFFFF"/>
                <w:sz w:val="17"/>
              </w:rPr>
              <w:t>Priority</w:t>
            </w:r>
          </w:p>
        </w:tc>
        <w:tc>
          <w:tcPr>
            <w:tcW w:type="dxa" w:w="2469"/>
            <w:shd w:fill="132A46"/>
            <w:tcMar>
              <w:top w:w="100" w:type="dxa"/>
              <w:start w:w="140" w:type="dxa"/>
              <w:bottom w:w="100" w:type="dxa"/>
              <w:end w:w="140" w:type="dxa"/>
            </w:tcMar>
          </w:tcPr>
          <w:p>
            <w:r>
              <w:rPr>
                <w:rFonts w:ascii="Aptos" w:hAnsi="Aptos"/>
                <w:b/>
                <w:i w:val="0"/>
                <w:color w:val="FFFFFF"/>
                <w:sz w:val="17"/>
              </w:rPr>
              <w:t>Level</w:t>
            </w:r>
          </w:p>
        </w:tc>
        <w:tc>
          <w:tcPr>
            <w:tcW w:type="dxa" w:w="2469"/>
            <w:shd w:fill="132A46"/>
            <w:tcMar>
              <w:top w:w="100" w:type="dxa"/>
              <w:start w:w="140" w:type="dxa"/>
              <w:bottom w:w="100" w:type="dxa"/>
              <w:end w:w="140" w:type="dxa"/>
            </w:tcMar>
          </w:tcPr>
          <w:p>
            <w:r>
              <w:rPr>
                <w:rFonts w:ascii="Aptos" w:hAnsi="Aptos"/>
                <w:b/>
                <w:i w:val="0"/>
                <w:color w:val="FFFFFF"/>
                <w:sz w:val="17"/>
              </w:rPr>
              <w:t>Examples</w:t>
            </w:r>
          </w:p>
        </w:tc>
        <w:tc>
          <w:tcPr>
            <w:tcW w:type="dxa" w:w="2469"/>
            <w:shd w:fill="132A46"/>
            <w:tcMar>
              <w:top w:w="100" w:type="dxa"/>
              <w:start w:w="140" w:type="dxa"/>
              <w:bottom w:w="100" w:type="dxa"/>
              <w:end w:w="140" w:type="dxa"/>
            </w:tcMar>
          </w:tcPr>
          <w:p>
            <w:r>
              <w:rPr>
                <w:rFonts w:ascii="Aptos" w:hAnsi="Aptos"/>
                <w:b/>
                <w:i w:val="0"/>
                <w:color w:val="FFFFFF"/>
                <w:sz w:val="17"/>
              </w:rPr>
              <w:t>Initial response target</w:t>
            </w:r>
          </w:p>
        </w:tc>
      </w:tr>
      <w:tr>
        <w:tc>
          <w:tcPr>
            <w:tcW w:type="dxa" w:w="1080"/>
            <w:tcMar>
              <w:top w:w="90" w:type="dxa"/>
              <w:start w:w="110" w:type="dxa"/>
              <w:bottom w:w="90" w:type="dxa"/>
              <w:end w:w="110" w:type="dxa"/>
            </w:tcMar>
            <w:vAlign w:val="center"/>
          </w:tcPr>
          <w:p>
            <w:r>
              <w:rPr>
                <w:rFonts w:ascii="Aptos" w:hAnsi="Aptos"/>
                <w:b/>
                <w:i w:val="0"/>
                <w:color w:val="132A46"/>
                <w:sz w:val="16"/>
              </w:rPr>
              <w:t>P1</w:t>
            </w:r>
          </w:p>
        </w:tc>
        <w:tc>
          <w:tcPr>
            <w:tcW w:type="dxa" w:w="1584"/>
            <w:tcMar>
              <w:top w:w="90" w:type="dxa"/>
              <w:start w:w="110" w:type="dxa"/>
              <w:bottom w:w="90" w:type="dxa"/>
              <w:end w:w="110" w:type="dxa"/>
            </w:tcMar>
            <w:vAlign w:val="center"/>
          </w:tcPr>
          <w:p>
            <w:r>
              <w:rPr>
                <w:rFonts w:ascii="Aptos" w:hAnsi="Aptos"/>
                <w:b/>
                <w:i w:val="0"/>
                <w:color w:val="132A46"/>
                <w:sz w:val="16"/>
              </w:rPr>
              <w:t>Critical</w:t>
            </w:r>
          </w:p>
        </w:tc>
        <w:tc>
          <w:tcPr>
            <w:tcW w:type="dxa" w:w="5083"/>
            <w:tcMar>
              <w:top w:w="90" w:type="dxa"/>
              <w:start w:w="110" w:type="dxa"/>
              <w:bottom w:w="90" w:type="dxa"/>
              <w:end w:w="110" w:type="dxa"/>
            </w:tcMar>
            <w:vAlign w:val="center"/>
          </w:tcPr>
          <w:p>
            <w:r>
              <w:rPr>
                <w:rFonts w:ascii="Aptos" w:hAnsi="Aptos"/>
                <w:b w:val="0"/>
                <w:i w:val="0"/>
                <w:color w:val="1F2937"/>
                <w:sz w:val="16"/>
              </w:rPr>
              <w:t>Widespread service outage; inbound or outbound calling unavailable; suspected account compromise or active fraud.</w:t>
            </w:r>
          </w:p>
        </w:tc>
        <w:tc>
          <w:tcPr>
            <w:tcW w:type="dxa" w:w="1872"/>
            <w:tcMar>
              <w:top w:w="90" w:type="dxa"/>
              <w:start w:w="110" w:type="dxa"/>
              <w:bottom w:w="90" w:type="dxa"/>
              <w:end w:w="110" w:type="dxa"/>
            </w:tcMar>
            <w:vAlign w:val="center"/>
          </w:tcPr>
          <w:p>
            <w:r>
              <w:rPr>
                <w:rFonts w:ascii="Aptos" w:hAnsi="Aptos"/>
                <w:b w:val="0"/>
                <w:i w:val="0"/>
                <w:color w:val="1F2937"/>
                <w:sz w:val="16"/>
              </w:rPr>
              <w:t>Within 1 hour, 24/7 only where contracted; otherwise during support hours</w:t>
            </w:r>
          </w:p>
        </w:tc>
      </w:tr>
      <w:tr>
        <w:tc>
          <w:tcPr>
            <w:tcW w:type="dxa" w:w="1080"/>
            <w:tcMar>
              <w:top w:w="90" w:type="dxa"/>
              <w:start w:w="110" w:type="dxa"/>
              <w:bottom w:w="90" w:type="dxa"/>
              <w:end w:w="110" w:type="dxa"/>
            </w:tcMar>
            <w:vAlign w:val="center"/>
          </w:tcPr>
          <w:p>
            <w:r>
              <w:rPr>
                <w:rFonts w:ascii="Aptos" w:hAnsi="Aptos"/>
                <w:b/>
                <w:i w:val="0"/>
                <w:color w:val="132A46"/>
                <w:sz w:val="16"/>
              </w:rPr>
              <w:t>P2</w:t>
            </w:r>
          </w:p>
        </w:tc>
        <w:tc>
          <w:tcPr>
            <w:tcW w:type="dxa" w:w="1584"/>
            <w:tcMar>
              <w:top w:w="90" w:type="dxa"/>
              <w:start w:w="110" w:type="dxa"/>
              <w:bottom w:w="90" w:type="dxa"/>
              <w:end w:w="110" w:type="dxa"/>
            </w:tcMar>
            <w:vAlign w:val="center"/>
          </w:tcPr>
          <w:p>
            <w:r>
              <w:rPr>
                <w:rFonts w:ascii="Aptos" w:hAnsi="Aptos"/>
                <w:b/>
                <w:i w:val="0"/>
                <w:color w:val="132A46"/>
                <w:sz w:val="16"/>
              </w:rPr>
              <w:t>High</w:t>
            </w:r>
          </w:p>
        </w:tc>
        <w:tc>
          <w:tcPr>
            <w:tcW w:type="dxa" w:w="5083"/>
            <w:tcMar>
              <w:top w:w="90" w:type="dxa"/>
              <w:start w:w="110" w:type="dxa"/>
              <w:bottom w:w="90" w:type="dxa"/>
              <w:end w:w="110" w:type="dxa"/>
            </w:tcMar>
            <w:vAlign w:val="center"/>
          </w:tcPr>
          <w:p>
            <w:r>
              <w:rPr>
                <w:rFonts w:ascii="Aptos" w:hAnsi="Aptos"/>
                <w:b w:val="0"/>
                <w:i w:val="0"/>
                <w:color w:val="1F2937"/>
                <w:sz w:val="16"/>
              </w:rPr>
              <w:t>Major feature impaired; repeated call failures; number-porting issue near a committed cutover.</w:t>
            </w:r>
          </w:p>
        </w:tc>
        <w:tc>
          <w:tcPr>
            <w:tcW w:type="dxa" w:w="1872"/>
            <w:tcMar>
              <w:top w:w="90" w:type="dxa"/>
              <w:start w:w="110" w:type="dxa"/>
              <w:bottom w:w="90" w:type="dxa"/>
              <w:end w:w="110" w:type="dxa"/>
            </w:tcMar>
            <w:vAlign w:val="center"/>
          </w:tcPr>
          <w:p>
            <w:r>
              <w:rPr>
                <w:rFonts w:ascii="Aptos" w:hAnsi="Aptos"/>
                <w:b w:val="0"/>
                <w:i w:val="0"/>
                <w:color w:val="1F2937"/>
                <w:sz w:val="16"/>
              </w:rPr>
              <w:t>Within 4 business hours</w:t>
            </w:r>
          </w:p>
        </w:tc>
      </w:tr>
      <w:tr>
        <w:tc>
          <w:tcPr>
            <w:tcW w:type="dxa" w:w="1080"/>
            <w:tcMar>
              <w:top w:w="90" w:type="dxa"/>
              <w:start w:w="110" w:type="dxa"/>
              <w:bottom w:w="90" w:type="dxa"/>
              <w:end w:w="110" w:type="dxa"/>
            </w:tcMar>
            <w:vAlign w:val="center"/>
          </w:tcPr>
          <w:p>
            <w:r>
              <w:rPr>
                <w:rFonts w:ascii="Aptos" w:hAnsi="Aptos"/>
                <w:b/>
                <w:i w:val="0"/>
                <w:color w:val="132A46"/>
                <w:sz w:val="16"/>
              </w:rPr>
              <w:t>P3</w:t>
            </w:r>
          </w:p>
        </w:tc>
        <w:tc>
          <w:tcPr>
            <w:tcW w:type="dxa" w:w="1584"/>
            <w:tcMar>
              <w:top w:w="90" w:type="dxa"/>
              <w:start w:w="110" w:type="dxa"/>
              <w:bottom w:w="90" w:type="dxa"/>
              <w:end w:w="110" w:type="dxa"/>
            </w:tcMar>
            <w:vAlign w:val="center"/>
          </w:tcPr>
          <w:p>
            <w:r>
              <w:rPr>
                <w:rFonts w:ascii="Aptos" w:hAnsi="Aptos"/>
                <w:b/>
                <w:i w:val="0"/>
                <w:color w:val="132A46"/>
                <w:sz w:val="16"/>
              </w:rPr>
              <w:t>Normal</w:t>
            </w:r>
          </w:p>
        </w:tc>
        <w:tc>
          <w:tcPr>
            <w:tcW w:type="dxa" w:w="5083"/>
            <w:tcMar>
              <w:top w:w="90" w:type="dxa"/>
              <w:start w:w="110" w:type="dxa"/>
              <w:bottom w:w="90" w:type="dxa"/>
              <w:end w:w="110" w:type="dxa"/>
            </w:tcMar>
            <w:vAlign w:val="center"/>
          </w:tcPr>
          <w:p>
            <w:r>
              <w:rPr>
                <w:rFonts w:ascii="Aptos" w:hAnsi="Aptos"/>
                <w:b w:val="0"/>
                <w:i w:val="0"/>
                <w:color w:val="1F2937"/>
                <w:sz w:val="16"/>
              </w:rPr>
              <w:t>Single-user issue; configuration question; intermittent or limited-impact defect.</w:t>
            </w:r>
          </w:p>
        </w:tc>
        <w:tc>
          <w:tcPr>
            <w:tcW w:type="dxa" w:w="1872"/>
            <w:tcMar>
              <w:top w:w="90" w:type="dxa"/>
              <w:start w:w="110" w:type="dxa"/>
              <w:bottom w:w="90" w:type="dxa"/>
              <w:end w:w="110" w:type="dxa"/>
            </w:tcMar>
            <w:vAlign w:val="center"/>
          </w:tcPr>
          <w:p>
            <w:r>
              <w:rPr>
                <w:rFonts w:ascii="Aptos" w:hAnsi="Aptos"/>
                <w:b w:val="0"/>
                <w:i w:val="0"/>
                <w:color w:val="1F2937"/>
                <w:sz w:val="16"/>
              </w:rPr>
              <w:t>Within 1 business day</w:t>
            </w:r>
          </w:p>
        </w:tc>
      </w:tr>
      <w:tr>
        <w:tc>
          <w:tcPr>
            <w:tcW w:type="dxa" w:w="1080"/>
            <w:tcMar>
              <w:top w:w="90" w:type="dxa"/>
              <w:start w:w="110" w:type="dxa"/>
              <w:bottom w:w="90" w:type="dxa"/>
              <w:end w:w="110" w:type="dxa"/>
            </w:tcMar>
            <w:vAlign w:val="center"/>
          </w:tcPr>
          <w:p>
            <w:r>
              <w:rPr>
                <w:rFonts w:ascii="Aptos" w:hAnsi="Aptos"/>
                <w:b/>
                <w:i w:val="0"/>
                <w:color w:val="132A46"/>
                <w:sz w:val="16"/>
              </w:rPr>
              <w:t>P4</w:t>
            </w:r>
          </w:p>
        </w:tc>
        <w:tc>
          <w:tcPr>
            <w:tcW w:type="dxa" w:w="1584"/>
            <w:tcMar>
              <w:top w:w="90" w:type="dxa"/>
              <w:start w:w="110" w:type="dxa"/>
              <w:bottom w:w="90" w:type="dxa"/>
              <w:end w:w="110" w:type="dxa"/>
            </w:tcMar>
            <w:vAlign w:val="center"/>
          </w:tcPr>
          <w:p>
            <w:r>
              <w:rPr>
                <w:rFonts w:ascii="Aptos" w:hAnsi="Aptos"/>
                <w:b/>
                <w:i w:val="0"/>
                <w:color w:val="132A46"/>
                <w:sz w:val="16"/>
              </w:rPr>
              <w:t>Request</w:t>
            </w:r>
          </w:p>
        </w:tc>
        <w:tc>
          <w:tcPr>
            <w:tcW w:type="dxa" w:w="5083"/>
            <w:tcMar>
              <w:top w:w="90" w:type="dxa"/>
              <w:start w:w="110" w:type="dxa"/>
              <w:bottom w:w="90" w:type="dxa"/>
              <w:end w:w="110" w:type="dxa"/>
            </w:tcMar>
            <w:vAlign w:val="center"/>
          </w:tcPr>
          <w:p>
            <w:r>
              <w:rPr>
                <w:rFonts w:ascii="Aptos" w:hAnsi="Aptos"/>
                <w:b w:val="0"/>
                <w:i w:val="0"/>
                <w:color w:val="1F2937"/>
                <w:sz w:val="16"/>
              </w:rPr>
              <w:t>How-to question; planned change; feature request; documentation or billing inquiry.</w:t>
            </w:r>
          </w:p>
        </w:tc>
        <w:tc>
          <w:tcPr>
            <w:tcW w:type="dxa" w:w="1872"/>
            <w:tcMar>
              <w:top w:w="90" w:type="dxa"/>
              <w:start w:w="110" w:type="dxa"/>
              <w:bottom w:w="90" w:type="dxa"/>
              <w:end w:w="110" w:type="dxa"/>
            </w:tcMar>
            <w:vAlign w:val="center"/>
          </w:tcPr>
          <w:p>
            <w:r>
              <w:rPr>
                <w:rFonts w:ascii="Aptos" w:hAnsi="Aptos"/>
                <w:b w:val="0"/>
                <w:i w:val="0"/>
                <w:color w:val="1F2937"/>
                <w:sz w:val="16"/>
              </w:rPr>
              <w:t>Within 2 business days</w:t>
            </w:r>
          </w:p>
        </w:tc>
      </w:tr>
    </w:tbl>
    <w:p>
      <w:pPr>
        <w:pStyle w:val="Heading1"/>
      </w:pPr>
      <w:r>
        <w:t>5. Telephone numbers and telephony support</w:t>
      </w:r>
    </w:p>
    <w:p>
      <w:pPr>
        <w:spacing w:after="120" w:line="264" w:lineRule="auto"/>
      </w:pPr>
      <w:r>
        <w:rPr>
          <w:rFonts w:ascii="Aptos" w:hAnsi="Aptos"/>
          <w:b w:val="0"/>
          <w:i w:val="0"/>
          <w:color w:val="1F2937"/>
          <w:sz w:val="21"/>
        </w:rPr>
        <w:t>Telephone numbers are provisioned or assigned for use with the Services; they are not sold as property. Number availability, activation, portability, messaging registration, caller-ID presentation, emergency-service capability, and continued use may depend on underlying carriers, numbering administrators, regulators, and third-party providers.</w:t>
      </w:r>
    </w:p>
    <w:p>
      <w:pPr>
        <w:pStyle w:val="ListBullet"/>
        <w:spacing w:after="60"/>
      </w:pPr>
      <w:r>
        <w:rPr>
          <w:rFonts w:ascii="Aptos" w:hAnsi="Aptos"/>
          <w:b w:val="0"/>
          <w:i w:val="0"/>
          <w:color w:val="1F2937"/>
          <w:sz w:val="21"/>
        </w:rPr>
        <w:t>Activation and configuration. Orbit will provide reasonable status updates for number ordering, verification, routing, messaging registration, and cutover activities.</w:t>
      </w:r>
    </w:p>
    <w:p>
      <w:pPr>
        <w:pStyle w:val="ListBullet"/>
        <w:spacing w:after="60"/>
      </w:pPr>
      <w:r>
        <w:rPr>
          <w:rFonts w:ascii="Aptos" w:hAnsi="Aptos"/>
          <w:b w:val="0"/>
          <w:i w:val="0"/>
          <w:color w:val="1F2937"/>
          <w:sz w:val="21"/>
        </w:rPr>
        <w:t>Porting. Customers must provide accurate ownership records, letters of authorization, service addresses, account numbers, and other carrier-required information. Estimated port dates are not guaranteed until confirmed by the losing and gaining providers.</w:t>
      </w:r>
    </w:p>
    <w:p>
      <w:pPr>
        <w:pStyle w:val="ListBullet"/>
        <w:spacing w:after="60"/>
      </w:pPr>
      <w:r>
        <w:rPr>
          <w:rFonts w:ascii="Aptos" w:hAnsi="Aptos"/>
          <w:b w:val="0"/>
          <w:i w:val="0"/>
          <w:color w:val="1F2937"/>
          <w:sz w:val="21"/>
        </w:rPr>
        <w:t>Number continuity. Orbit will use commercially reasonable efforts to preserve assigned numbers, but cannot guarantee indefinite availability where a carrier, regulator, law, customer nonpayment, misuse, or provider termination requires suspension, reclamation, or reassignment.</w:t>
      </w:r>
    </w:p>
    <w:p>
      <w:pPr>
        <w:pStyle w:val="ListBullet"/>
        <w:spacing w:after="60"/>
      </w:pPr>
      <w:r>
        <w:rPr>
          <w:rFonts w:ascii="Aptos" w:hAnsi="Aptos"/>
          <w:b w:val="0"/>
          <w:i w:val="0"/>
          <w:color w:val="1F2937"/>
          <w:sz w:val="21"/>
        </w:rPr>
        <w:t>Unauthorized use. Customers must report suspected spoofing, credential compromise, fraudulent calling, unlawful messaging, or other abuse immediately. Orbit may suspend affected functionality while investigating and protecting users or networks.</w:t>
      </w:r>
    </w:p>
    <w:p>
      <w:pPr>
        <w:pStyle w:val="ListBullet"/>
        <w:spacing w:after="60"/>
      </w:pPr>
      <w:r>
        <w:rPr>
          <w:rFonts w:ascii="Aptos" w:hAnsi="Aptos"/>
          <w:b w:val="0"/>
          <w:i w:val="0"/>
          <w:color w:val="1F2937"/>
          <w:sz w:val="21"/>
        </w:rPr>
        <w:t>Customer configuration. Customers are responsible for maintaining current routing destinations, authorized users, business hours, escalation contacts, and legally required caller or message disclosures.</w:t>
      </w:r>
    </w:p>
    <w:p>
      <w:pPr>
        <w:pStyle w:val="Heading1"/>
      </w:pPr>
      <w:r>
        <w:t>6. Emergency calling and service limitations</w:t>
      </w:r>
    </w:p>
    <w:p>
      <w:pPr>
        <w:spacing w:after="120" w:line="264" w:lineRule="auto"/>
      </w:pPr>
      <w:r>
        <w:rPr>
          <w:rFonts w:ascii="Aptos" w:hAnsi="Aptos"/>
          <w:b w:val="0"/>
          <w:i w:val="0"/>
          <w:color w:val="1F2937"/>
          <w:sz w:val="21"/>
        </w:rPr>
        <w:t>Unless Orbit expressly confirms emergency-calling capability in writing for a specific deployment and location, the Services and Digital Employees must not be relied upon to contact 911 or other emergency services. AI responses, call routing, carrier networks, internet connections, power, integrations, and third-party platforms may be unavailable, delayed, or inaccurate. Customers must maintain an independent means of emergency communication and follow all emergency-address registration and testing instructions supplied by Orbit or an underlying provider.</w:t>
      </w:r>
    </w:p>
    <w:p>
      <w:pPr>
        <w:pStyle w:val="Heading1"/>
      </w:pPr>
      <w:r>
        <w:t>7. AI service support and customer responsibilities</w:t>
      </w:r>
    </w:p>
    <w:p>
      <w:pPr>
        <w:pStyle w:val="ListBullet"/>
        <w:spacing w:after="60"/>
      </w:pPr>
      <w:r>
        <w:rPr>
          <w:rFonts w:ascii="Aptos" w:hAnsi="Aptos"/>
          <w:b w:val="0"/>
          <w:i w:val="0"/>
          <w:color w:val="1F2937"/>
          <w:sz w:val="21"/>
        </w:rPr>
        <w:t>Orbit investigates reported failures involving approved knowledge, prompts, routing, integrations, appointment workflows, and escalation logic.</w:t>
      </w:r>
    </w:p>
    <w:p>
      <w:pPr>
        <w:pStyle w:val="ListBullet"/>
        <w:spacing w:after="60"/>
      </w:pPr>
      <w:r>
        <w:rPr>
          <w:rFonts w:ascii="Aptos" w:hAnsi="Aptos"/>
          <w:b w:val="0"/>
          <w:i w:val="0"/>
          <w:color w:val="1F2937"/>
          <w:sz w:val="21"/>
        </w:rPr>
        <w:t>AI outputs can be probabilistic. Customers should define prohibited topics, escalation rules, approved content, and human-review requirements appropriate to their business and industry.</w:t>
      </w:r>
    </w:p>
    <w:p>
      <w:pPr>
        <w:pStyle w:val="ListBullet"/>
        <w:spacing w:after="60"/>
      </w:pPr>
      <w:r>
        <w:rPr>
          <w:rFonts w:ascii="Aptos" w:hAnsi="Aptos"/>
          <w:b w:val="0"/>
          <w:i w:val="0"/>
          <w:color w:val="1F2937"/>
          <w:sz w:val="21"/>
        </w:rPr>
        <w:t>Customers are responsible for obtaining required consents and providing required disclosures for call recording, transcription, automated or prerecorded communications, telemarketing, messaging, and use of personal data.</w:t>
      </w:r>
    </w:p>
    <w:p>
      <w:pPr>
        <w:pStyle w:val="ListBullet"/>
        <w:spacing w:after="60"/>
      </w:pPr>
      <w:r>
        <w:rPr>
          <w:rFonts w:ascii="Aptos" w:hAnsi="Aptos"/>
          <w:b w:val="0"/>
          <w:i w:val="0"/>
          <w:color w:val="1F2937"/>
          <w:sz w:val="21"/>
        </w:rPr>
        <w:t>Customers must not use the Services for deceptive caller identification, illegal robocalling, harassment, fraud, impersonation, or any activity prohibited by law, contract, carrier policy, or Orbit's Acceptable Use Policy.</w:t>
      </w:r>
    </w:p>
    <w:p>
      <w:pPr>
        <w:pStyle w:val="Heading1"/>
      </w:pPr>
      <w:r>
        <w:t>8. Maintenance, outages, and third-party dependencies</w:t>
      </w:r>
    </w:p>
    <w:p>
      <w:pPr>
        <w:spacing w:after="120" w:line="264" w:lineRule="auto"/>
      </w:pPr>
      <w:r>
        <w:rPr>
          <w:rFonts w:ascii="Aptos" w:hAnsi="Aptos"/>
          <w:b w:val="0"/>
          <w:i w:val="0"/>
          <w:color w:val="1F2937"/>
          <w:sz w:val="21"/>
        </w:rPr>
        <w:t>Orbit may perform planned maintenance and will provide advance notice when commercially reasonable. Emergency maintenance may occur without advance notice. Some incidents originate with carriers, cloud platforms, payment processors, internet providers, customer systems, or other third parties. Orbit will coordinate and communicate material updates when practical, but third-party restoration timelines are outside Orbit's control.</w:t>
      </w:r>
    </w:p>
    <w:p>
      <w:pPr>
        <w:pStyle w:val="Heading1"/>
      </w:pPr>
      <w:r>
        <w:t>9. Billing questions and disputes</w:t>
      </w:r>
    </w:p>
    <w:p>
      <w:pPr>
        <w:spacing w:after="120" w:line="264" w:lineRule="auto"/>
      </w:pPr>
      <w:r>
        <w:rPr>
          <w:rFonts w:ascii="Aptos" w:hAnsi="Aptos"/>
          <w:b w:val="0"/>
          <w:i w:val="0"/>
          <w:color w:val="1F2937"/>
          <w:sz w:val="21"/>
        </w:rPr>
        <w:t>Customers should send billing questions to finance@orbitsystems.ai promptly and, where possible, before initiating a payment-card dispute. Include the invoice or receipt number, charge date and amount, and the reason for the inquiry. Orbit will acknowledge billing inquiries within two business days and review account records, contracted fees, usage records, credits, and payment status.</w:t>
      </w:r>
    </w:p>
    <w:p>
      <w:pPr>
        <w:spacing w:after="120" w:line="264" w:lineRule="auto"/>
      </w:pPr>
      <w:r>
        <w:rPr>
          <w:rFonts w:ascii="Aptos" w:hAnsi="Aptos"/>
          <w:b w:val="0"/>
          <w:i w:val="0"/>
          <w:color w:val="1F2937"/>
          <w:sz w:val="21"/>
        </w:rPr>
        <w:t>Contacting Orbit does not extend a payment deadline unless Orbit agrees in writing. Customers remain responsible for undisputed charges. Orbit will not request or accept a full payment-card number by email or support ticket.</w:t>
      </w:r>
    </w:p>
    <w:p>
      <w:pPr>
        <w:pStyle w:val="Heading1"/>
      </w:pPr>
      <w:r>
        <w:t>10. Cancellations</w:t>
      </w:r>
    </w:p>
    <w:p>
      <w:pPr>
        <w:spacing w:after="120" w:line="264" w:lineRule="auto"/>
      </w:pPr>
      <w:r>
        <w:rPr>
          <w:rFonts w:ascii="Aptos" w:hAnsi="Aptos"/>
          <w:b w:val="0"/>
          <w:i w:val="0"/>
          <w:color w:val="1F2937"/>
          <w:sz w:val="21"/>
        </w:rPr>
        <w:t>Customers may request cancellation through the support email or support portal listed above. For account security, Orbit may require verification by an authorized account contact. Unless a signed agreement states otherwise:</w:t>
      </w:r>
    </w:p>
    <w:p>
      <w:pPr>
        <w:pStyle w:val="ListBullet"/>
        <w:spacing w:after="60"/>
      </w:pPr>
      <w:r>
        <w:rPr>
          <w:rFonts w:ascii="Aptos" w:hAnsi="Aptos"/>
          <w:b w:val="0"/>
          <w:i w:val="0"/>
          <w:color w:val="1F2937"/>
          <w:sz w:val="21"/>
        </w:rPr>
        <w:t>month-to-month subscriptions may be canceled before the next renewal date and remain active through the end of the paid billing period;</w:t>
      </w:r>
    </w:p>
    <w:p>
      <w:pPr>
        <w:pStyle w:val="ListBullet"/>
        <w:spacing w:after="60"/>
      </w:pPr>
      <w:r>
        <w:rPr>
          <w:rFonts w:ascii="Aptos" w:hAnsi="Aptos"/>
          <w:b w:val="0"/>
          <w:i w:val="0"/>
          <w:color w:val="1F2937"/>
          <w:sz w:val="21"/>
        </w:rPr>
        <w:t>fixed-term commitments, minimum usage commitments, professional-services projects, porting orders, and third-party charges remain subject to the applicable order form or agreement;</w:t>
      </w:r>
    </w:p>
    <w:p>
      <w:pPr>
        <w:pStyle w:val="ListBullet"/>
        <w:spacing w:after="60"/>
      </w:pPr>
      <w:r>
        <w:rPr>
          <w:rFonts w:ascii="Aptos" w:hAnsi="Aptos"/>
          <w:b w:val="0"/>
          <w:i w:val="0"/>
          <w:color w:val="1F2937"/>
          <w:sz w:val="21"/>
        </w:rPr>
        <w:t>usage-based charges incurred before the effective cancellation date remain payable; and</w:t>
      </w:r>
    </w:p>
    <w:p>
      <w:pPr>
        <w:pStyle w:val="ListBullet"/>
        <w:spacing w:after="60"/>
      </w:pPr>
      <w:r>
        <w:rPr>
          <w:rFonts w:ascii="Aptos" w:hAnsi="Aptos"/>
          <w:b w:val="0"/>
          <w:i w:val="0"/>
          <w:color w:val="1F2937"/>
          <w:sz w:val="21"/>
        </w:rPr>
        <w:t>customers should export needed data and submit number-porting requests before termination. Orbit may be unable to recover a number after release to a carrier or numbering pool.</w:t>
      </w:r>
    </w:p>
    <w:p>
      <w:pPr>
        <w:spacing w:after="120" w:line="264" w:lineRule="auto"/>
      </w:pPr>
      <w:r>
        <w:rPr>
          <w:rFonts w:ascii="Aptos" w:hAnsi="Aptos"/>
          <w:b w:val="0"/>
          <w:i w:val="0"/>
          <w:color w:val="1F2937"/>
          <w:sz w:val="21"/>
        </w:rPr>
        <w:t>Orbit will send written confirmation of the cancellation date and any remaining steps or charges. Deleting an application, ceasing use, or disputing a charge does not by itself cancel the Services.</w:t>
      </w:r>
    </w:p>
    <w:p>
      <w:pPr>
        <w:pStyle w:val="Heading1"/>
      </w:pPr>
      <w:r>
        <w:t>11. Refunds and credits</w:t>
      </w:r>
    </w:p>
    <w:p>
      <w:pPr>
        <w:spacing w:after="120" w:line="264" w:lineRule="auto"/>
      </w:pPr>
      <w:r>
        <w:rPr>
          <w:rFonts w:ascii="Aptos" w:hAnsi="Aptos"/>
          <w:b w:val="0"/>
          <w:i w:val="0"/>
          <w:color w:val="1F2937"/>
          <w:sz w:val="21"/>
        </w:rPr>
        <w:t>Unless a signed agreement states otherwise, fees for completed setup, implementation work, activated or ported numbers, registration, third-party services, and measured usage are non-refundable once incurred. Subscription fees are generally non-refundable after a billing period begins, except where required by law or where Orbit confirms a duplicate charge, billing error, or material failure to deliver the purchased Service.</w:t>
      </w:r>
    </w:p>
    <w:p>
      <w:pPr>
        <w:spacing w:after="120" w:line="264" w:lineRule="auto"/>
      </w:pPr>
      <w:r>
        <w:rPr>
          <w:rFonts w:ascii="Aptos" w:hAnsi="Aptos"/>
          <w:b w:val="0"/>
          <w:i w:val="0"/>
          <w:color w:val="1F2937"/>
          <w:sz w:val="21"/>
        </w:rPr>
        <w:t>Refund requests must be submitted within 14 days after the charge and must identify the account, charge, and reason. Orbit will normally decide a complete request within 10 business days. Approved refunds are issued to the original payment method; financial institutions may require additional time to post the credit. Service credits, when offered, apply to future invoices and have no cash value unless required by law.</w:t>
      </w:r>
    </w:p>
    <w:p>
      <w:pPr>
        <w:pStyle w:val="Heading1"/>
      </w:pPr>
      <w:r>
        <w:t>12. Complaints and escalation</w:t>
      </w:r>
    </w:p>
    <w:p>
      <w:pPr>
        <w:spacing w:after="120" w:line="264" w:lineRule="auto"/>
      </w:pPr>
      <w:r>
        <w:rPr>
          <w:rFonts w:ascii="Aptos" w:hAnsi="Aptos"/>
          <w:b w:val="0"/>
          <w:i w:val="0"/>
          <w:color w:val="1F2937"/>
          <w:sz w:val="21"/>
        </w:rPr>
        <w:t>If a customer is dissatisfied with a support outcome, the customer may reply to the ticket and request escalation to a support manager. The request should state the desired resolution and why the prior response was insufficient. Orbit will acknowledge an escalated complaint within two business days and provide a written outcome or status update after review.</w:t>
      </w:r>
    </w:p>
    <w:p>
      <w:pPr>
        <w:spacing w:after="120" w:line="264" w:lineRule="auto"/>
      </w:pPr>
      <w:r>
        <w:rPr>
          <w:rFonts w:ascii="Aptos" w:hAnsi="Aptos"/>
          <w:b w:val="0"/>
          <w:i w:val="0"/>
          <w:color w:val="1F2937"/>
          <w:sz w:val="21"/>
        </w:rPr>
        <w:t>Nothing in this policy limits rights or remedies that cannot lawfully be waived. Customers may also contact applicable consumer-protection or telecommunications authorities where they have jurisdiction.</w:t>
      </w:r>
    </w:p>
    <w:p>
      <w:pPr>
        <w:pStyle w:val="Heading1"/>
      </w:pPr>
      <w:r>
        <w:t>13. Accessibility and language assistance</w:t>
      </w:r>
    </w:p>
    <w:p>
      <w:pPr>
        <w:spacing w:after="120" w:line="264" w:lineRule="auto"/>
      </w:pPr>
      <w:r>
        <w:rPr>
          <w:rFonts w:ascii="Aptos" w:hAnsi="Aptos"/>
          <w:b w:val="0"/>
          <w:i w:val="0"/>
          <w:color w:val="1F2937"/>
          <w:sz w:val="21"/>
        </w:rPr>
        <w:t>Customers who need a reasonable communication accommodation or language assistance should contact support@orbitsystems.ai. Orbit will make reasonable efforts to provide an accessible support method.</w:t>
      </w:r>
    </w:p>
    <w:p>
      <w:pPr>
        <w:pStyle w:val="Heading1"/>
      </w:pPr>
      <w:r>
        <w:t>14. Privacy and records</w:t>
      </w:r>
    </w:p>
    <w:p>
      <w:pPr>
        <w:spacing w:after="120" w:line="264" w:lineRule="auto"/>
      </w:pPr>
      <w:r>
        <w:rPr>
          <w:rFonts w:ascii="Aptos" w:hAnsi="Aptos"/>
          <w:b w:val="0"/>
          <w:i w:val="0"/>
          <w:color w:val="1F2937"/>
          <w:sz w:val="21"/>
        </w:rPr>
        <w:t>Orbit uses support communications and diagnostic records to authenticate users, provide and improve support, secure the Services, prevent abuse, meet legal obligations, and document account activity. Handling of personal information is also governed by Orbit's Privacy Policy at https://orbitsystems.ai/terms. Call recordings or transcripts are accessed only when authorized and reasonably necessary for support, security, quality, or legal purposes.</w:t>
      </w:r>
    </w:p>
    <w:p>
      <w:pPr>
        <w:pStyle w:val="Heading1"/>
      </w:pPr>
      <w:r>
        <w:t>15. Changes to this policy</w:t>
      </w:r>
    </w:p>
    <w:p>
      <w:pPr>
        <w:spacing w:after="120" w:line="264" w:lineRule="auto"/>
      </w:pPr>
      <w:r>
        <w:rPr>
          <w:rFonts w:ascii="Aptos" w:hAnsi="Aptos"/>
          <w:b w:val="0"/>
          <w:i w:val="0"/>
          <w:color w:val="1F2937"/>
          <w:sz w:val="21"/>
        </w:rPr>
        <w:t>Orbit may update this policy as its Services, support practices, provider requirements, or applicable laws change. The current version will display its effective date. Material changes will apply prospectively unless immediate changes are needed for security, legal, carrier, or fraud-prevention reasons.</w:t>
      </w:r>
    </w:p>
    <w:p>
      <w:pPr>
        <w:pStyle w:val="Heading1"/>
      </w:pPr>
      <w:r>
        <w:t>16. Contact</w:t>
      </w:r>
    </w:p>
    <w:p>
      <w:pPr>
        <w:spacing w:after="120" w:line="264" w:lineRule="auto"/>
      </w:pPr>
      <w:r>
        <w:rPr>
          <w:rFonts w:ascii="Aptos" w:hAnsi="Aptos"/>
          <w:b w:val="0"/>
          <w:i w:val="0"/>
          <w:color w:val="1F2937"/>
          <w:sz w:val="21"/>
        </w:rPr>
        <w:t>Orbit Systems AI, LLC | 7901 4th St N STE 300, St. Petersburg, FL 33702</w:t>
        <w:br/>
        <w:t>Business: admin@orbitsystems.ai | Support: support@orbitsystems.ai</w:t>
        <w:br/>
        <w:t>Billing: finance@orbitsystems.ai | Legal notices: legal@orbitsystems.ai</w:t>
        <w:br/>
        <w:t>Telephone: (213) 279-7175 | Website: https://www.orbitsystems.ai</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7"/>
      </w:rPr>
      <w:t xml:space="preserve">Customer Support Policy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ORBIT SYSTEMS AI, LLC  /  CUSTOMER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32A46"/>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6BC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32A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132A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Policy</dc:title>
  <dc:subject>Orbit Systems AI, LLC — Digital Employees and telephony services</dc:subject>
  <dc:creator>Orbit Systems AI, LLC</dc:creator>
  <cp:keywords>customer support, telephony, phone numbers, AI, Digital Employees, Stripe</cp:keywords>
  <dc:description>generated by python-docx</dc:description>
  <cp:lastModifiedBy/>
  <cp:revision>1</cp:revision>
  <dcterms:created xsi:type="dcterms:W3CDTF">2013-12-23T23:15:00Z</dcterms:created>
  <dcterms:modified xsi:type="dcterms:W3CDTF">2013-12-23T23:15:00Z</dcterms:modified>
  <cp:category/>
</cp:coreProperties>
</file>