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Mutual Non-Disclosure Agreement ("NDA") is made between Alpha Dynamics Inc. and Beta Innovations LLC.</w:t>
      </w:r>
    </w:p>
    <w:p/>
    <w:p>
      <w:pPr>
        <w:pStyle w:val="Heading1"/>
      </w:pPr>
      <w:r>
        <w:t>1. Purpose and Scope</w:t>
      </w:r>
    </w:p>
    <w:p>
      <w:r>
        <w:t>The parties wish to explore a potential business relationship and may disclose confidential proprietary technical and financial information to one another.</w:t>
      </w:r>
    </w:p>
    <w:p/>
    <w:p>
      <w:pPr>
        <w:pStyle w:val="Heading1"/>
      </w:pPr>
      <w:r>
        <w:t>2. Confidential Information Definition</w:t>
      </w:r>
    </w:p>
    <w:p>
      <w:r>
        <w:t>Confidential Information refers to any proprietary information marked as confidential or that reasonably ought to be understood as confidential given the nature of the information.</w:t>
      </w:r>
    </w:p>
    <w:p/>
    <w:p>
      <w:pPr>
        <w:pStyle w:val="Heading1"/>
      </w:pPr>
      <w:r>
        <w:t>3. Protection and Standard of Care</w:t>
      </w:r>
    </w:p>
    <w:p>
      <w:r>
        <w:t>Each party shall protect the disclosing party's confidential materials using the same degree of care it uses for its own confidential information, but in no case less than a reasonable degree of care.</w:t>
      </w:r>
    </w:p>
    <w:p/>
    <w:p>
      <w:pPr>
        <w:pStyle w:val="Heading1"/>
      </w:pPr>
      <w:r>
        <w:t>4. Term of Confidentiality</w:t>
      </w:r>
    </w:p>
    <w:p>
      <w:r>
        <w:t>The confidentiality obligations set forth herein shall survive for a period of two (2) years following the disclosure date, after which obligations shall expire.</w:t>
      </w:r>
    </w:p>
    <w:p/>
    <w:p>
      <w:pPr>
        <w:pStyle w:val="Heading1"/>
      </w:pPr>
      <w:r>
        <w:t>5. Standard Exclusions</w:t>
      </w:r>
    </w:p>
    <w:p>
      <w:r>
        <w:t>Confidential Information shall not include information that: (a) is or becomes publicly known without breach of this Agreement; (b) was already in the receiving party's possession prior to disclosure; or (c) is independently developed without reference to the disclosing party's materials.</w:t>
      </w:r>
    </w:p>
    <w:p/>
    <w:p>
      <w:pPr>
        <w:pStyle w:val="Heading1"/>
      </w:pPr>
      <w:r>
        <w:t>6. Return or Destruction</w:t>
      </w:r>
    </w:p>
    <w:p>
      <w:r>
        <w:t>Upon written request from the disclosing party, the receiving party shall promptly return or destroy all tangible copies of the Confidential Information.</w:t>
      </w:r>
    </w:p>
    <w:p/>
    <w:p>
      <w:pPr>
        <w:pStyle w:val="Heading1"/>
      </w:pPr>
      <w:r>
        <w:t>7. Termination</w:t>
      </w:r>
    </w:p>
    <w:p>
      <w:r>
        <w:t>Either party may terminate discussions and this Agreement upon thirty (30) days prior written notice to the other party.</w:t>
      </w:r>
    </w:p>
    <w:p/>
    <w:p>
      <w:pPr>
        <w:pStyle w:val="Heading1"/>
      </w:pPr>
      <w:r>
        <w:t>8. Governing Law</w:t>
      </w:r>
    </w:p>
    <w:p>
      <w:r>
        <w:t>This Agreement shall be governed by the laws of the State of California, without regard to conflict of laws principles.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