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MASTER SERVICES AGREEMENT</w:t>
      </w:r>
    </w:p>
    <w:p>
      <w:r>
        <w:t>This Master Services Agreement ("Agreement") is entered into as of January 15, 2026 by and between Enterprise Cloud Inc. ("Client") and TechCore Solutions LLC ("Provider").</w:t>
      </w:r>
    </w:p>
    <w:p/>
    <w:p>
      <w:pPr>
        <w:pStyle w:val="Heading1"/>
      </w:pPr>
      <w:r>
        <w:t>1. Scope of Services</w:t>
      </w:r>
    </w:p>
    <w:p>
      <w:r>
        <w:t>Provider shall provide the professional cloud infrastructure management and consulting services described in one or more mutually executed Statements of Work (SOW).</w:t>
      </w:r>
    </w:p>
    <w:p/>
    <w:p>
      <w:pPr>
        <w:pStyle w:val="Heading1"/>
      </w:pPr>
      <w:r>
        <w:t>2. Fees and Payment Terms</w:t>
      </w:r>
    </w:p>
    <w:p>
      <w:r>
        <w:t>Client shall pay all undisputed invoices within thirty (30) days of receipt. Invoices shall be submitted monthly in arrears for services actually rendered. Late payments shall accrue interest at 1.0% per month.</w:t>
      </w:r>
    </w:p>
    <w:p/>
    <w:p>
      <w:pPr>
        <w:pStyle w:val="Heading1"/>
      </w:pPr>
      <w:r>
        <w:t>3. Term and Renewal</w:t>
      </w:r>
    </w:p>
    <w:p>
      <w:r>
        <w:t>This Agreement shall commence on the Effective Date and remain in effect for an initial period of one (1) year. Thereafter, the Agreement may be renewed upon mutual written agreement of both parties.</w:t>
      </w:r>
    </w:p>
    <w:p/>
    <w:p>
      <w:pPr>
        <w:pStyle w:val="Heading1"/>
      </w:pPr>
      <w:r>
        <w:t>4. Termination</w:t>
      </w:r>
    </w:p>
    <w:p>
      <w:r>
        <w:t>Either party may terminate this Agreement without cause upon sixty (60) days prior written notice to the other party. Either party may terminate immediately if the other party commits a material breach and fails to cure such breach within thirty (30) days of written notice.</w:t>
      </w:r>
    </w:p>
    <w:p/>
    <w:p>
      <w:pPr>
        <w:pStyle w:val="Heading1"/>
      </w:pPr>
      <w:r>
        <w:t>5. Confidentiality Obligations</w:t>
      </w:r>
    </w:p>
    <w:p>
      <w:r>
        <w:t>Each party agrees to hold the other party's Confidential Information in strict confidence and not disclose it to any third party for a period of three (3) years following disclosure. Confidential Information shall not include information that is publicly known or independently developed.</w:t>
      </w:r>
    </w:p>
    <w:p/>
    <w:p>
      <w:pPr>
        <w:pStyle w:val="Heading1"/>
      </w:pPr>
      <w:r>
        <w:t>6. Limitation of Liability</w:t>
      </w:r>
    </w:p>
    <w:p>
      <w:r>
        <w:t>In no event shall either party's aggregate liability under this Agreement exceed the total fees paid or payable by Client in the twelve (12) months preceding the claim. Neither party shall be liable for indirect, incidental, or consequential damages.</w:t>
      </w:r>
    </w:p>
    <w:p/>
    <w:p>
      <w:pPr>
        <w:pStyle w:val="Heading1"/>
      </w:pPr>
      <w:r>
        <w:t>7. Mutual Indemnification</w:t>
      </w:r>
    </w:p>
    <w:p>
      <w:r>
        <w:t>Each party shall defend, indemnify, and hold harmless the other party, its officers, and employees against any third-party claims, damages, or reasonable expenses arising out of a material breach of this Agreement or gross negligence.</w:t>
      </w:r>
    </w:p>
    <w:p/>
    <w:p>
      <w:pPr>
        <w:pStyle w:val="Heading1"/>
      </w:pPr>
      <w:r>
        <w:t>8. Governing Law and Dispute Resolution</w:t>
      </w:r>
    </w:p>
    <w:p>
      <w:r>
        <w:t>This Agreement shall be governed by and construed in accordance with the laws of the State of Delaware. Any dispute arising out of this Agreement shall be settled by binding arbitration in Wilmington, Delaware.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