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Dossiê OrbythAI: O Guia Mestre para Construção, Venda e Gestão da Plataforma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Versão: 4.1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28 de agosto de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Servir como o guia mestre e única fonte da verdade para o desenvolvimento, precificação, marketing, vendas e gestão da plataforma OrbythAI.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likgcsus0o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Parte 1: Estratégia de Negócio e Posicionamento de Mercado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Visão Geral e Mantra</w:t>
        <w:br w:type="textWrapping"/>
        <w:t xml:space="preserve"> A OrbythAI se posiciona como um ecossistema de IA para automação e inteligência de negócios. Nosso mantra é: 'Plataforma modular com precificação baseada em consumo e em personalização.'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Arquitetura de Marca e Produto</w:t>
        <w:br w:type="textWrapping"/>
        <w:t xml:space="preserve"> A Empresa: OrbythAI</w:t>
        <w:br w:type="textWrapping"/>
        <w:t xml:space="preserve"> O Método (Marca de Consultoria): 'O Método Órbyta'.</w:t>
        <w:br w:type="textWrapping"/>
        <w:t xml:space="preserve"> Os 4 Pilares (Módulos/Categorias): Órby Flow (Comercial), Órby Astro (Marketing), Órby Sinapse (Operacional) e Órby Prisma (Inteligência).</w:t>
        <w:br w:type="textWrapping"/>
        <w:t xml:space="preserve"> Os Produtos: Os Agentes de IA.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Modelo de Negócio Híbrido</w:t>
        <w:br w:type="textWrapping"/>
        <w:t xml:space="preserve"> Self-Service: Venda a la carte de agentes padronizados.</w:t>
        <w:br w:type="textWrapping"/>
        <w:t xml:space="preserve"> Enterprise: Venda de soluções customizadas através do 'O Método Órbyta'.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t8fkoth9e6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Parte 2: Estrutura de Precificação e Monetização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Unidade de Consumo: 'orbkens' – Unidade de valor interna com sistema de pesos, cobrindo os custos variáveis de LLM e infraestrutura compartilhada.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Tabela de Custo de Serviço: interna. A definir.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2.3. Estrutura de Custo para o Cliente Self-Service</w:t>
        <w:br w:type="textWrapping"/>
        <w:t xml:space="preserve"> - Assinatura Mensal do(s) Agente(s).</w:t>
        <w:br w:type="textWrapping"/>
        <w:t xml:space="preserve"> - Pacote de Consumo de 'orbkens'.</w:t>
        <w:br w:type="textWrapping"/>
        <w:t xml:space="preserve"> - Serviços Opcionais (Taxa Única).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2.4. Estrutura de Valor para o Cliente Enterprise (contrato anual)</w:t>
        <w:br w:type="textWrapping"/>
        <w:t xml:space="preserve"> - Fase de Implementação (Investimento Inicial).</w:t>
        <w:br w:type="textWrapping"/>
        <w:t xml:space="preserve"> - Contrato de Licença e Serviços (Recorrente Anual).</w:t>
        <w:br w:type="textWrapping"/>
        <w:t xml:space="preserve"> - Consumo e Infraestrutura (Recorrente Anual).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2.5. Regras provisórias de precificação técnica:</w:t>
        <w:br w:type="textWrapping"/>
        <w:t xml:space="preserve"> - Cada consulta de IA = 100 orbkens fixos + 1 orbken por cada 100 tokens processados.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osj16w5zur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Parte 3: Arquitetura de Tecnologia e Plataforma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Infraestrutura Geral</w:t>
        <w:br w:type="textWrapping"/>
        <w:t xml:space="preserve"> Modelo de Aplicação (PWA-First): PWA hospedado na Hostinger (frontend).</w:t>
        <w:br w:type="textWrapping"/>
        <w:t xml:space="preserve"> Backend de Automação (Motor): N8N em VPS dedicado na Contabo.</w:t>
        <w:br w:type="textWrapping"/>
        <w:t xml:space="preserve"> Banco de Dados (Cérebro): Supabase multi-tenant com RLS.</w:t>
        <w:br w:type="textWrapping"/>
        <w:t xml:space="preserve"> Segurança: OAuth2 + JWT, Supabase Vault, LGPD.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Painéis e Interfaces</w:t>
        <w:br w:type="textWrapping"/>
        <w:t xml:space="preserve"> - Interface do Cliente (SaaS Principal).</w:t>
        <w:br w:type="textWrapping"/>
        <w:t xml:space="preserve"> - Painel de Administração OrbythAI (God Mode).</w:t>
        <w:br w:type="textWrapping"/>
        <w:t xml:space="preserve"> - OrbythAI Command Center (Painel do Especialista).</w:t>
        <w:br w:type="textWrapping"/>
        <w:t xml:space="preserve"> - Academia Órby (Portal EAD, fase pós-MVP).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3.3. Estratégia de Ambientes, Segurança e Conformidade</w:t>
        <w:br w:type="textWrapping"/>
        <w:t xml:space="preserve"> Ambientes distintos Dev e Prod, RLS ativo, Supabase Vault para credenciais.</w:t>
        <w:br w:type="textWrapping"/>
        <w:t xml:space="preserve">3.4. Versionamento de Workflows: Sistema interno de versionamento no N8N para clientes Enterprise.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p1se3cchfyyq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Parte 4: Experiência do Cliente, Governança e Sucesso</w:t>
      </w:r>
    </w:p>
    <w:p w:rsidR="00000000" w:rsidDel="00000000" w:rsidP="00000000" w:rsidRDefault="00000000" w:rsidRPr="00000000" w14:paraId="00000014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4.1. Jornada do Cliente Enterprise (Ex: Grupo Aleixo)</w:t>
        <w:br w:type="textWrapping"/>
        <w:t xml:space="preserve">-Marco 1: Kick-off e Imersão Estratégica.</w:t>
        <w:br w:type="textWrapping"/>
        <w:t xml:space="preserve">-Marco 2: Onboarding e Configuração de Agentes Assistido: o cliente será guiado pela equipe OrbythAI utilizando o Setup Wizard, o Painel de Configuração de Agentes, o Ciclo de Feedback (👍/👎) e o Playground. Essas ferramentas já estarão disponíveis no MVP, mas a configuração inicial será feita em conjunto com nossa equipe para garantir calibragem e sucesso imediato.</w:t>
        <w:br w:type="textWrapping"/>
        <w:t xml:space="preserve">-Marco 3: Entrega do 1º Agente de Impacto (Garimpeiro + Prisma Essencial).</w:t>
        <w:br w:type="textWrapping"/>
        <w:t xml:space="preserve">-Marco 4: Relatório de ROI (Dia 90).</w:t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4.2. Jornada do Cliente Self-Service (Fase 2, pós-MVP)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fluxo de Onboarding e Configuração de Agentes será 100% automatizado.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Setup Wizard conversacional guiará o cliente na ativação dos agentes sem intervenção humana.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Painel de Configuração, Ciclo de Feedback (👍/👎) e Playground permanecerão como ferramentas contínuas de calibragem e evolução.</w:t>
        <w:br w:type="textWrapping"/>
        <w:t xml:space="preserve"> 4.3. Ponto de Contato Unificado: Agente de Suporte e Diagnóstico (concierge IA).</w:t>
        <w:br w:type="textWrapping"/>
        <w:t xml:space="preserve"> 4.4. Página de Assinatura e Faturamento: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Versão Enterprise (MVP): página simplificada para gestão de consumo e relatórios de cobrança.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Versão Self-Service (Fase 2): página completa com checkout automatizado, upgrades e gestão de assinatura.</w:t>
        <w:br w:type="textWrapping"/>
        <w:t xml:space="preserve"> 4.5. Canais de Comunicação: WhatsApp, e-mail, sininho e pop-ups (fase 2).</w:t>
        <w:br w:type="textWrapping"/>
        <w:t xml:space="preserve"> 4.6. Governança: Logs, RBAC, Central de Solicitação.</w:t>
        <w:br w:type="textWrapping"/>
        <w:t xml:space="preserve"> 4.7. Qualidade e SLA: UAT com Grupo Aleixo, SLA inicial de 4h úteis para primeira resposta.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u6j8267sati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Parte 5: Estratégia de Go-to-Market (GTM) e Vendas Iniciais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Abordagem Estratégica: Top-Down.</w:t>
        <w:br w:type="textWrapping"/>
        <w:t xml:space="preserve">5.2. Fases de Lançamento:</w:t>
        <w:br w:type="textWrapping"/>
        <w:t xml:space="preserve"> - Fase 1 (Enterprise): Grupo Aleixo.</w:t>
        <w:br w:type="textWrapping"/>
        <w:t xml:space="preserve"> - Fase 2 (Expansão no Nicho).</w:t>
        <w:br w:type="textWrapping"/>
        <w:t xml:space="preserve"> - Fase 3 (Self-Service).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xfrmbm8vosp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Parte 6: Roadmap de Produto MVP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Sprint 0: Fundação.</w:t>
        <w:br w:type="textWrapping"/>
        <w:t xml:space="preserve"> Sprint 1: Login + RBAC + Command Center básico.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  <w:t xml:space="preserve"> Garimpeiro + Prisma Essencial (visual + conversacional limitado) + </w:t>
      </w:r>
      <w:r w:rsidDel="00000000" w:rsidR="00000000" w:rsidRPr="00000000">
        <w:rPr>
          <w:b w:val="1"/>
          <w:rtl w:val="0"/>
        </w:rPr>
        <w:t xml:space="preserve">Onboarding e   Configuração de Agentes (Setup Wizard, Painel de Configuração, Ciclo de Feedback e Playground em versão assistida para Enterprise)</w:t>
      </w:r>
      <w:r w:rsidDel="00000000" w:rsidR="00000000" w:rsidRPr="00000000">
        <w:rPr>
          <w:rtl w:val="0"/>
        </w:rPr>
        <w:t xml:space="preserve">.</w:t>
        <w:br w:type="textWrapping"/>
        <w:t xml:space="preserve"> Sprint 3: Elo.</w:t>
        <w:br w:type="textWrapping"/>
        <w:t xml:space="preserve"> Sprint 4: Guardião (com Gestor de Contatos Órby).</w:t>
        <w:br w:type="textWrapping"/>
        <w:t xml:space="preserve"> Sprint 5: Orçamentista.</w:t>
        <w:br w:type="textWrapping"/>
        <w:t xml:space="preserve"> Sprint 6: Prisma Estrategista.</w:t>
        <w:br w:type="textWrapping"/>
        <w:t xml:space="preserve"> Sprint 7: Assinatura + Biblioteca de Agentes (Enterprise).</w:t>
        <w:br w:type="textWrapping"/>
        <w:t xml:space="preserve"> Sprint 8: CRM no Command Center.</w:t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Parte 7: Fase 2 (Pós-MVP)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Biblioteca de Agentes Self-Service.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Pop-ups, sininhos, canais contextuais.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WhatsApp.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Academia Órby.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Customização avançada do PWA.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Logs avançados.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Trial gratuito.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Painel interno de métricas.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Segmentação comportamental.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Sugestões proativas.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Sandbox.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Marketplace público de agentes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