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AAAAAA"/>
          <w:sz w:val="24"/>
          <w:szCs w:val="24"/>
        </w:rPr>
        <w:t xml:space="preserve">VELOCITY ARCHITECTURE FRAMEWORK™</w:t>
      </w:r>
    </w:p>
    <w:p>
      <w:pPr>
        <w:spacing w:after="200" w:before="0"/>
        <w:jc w:val="center"/>
      </w:pPr>
      <w:r>
        <w:rPr>
          <w:rFonts w:ascii="Arial" w:cs="Arial" w:eastAsia="Arial" w:hAnsi="Arial"/>
          <w:b/>
          <w:bCs/>
          <w:color w:val="1B2A4A"/>
          <w:sz w:val="60"/>
          <w:szCs w:val="60"/>
        </w:rPr>
        <w:t xml:space="preserve">Practitioner Operating Manual</w:t>
      </w:r>
    </w:p>
    <w:p>
      <w:pPr>
        <w:spacing w:after="80" w:before="0"/>
        <w:jc w:val="center"/>
      </w:pPr>
      <w:r>
        <w:rPr>
          <w:rFonts w:ascii="Arial" w:cs="Arial" w:eastAsia="Arial" w:hAnsi="Arial"/>
          <w:color w:val="555555"/>
          <w:sz w:val="28"/>
          <w:szCs w:val="28"/>
        </w:rPr>
        <w:t xml:space="preserve">18 Artefacts · Three Layers Each</w:t>
      </w:r>
    </w:p>
    <w:p>
      <w:pPr>
        <w:spacing w:after="60" w:before="0"/>
        <w:jc w:val="center"/>
      </w:pPr>
      <w:r>
        <w:rPr>
          <w:rFonts w:ascii="Arial" w:cs="Arial" w:eastAsia="Arial" w:hAnsi="Arial"/>
          <w:i/>
          <w:iCs/>
          <w:color w:val="777777"/>
          <w:sz w:val="24"/>
          <w:szCs w:val="24"/>
        </w:rPr>
        <w:t xml:space="preserve">Extraction Guide · VAF Template · Executive Framing</w:t>
      </w:r>
    </w:p>
    <w:p>
      <w:pPr>
        <w:pBdr>
          <w:top w:val="single" w:color="CCCCCC" w:sz="2"/>
        </w:pBdr>
        <w:spacing w:after="0" w:before="280"/>
        <w:jc w:val="center"/>
      </w:pPr>
      <w:r>
        <w:rPr>
          <w:rFonts w:ascii="Arial" w:cs="Arial" w:eastAsia="Arial" w:hAnsi="Arial"/>
        </w:rPr>
        <w:t xml:space="preserve"/>
      </w:r>
    </w:p>
    <w:p>
      <w:pPr>
        <w:spacing w:after="80" w:before="160"/>
        <w:jc w:val="center"/>
      </w:pPr>
      <w:r>
        <w:rPr>
          <w:rFonts w:ascii="Arial" w:cs="Arial" w:eastAsia="Arial" w:hAnsi="Arial"/>
          <w:b/>
          <w:bCs/>
          <w:i/>
          <w:iCs/>
          <w:color w:val="1B2A4A"/>
          <w:sz w:val="26"/>
          <w:szCs w:val="26"/>
        </w:rPr>
        <w:t xml:space="preserve">Architecture at the speed of the decision.</w:t>
      </w:r>
    </w:p>
    <w:p>
      <w:pPr>
        <w:spacing w:after="1200" w:before="0"/>
        <w:jc w:val="center"/>
      </w:pPr>
      <w:r>
        <w:rPr>
          <w:rFonts w:ascii="Arial" w:cs="Arial" w:eastAsia="Arial" w:hAnsi="Arial"/>
          <w:color w:val="999999"/>
          <w:sz w:val="20"/>
          <w:szCs w:val="20"/>
        </w:rPr>
        <w:t xml:space="preserve">ZenCloud Global Consultants · May 2026</w:t>
      </w:r>
    </w:p>
    <w:p>
      <w:pPr>
        <w:pageBreakBefore/>
      </w:pPr>
      <w:r>
        <w:t xml:space="preserve"/>
      </w:r>
    </w:p>
    <w:p>
      <w:pPr>
        <w:spacing w:after="160" w:before="320"/>
      </w:pPr>
      <w:r>
        <w:rPr>
          <w:rFonts w:ascii="Arial" w:cs="Arial" w:eastAsia="Arial" w:hAnsi="Arial"/>
          <w:b/>
          <w:bCs/>
          <w:color w:val="1B2A4A"/>
          <w:sz w:val="40"/>
          <w:szCs w:val="40"/>
        </w:rPr>
        <w:t xml:space="preserve">How to use this manual</w:t>
      </w:r>
    </w:p>
    <w:p>
      <w:pPr>
        <w:spacing w:after="100" w:before="100"/>
        <w:jc w:val="left"/>
      </w:pPr>
      <w:r>
        <w:rPr>
          <w:rFonts w:ascii="Arial" w:cs="Arial" w:eastAsia="Arial" w:hAnsi="Arial"/>
          <w:b w:val="false"/>
          <w:bCs w:val="false"/>
          <w:i w:val="false"/>
          <w:iCs w:val="false"/>
          <w:color w:val="222222"/>
          <w:sz w:val="22"/>
          <w:szCs w:val="22"/>
        </w:rPr>
        <w:t xml:space="preserve">This manual contains three layers for each of the 18 core EA artefacts. The layers are sequential — each one depends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5C3A1A"/>
                <w:sz w:val="20"/>
                <w:szCs w:val="20"/>
              </w:rPr>
              <w:t xml:space="preserve">Layer 1</w:t>
            </w:r>
          </w:p>
        </w:tc>
        <w:tc>
          <w:tcPr>
            <w:tcW w:type="dxa" w:w="24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5C3A1A"/>
                <w:sz w:val="20"/>
                <w:szCs w:val="20"/>
              </w:rPr>
              <w:t xml:space="preserve">Extraction Guide</w:t>
            </w:r>
          </w:p>
        </w:tc>
        <w:tc>
          <w:tcPr>
            <w:tcW w:type="dxa" w:w="51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333333"/>
                <w:sz w:val="20"/>
                <w:szCs w:val="20"/>
              </w:rPr>
              <w:t xml:space="preserve">How to run the conversation that surfaces the content. The questions, the facilitation method, the red flags. The artefact cannot be completed without this conversation.</w:t>
            </w:r>
          </w:p>
        </w:tc>
      </w:tr>
      <w:tr>
        <w:tc>
          <w:tcPr>
            <w:tcW w:type="dxa" w:w="18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b/>
                <w:bCs/>
                <w:color w:val="0F4C75"/>
                <w:sz w:val="20"/>
                <w:szCs w:val="20"/>
              </w:rPr>
              <w:t xml:space="preserve">Layer 2</w:t>
            </w:r>
          </w:p>
        </w:tc>
        <w:tc>
          <w:tcPr>
            <w:tcW w:type="dxa" w:w="24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b/>
                <w:bCs/>
                <w:color w:val="0F4C75"/>
                <w:sz w:val="20"/>
                <w:szCs w:val="20"/>
              </w:rPr>
              <w:t xml:space="preserve">VAF Template</w:t>
            </w:r>
          </w:p>
        </w:tc>
        <w:tc>
          <w:tcPr>
            <w:tcW w:type="dxa" w:w="51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color w:val="333333"/>
                <w:sz w:val="20"/>
                <w:szCs w:val="20"/>
              </w:rPr>
              <w:t xml:space="preserve">The minimum fields required to serve the decision, control, signal, or ground truth function. Nothing more.</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5C3A"/>
                <w:sz w:val="20"/>
                <w:szCs w:val="20"/>
              </w:rPr>
              <w:t xml:space="preserve">Layer 3</w:t>
            </w:r>
          </w:p>
        </w:tc>
        <w:tc>
          <w:tcPr>
            <w:tcW w:type="dxa" w:w="24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5C3A"/>
                <w:sz w:val="20"/>
                <w:szCs w:val="20"/>
              </w:rPr>
              <w:t xml:space="preserve">Executive Framing</w:t>
            </w:r>
          </w:p>
        </w:tc>
        <w:tc>
          <w:tcPr>
            <w:tcW w:type="dxa" w:w="5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20"/>
                <w:szCs w:val="20"/>
              </w:rPr>
              <w:t xml:space="preserve">How to present the output to the executive who needs to make a decision. Format, structure, what never to do, and a template sentence.</w:t>
            </w:r>
          </w:p>
        </w:tc>
      </w:tr>
    </w:tbl>
    <w:p>
      <w:pPr>
        <w:spacing w:after="0" w:before="80"/>
        <w:jc w:val="left"/>
      </w:pPr>
      <w:r>
        <w:rPr>
          <w:rFonts w:ascii="Arial" w:cs="Arial" w:eastAsia="Arial" w:hAnsi="Arial"/>
          <w:b w:val="false"/>
          <w:bCs w:val="false"/>
          <w:i w:val="false"/>
          <w:iCs w:val="false"/>
          <w:color w:val="222222"/>
          <w:sz w:val="22"/>
          <w:szCs w:val="22"/>
        </w:rPr>
        <w:t xml:space="preserve"/>
      </w:r>
    </w:p>
    <w:p>
      <w:pPr>
        <w:spacing w:after="100" w:before="240"/>
      </w:pPr>
      <w:r>
        <w:rPr>
          <w:rFonts w:ascii="Arial" w:cs="Arial" w:eastAsia="Arial" w:hAnsi="Arial"/>
          <w:b/>
          <w:bCs/>
          <w:color w:val="0F4C75"/>
          <w:sz w:val="28"/>
          <w:szCs w:val="28"/>
        </w:rPr>
        <w:t xml:space="preserve">The governing principle</w:t>
      </w:r>
    </w:p>
    <w:p>
      <w:pPr>
        <w:spacing w:after="120" w:before="80"/>
        <w:jc w:val="left"/>
      </w:pPr>
      <w:r>
        <w:rPr>
          <w:rFonts w:ascii="Arial" w:cs="Arial" w:eastAsia="Arial" w:hAnsi="Arial"/>
          <w:b w:val="false"/>
          <w:bCs w:val="false"/>
          <w:i w:val="false"/>
          <w:iCs w:val="false"/>
          <w:color w:val="222222"/>
          <w:sz w:val="22"/>
          <w:szCs w:val="22"/>
        </w:rPr>
        <w:t xml:space="preserve">The artefact is the record of the decision made in the conversation. It is not the input to the conversation. The extraction guide is where you run the conversation. The template is where you record the outcome. The executive framing is how you present the recommendation that the outcome supports.</w:t>
      </w:r>
    </w:p>
    <w:p>
      <w:pPr>
        <w:spacing w:after="100" w:before="240"/>
      </w:pPr>
      <w:r>
        <w:rPr>
          <w:rFonts w:ascii="Arial" w:cs="Arial" w:eastAsia="Arial" w:hAnsi="Arial"/>
          <w:b/>
          <w:bCs/>
          <w:color w:val="0F4C75"/>
          <w:sz w:val="28"/>
          <w:szCs w:val="28"/>
        </w:rPr>
        <w:t xml:space="preserve">What this manual is not</w:t>
      </w:r>
    </w:p>
    <w:p>
      <w:pPr>
        <w:spacing w:after="120" w:before="80"/>
        <w:jc w:val="left"/>
      </w:pPr>
      <w:r>
        <w:rPr>
          <w:rFonts w:ascii="Arial" w:cs="Arial" w:eastAsia="Arial" w:hAnsi="Arial"/>
          <w:b w:val="false"/>
          <w:bCs w:val="false"/>
          <w:i w:val="false"/>
          <w:iCs w:val="false"/>
          <w:color w:val="222222"/>
          <w:sz w:val="22"/>
          <w:szCs w:val="22"/>
        </w:rPr>
        <w:t xml:space="preserve">This is not a TOGAF compliance guide. It is not a framework reference. It is a practitioner operating manual for producing EA artefacts at the speed the decision requires — without the overhead of sections that demonstrate process was followed rather than decisions were served.</w:t>
      </w:r>
    </w:p>
    <w:p>
      <w:pPr>
        <w:spacing w:after="100" w:before="240"/>
      </w:pPr>
      <w:r>
        <w:rPr>
          <w:rFonts w:ascii="Arial" w:cs="Arial" w:eastAsia="Arial" w:hAnsi="Arial"/>
          <w:b/>
          <w:bCs/>
          <w:color w:val="0F4C75"/>
          <w:sz w:val="28"/>
          <w:szCs w:val="28"/>
        </w:rPr>
        <w:t xml:space="preserve">Evidence base</w:t>
      </w:r>
    </w:p>
    <w:p>
      <w:pPr>
        <w:spacing w:after="40" w:before="80"/>
        <w:jc w:val="left"/>
      </w:pPr>
      <w:r>
        <w:rPr>
          <w:rFonts w:ascii="Arial" w:cs="Arial" w:eastAsia="Arial" w:hAnsi="Arial"/>
          <w:b w:val="false"/>
          <w:bCs w:val="false"/>
          <w:i w:val="false"/>
          <w:iCs w:val="false"/>
          <w:color w:val="222222"/>
          <w:sz w:val="22"/>
          <w:szCs w:val="22"/>
        </w:rPr>
        <w:t xml:space="preserve">Kotusev et al. (RMIT University, 47 organisations, 2019–2022): most significant problems in EA practice arise because the usage of individual EA artifacts is poorly understood. All artifacts classify as facts artefacts or decisions artefacts. The real purpose of EA artifacts is always manifested in their usage.</w:t>
      </w:r>
    </w:p>
    <w:p>
      <w:pPr>
        <w:spacing w:after="40" w:before="0"/>
        <w:jc w:val="left"/>
      </w:pPr>
      <w:r>
        <w:rPr>
          <w:rFonts w:ascii="Arial" w:cs="Arial" w:eastAsia="Arial" w:hAnsi="Arial"/>
          <w:b w:val="false"/>
          <w:bCs w:val="false"/>
          <w:i w:val="false"/>
          <w:iCs w:val="false"/>
          <w:color w:val="222222"/>
          <w:sz w:val="22"/>
          <w:szCs w:val="22"/>
        </w:rPr>
        <w:t xml:space="preserve">Gartner ITScore: organisations advancing one maturity level see 15–20% project success improvement and 10–15% IT cost reduction. Practice-level outcomes. Artefact quality is a dimension of maturity.</w:t>
      </w:r>
    </w:p>
    <w:p>
      <w:pPr>
        <w:spacing w:after="120" w:before="0"/>
        <w:jc w:val="left"/>
      </w:pPr>
      <w:r>
        <w:rPr>
          <w:rFonts w:ascii="Arial" w:cs="Arial" w:eastAsia="Arial" w:hAnsi="Arial"/>
          <w:b w:val="false"/>
          <w:bCs w:val="false"/>
          <w:i w:val="false"/>
          <w:iCs w:val="false"/>
          <w:color w:val="222222"/>
          <w:sz w:val="22"/>
          <w:szCs w:val="22"/>
        </w:rPr>
        <w:t xml:space="preserve">CB Insights (2024, 431 companies): 43% of failures trace to poor product-market fit — the same problem EA artefacts are designed to prevent at the organisational level. 70% capital depletion is the symptom, not the cause.</w:t>
      </w:r>
    </w:p>
    <w:p>
      <w:pPr>
        <w:pageBreakBefore/>
      </w:pPr>
      <w:r>
        <w:t xml:space="preserve"/>
      </w:r>
    </w:p>
    <w:p>
      <w:pPr>
        <w:spacing w:after="160" w:before="320"/>
      </w:pPr>
      <w:r>
        <w:rPr>
          <w:rFonts w:ascii="Arial" w:cs="Arial" w:eastAsia="Arial" w:hAnsi="Arial"/>
          <w:b/>
          <w:bCs/>
          <w:color w:val="1B2A4A"/>
          <w:sz w:val="40"/>
          <w:szCs w:val="40"/>
        </w:rPr>
        <w:t xml:space="preserve">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session + 2 hrs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You are entering a conversation with an executive who has not asked for an Architecture Vision. They have asked for a direction. Your job is to extract the commitment they are already ready to make and record it before it evaporates into the next meeting.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one thing that must be true in two years for this to have been the right period of investment?"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Forces a single direction without using the word 'strategy'. Executives answer this. They do not answer 'what is your strategic vision?'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we do nothing differently from today, what breaks first?"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burning platform without requiring the executive to admit there is one. The answer tells you what the vision must address.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would have to change for you to say this was the wrong direction?"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invalidation trigger in language the executive already uses. This becomes the most important field in the artefact.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else needs to agree with this before it becomes real?"</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hidden veto holders. If someone not in this room can block the commitment, the vision does not exist yet.</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conversation before the session is formally scheduled. The best Architecture Vision conversations happen in corridors, before boards, and at the end of other meetings. The formal session is where you confirm and record — not where you discover.</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executive answers with an existing strategy document. That is not a commitment — that is a reference. Ask what they personally believe, not what the document says.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executives give different answers to the first question. Do not reconcile them in the room. Record the divergence as a finding — that is the most important output of this session.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executive cannot name what would change their mind. This means the direction is not yet committed — it is preferred. Return when it is a commitment.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Direction committed to</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State the single strategic direction agreed in this session. One sentence. If it takes more than one sentence it is not yet a direction — it is a discussion.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 and role. The person who made this commitment — not the person who attended this session.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 of commitment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Date the commitment was made. Not document creation date.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Assumptions live at the time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3–5 assumptions this direction depends on. Specific. If any change, the direction must be revisited.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First invalidation trigger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single most likely event that would make this direction wrong. Named explicitly by the decision owner.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was not decided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Items raised and explicitly deferred or rejected. Named. This prevents scope creep into this vision from decisions that were deliberately excluded.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Hidden veto holders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People not in this session who can block this direction. Named. Each requires a separate conversation before this vision is treated as live.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Next decision required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decision that must be made before this direction can move to funded delivery.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3 minutes. One page maximum if written is required.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situation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burning platform in one sentence. Do not soften it. Executives already know it — naming it establishes that you do too.</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direction</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State what was agreed. Past tense. 'In our session on [date], you committed to [direction].' Confirmation, not proposal.</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this requires from you</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single specific ask. Funding approval, stakeholder introduction, or a decision on the next open question. One ask.</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changes if we do not move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cost of inaction in terms the executive uses — not IT terms. Time, revenue, risk, competitive position.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assumptions list to an executive. It reads as hedging. Reference it only if a specific assumption is challenged.</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words 'architecture vision' in the executive conversation. Say 'what we agreed' or 'the direction we confirmed.'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ask for endorsement of a document. Ask for a decision or an action.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On [date] you committed to [direction]. That requires [specific next action] by [date]. The cost of delay is [consequence in business terms]. I need [single specific ask] from you before [date].</w:t>
            </w:r>
          </w:p>
        </w:tc>
      </w:tr>
    </w:tbl>
    <w:p>
      <w:pPr>
        <w:pageBreakBefore/>
      </w:pPr>
      <w:r>
        <w:t xml:space="preserve"/>
      </w:r>
    </w:p>
    <w:p>
      <w:pPr>
        <w:spacing w:after="160" w:before="320"/>
      </w:pPr>
      <w:r>
        <w:rPr>
          <w:rFonts w:ascii="Arial" w:cs="Arial" w:eastAsia="Arial" w:hAnsi="Arial"/>
          <w:b/>
          <w:bCs/>
          <w:color w:val="1B2A4A"/>
          <w:sz w:val="40"/>
          <w:szCs w:val="40"/>
        </w:rPr>
        <w:t xml:space="preserve">Business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6–12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You are not building a capability taxonomy. You are surfacing an investment misalignment that already exists. The BCM is the instrument that makes it visible. Run the extraction before anyone commissions the artefact.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"Which three things does this organisation need to be genuinely excellent at to deliver its strategy?"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Gets strategic priority without using consulting language. The answer tells you where H-priority sits.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"Where is the most money being spent in IT right now that you are least confident is the right investment?"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suspected misalignment from the executive's own suspicion. Confirms where L-investment-high-priority gaps are.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"Where do we have capability on paper that does not actually work in practice?"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phantom capabilities — things the org believes it can do but cannot. These are the most dangerous gaps.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owns [capability X]? If I need a decision about it, who do I call?"</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Extracts the accountability gap. If the executive cannot name one person, the gap is confirmed.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Use existing budget data and org structure as the input. Do not start from scratch. The strategic priority question (H/M/L) must be answered by a business owner — not assigned by the EA. Schedule 30-minute conversations with 3–5 executives. Draw the heat map in real time during the last conversation so the pattern is visible before you leave the building.</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executives claim ownership of the same capability. Record both names and the nature of the dispute — this is a governance finding, not a mapping error.</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rates everything H priority. Ask 'if you could only fund two of these next year, which two?' The forced choice reveals the real priorities.</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budget data does not match the priority ratings. That gap is the signal. Do not reconcile them — present them side by side.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Capability (L1)</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only. No definition. One row per capability.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Strategic priority (H/M/L)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Assigned by named business owner. Not the EA. Record who assigned each rating.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Current investment level (H/M/L/None)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Sourced from budget data or finance confirmation. Estimate noted as estimate.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Gap signal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Where Priority = H and Investment = L or None. Named explicitly. No further analysis at this stage.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Accountability gap</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Capabilities with no named owner, or disputed ownership. List them with the nature of the dispute.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Phantom capabilities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Capabilities rated as existing that do not function in practice. Source: executive interview.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Data sources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Org structure version, budget data source, interview subjects by name and role, date of each conversation.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Accuracy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Heat map is accurate as of this date. Trigger for revision: any strategic priority change or major budget reallocation.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Heat map visual — one slide.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pattern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the heat map. Let the visual land before speaking. Then: 'The red cells are where we have high strategic need and low or no investment.'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specific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critical misalignment. One capability. The cost of that gap in business terms.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accountability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If there are ownership gaps: 'We have [X] capabilities with no named owner. That means there is no-one to call when they fail.' Name one example.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funding decision on the priority gap, or: accountability assignment for the unowned capabilities. One ask.</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capability list. Show the heat map only — the pattern is the message.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explain the methodology. If asked, say 'we mapped investment against your strategic priorities.' That is sufficient.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to-be capability map in the same session. The as-is gap is the agenda item. The to-be is a subsequent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investment against your strategic priorities. [X] capabilities are critically underfunded. The most significant is [capability] — we are spending [investment level] on something you told me is your highest priority. The cost of that gap is [business consequence]. I need a decision on [specific ask].</w:t>
            </w:r>
          </w:p>
        </w:tc>
      </w:tr>
    </w:tbl>
    <w:p>
      <w:pPr>
        <w:pageBreakBefore/>
      </w:pPr>
      <w:r>
        <w:t xml:space="preserve"/>
      </w:r>
    </w:p>
    <w:p>
      <w:pPr>
        <w:spacing w:after="160" w:before="320"/>
      </w:pPr>
      <w:r>
        <w:rPr>
          <w:rFonts w:ascii="Arial" w:cs="Arial" w:eastAsia="Arial" w:hAnsi="Arial"/>
          <w:b/>
          <w:bCs/>
          <w:color w:val="1B2A4A"/>
          <w:sz w:val="40"/>
          <w:szCs w:val="40"/>
        </w:rPr>
        <w:t xml:space="preserve">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Principles are extracted from decisions that have already been made badly. Every organisation has patterns of failure. The principles exist to prevent the recurrence of those failures. Start there — not from a framework template.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most expensive architecture decision this organisation has made in the last three years that you would make differently today?"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failure pattern the principle must prevent. The answer is the rationale — you do not need to write it down.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decision keeps coming back that should not need to come back?"</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repeated decision that a principle would eliminate. The principle's job is to make that decision automatic.</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a project team makes decision X without asking anyone, what is the worst thing that happens?"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the principle is enforced by consequence or by process. If the answer is 'nothing much' — the principle is not needed.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CIO, one delivery lead, and one project manager who has been through an architecture review. You need three perspectives: strategic intent, delivery reality, and what actually gets approved. Write the principles during the interviews — not after. Test each principle against a recent decision: 'Would this principle have changed what happened?' If not, the principle is wrong.</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proposed principle has no exception anyone can imagine. It is either a law (already enforced) or it will be ignored. Every real principle has a legitimate exception case.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principle requires reading supporting material to understand. Rewrite it. If it cannot be stated in ten words, it is not a principle.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More than seven principles are proposed. Prioritise. Seven principles enforced are worth more than twenty principles ignored.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Principle (≤10 words)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State the rule. Sentence case. No jargon. If it requires explanation to be understood it is not finished.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this prevents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failure pattern this principle exists to block. One sentence. This is the reason — do not publish it, but record it here.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trigger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condition under which deviation is legitimate. Specific. Vague exception triggers are not exceptions — they are loopholes.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approval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role who can approve an exception. Not a committee. One person.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record pointer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approved exceptions are logged. Every exception must be recorded — the log is the enforcement mechanism.</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Principle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person responsible for adjudicating edge cases and reviewing the principle annually.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per principle. Written: one card per principle, laminated.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failure it prevents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past failure this principle would have avoided. Executives remember specific failures — they do not remember principles.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rule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State it. One sentence.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exception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exception condition. Executives will immediately test for the edge case — answer it before they ask.</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you need</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Endorsement so the principle can be used to block non-compliant decisions. Frame it as protecting their investment, not limiting delivery.</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more than three principles at once. Present one, get it adopted, then the next.</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call them 'architecture principles' in an executive conversation. Call them 'decision rules' or 'investment guardrails.'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implication lists. If an implication is important enough to present, it belongs in a separate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In [year], we spent [cost] on [failure]. This principle — [principle in ten words] — would have prevented that. The only exception is [exception condition], approved by [role]. I need your endorsement so I can use this to hold the line on [specific decision type] without escalating every case to you.</w:t>
            </w:r>
          </w:p>
        </w:tc>
      </w:tr>
    </w:tbl>
    <w:p>
      <w:pPr>
        <w:pageBreakBefore/>
      </w:pPr>
      <w:r>
        <w:t xml:space="preserve"/>
      </w:r>
    </w:p>
    <w:p>
      <w:pPr>
        <w:spacing w:after="160" w:before="320"/>
      </w:pPr>
      <w:r>
        <w:rPr>
          <w:rFonts w:ascii="Arial" w:cs="Arial" w:eastAsia="Arial" w:hAnsi="Arial"/>
          <w:b/>
          <w:bCs/>
          <w:color w:val="1B2A4A"/>
          <w:sz w:val="40"/>
          <w:szCs w:val="40"/>
        </w:rPr>
        <w:t xml:space="preserve">Value Stream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3–6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1–2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value stream map is drawn with the people doing the work — not about them. Your job is to facilitate the drawing, not to produce the map independently and present it back. The act of drawing it together is where the signal emerges.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"Walk me through exactly what happens when [trigger event] occurs. Not the policy — what actually happens."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word 'actually' is doing critical work. Policies describe what should happen. This question gets what does happen.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"At this point in the process, what are you waiting for? Who decides when you can move?"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handoff latency and the ownership question simultaneously. The person who decides when you can move is the owner of the handoff — or the absence of one is the finding.</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this goes wrong, where does it go wrong first?"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failure point is almost always a handoff with no owner. This question gets to it faster than mapping the whole stream.</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would have to be true for this step to take half the time it currently takes?"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constraint the person doing the work already knows about but has never been asked. The answer is the to-be decision list.</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Book a room. Get the people who do the work — not the people who manage the work. Draw it on a whiteboard or sticky notes. Do not use software in the session. The drawing happens in real time as people describe what they do. When someone says 'and then it goes to...' ask 'who specifically?' Every step has a named role. Every handoff has a named owner or a named gap.</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manager describes a step that a practitioner then corrects. Record both versions — the gap between them is a governance finding.</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step has no system and no named role. It happens 'informally' or 'by email.' That step is the highest risk point in the stream.</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stream cannot be completed in the session because no-one knows what happens in a particular step. That unknown is the finding — name it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Value stream name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and the trigger event that starts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End state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does done look like. What has been delivered to whom.</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Steps in sequence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step. Named role performing it. Named system used. Observed, not documented.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Handoffs — named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point where work moves between roles or systems. Named owner on each side.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Handoffs — no owner (the signal)</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handoff where ownership is absent or disputed. This is the deliverable.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Largest wait time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Single longest delay. Estimated duration. Named cause. Named owner of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Unknown steps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Steps that could not be described in the session. Each is a risk position.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Action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person who owns resolution of the primary gap. No owner means the signal has not been received.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Observation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This map reflects what was observed on this date. Not the policy. What was described by the people doing the work.</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visual — the stream with gaps highlighted.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stream</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it. Walk the executive through it in 60 seconds. They need enough context to understand where the problem is — not a full process briefing.</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Highlight the handoff with no owner or the largest wait time. 'This step takes [X] days and no-one owns it.' Specific. Named.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cost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Translate the delay into the business metric the executive tracks. If they track customer satisfaction — what does this handoff latency do to that number?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an owner for the gap. That is the ask. Not a process redesign — one named person, one accountability assignment.</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full stream map to an executive. Show only the section containing the primary gap.</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words 'value stream map' or 'process mapping.' Say 'we followed the work' or 'we traced how this actually happens.'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propose the to-be in this session. The to-be requires the action owner to be named first.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traced [process name] from trigger to completion. It takes [total time] end to end. [X] days of that is wait time at a single handoff — between [role A] and [role B] — where no-one is accountable for moving it forward. That wait time costs us [business consequence]. I need [specific person] named as the owner of that handoff.</w:t>
            </w:r>
          </w:p>
        </w:tc>
      </w:tr>
    </w:tbl>
    <w:p>
      <w:pPr>
        <w:pageBreakBefore/>
      </w:pPr>
      <w:r>
        <w:t xml:space="preserve"/>
      </w:r>
    </w:p>
    <w:p>
      <w:pPr>
        <w:spacing w:after="160" w:before="320"/>
      </w:pPr>
      <w:r>
        <w:rPr>
          <w:rFonts w:ascii="Arial" w:cs="Arial" w:eastAsia="Arial" w:hAnsi="Arial"/>
          <w:b/>
          <w:bCs/>
          <w:color w:val="1B2A4A"/>
          <w:sz w:val="40"/>
          <w:szCs w:val="40"/>
        </w:rPr>
        <w:t xml:space="preserve">Business Process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as-is process model documents what actually happens — not what the policy says, not what the system was designed to do. You get this by being present where the work happens. Shadow the process for at least two full cycles before you draw anything.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"Show me the last time you completed this process end to end. Walk me through exactly what you did — including the workarounds."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workarounds are the most important data. They reveal where the formal process fails and what compensating behaviour has evolved.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"When does this process not follow the normal path? What causes the deviation?"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Exception paths carry the most risk and are the least documented. They are where failures compound.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[system X] was unavailable, what would you do instead?"</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Reveals informal processes that run in parallel with the formal system. These are undocumented dependencies.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do you call when this goes wrong?"</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informal authority structure. The person being called is often doing undocumented coordination work that the process depends on.</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Observe at least two complete process cycles before conducting interviews. What people describe and what they do are different things. Draw the process in the room with the operator, not alone from interview notes. Every step must have a named role and a named system. Where neither exists — that is a gap, not an omission.</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documented process matches the policy perfectly. This means you are being shown the formal version. Push for the actual version: 'What do you do when that system is slow or unavailable?'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step is described as 'it depends.' Name what it depends on. Undocumented conditional logic is a risk position.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process cannot be completed without a specific named individual. That individual is a single point of failure — name them and the risk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Process name and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the process. Start event and end event. Boundary conditions — what is in scope and what is not.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As-is swim-lane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Drawn. Named roles as lanes. Named systems at each step. Based on observation — not documentation. No BPMN unless a system requires it.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Named roles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role that touches this process. Actual role name, not department. Where a named individual is essential — name them and flag the single point of failure.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Named systems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involved in sequence. Where the same function uses multiple systems — named. This is a finding.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Workarounds in use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informal compensating behaviour observed. Named. These are the gaps in the formal process.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paths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deviation from the normal path. What triggers it. How it is handled. Who handles it.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Gaps identified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Steps with no system, no named role, or no defined output. Gaps between what is documented and what was observed.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list (the to-be)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to-be is not drawn. It is the list of decisions required to close each gap. Named owner against each decision.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Observation date and observer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process as observed on this date by this person. Not the policy version.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the gap summary. The full swim-lane is a supporting document, not an executive-facing artefact.</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we observed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'We traced [process name] across [X] cycles over [timeframe].' Establishes that this is observation, not theory.</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significant gap between what the process is supposed to do and what it actually does. Specific. Quantified where possible.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What happens when the gap is exposed. Regulatory consequence, customer impact, or operational failure — in the executive's language.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single decision required to close the primary gap. Owner named. Timeline named.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swim-lane diagram to an executive. It will be read as a process improvement proposal, not an architecture finding.</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to-be process in this session. The to-be requires the gap decisions to be made first.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 'workaround' with an executive. Say 'compensating behaviour' or 'informal process.' Same meaning, different reception.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observed [process name] running as-is across [X] cycles. The formal process and the actual process diverge at [specific point]. The informal workaround that compensates for this gap is [description]. When it fails, [consequence]. The decision required to close this is [specific decision]. I need [named person] to own that decision by [date].</w:t>
            </w:r>
          </w:p>
        </w:tc>
      </w:tr>
    </w:tbl>
    <w:p>
      <w:pPr>
        <w:pageBreakBefore/>
      </w:pPr>
      <w:r>
        <w:t xml:space="preserve"/>
      </w:r>
    </w:p>
    <w:p>
      <w:pPr>
        <w:spacing w:after="160" w:before="320"/>
      </w:pPr>
      <w:r>
        <w:rPr>
          <w:rFonts w:ascii="Arial" w:cs="Arial" w:eastAsia="Arial" w:hAnsi="Arial"/>
          <w:b/>
          <w:bCs/>
          <w:color w:val="1B2A4A"/>
          <w:sz w:val="40"/>
          <w:szCs w:val="40"/>
        </w:rPr>
        <w:t xml:space="preserve">Organisation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Half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organisation map is not an org chart. You already have the org chart. This exercise maps accountability to capability — and the gaps are the deliverable. You can complete this in a single structured conversation if you have the BCM and the org chart in front of you.</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[capability X] fails completely — who is the first person I call?"</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real owner, not the nominal owner. The person being called is the owner. The person whose name is on the capability in the org chart may not be the same person.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would be most upset if [capability X] underperformed? Who would I hear from first?"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stakeholder with real accountability interest. Often the informal owner.</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anyone in this organisation who believes they own [capability X] that we have not named yet?"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dispute before it becomes a conflict. Two people believing they own the same capability is a governance risk — name it now.</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Take the capability list from the BCM. Put each capability in front of the relevant executive. Ask the ownership question for each one. Record the first name given. If they hesitate — that hesitation is a finding. Do not prompt with names.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names a department rather than a person. Departments do not make decisions. Push for the individual.</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Two executives name each other as the owner of the same capability. Record both. This is the most significant finding the map will produce.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says 'we all own that.' No capability with collective ownership is actually owned. Record it as unowned.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Capability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From BCM. Do not reproduce definitions here.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Named owner (individual)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One person. Name and role. If a department is named — record that and flag as unresolved.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Disputed ownership</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more than one person claims ownership. Name both claimants. Nature of the dispute.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Unowned capabilities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Capabilities with no named individual owner. This is the map. This is the deliverable.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Informal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person who is actually called when the capability fails, if different from the nominated owner.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Resolution required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Date by which each unowned or disputed capability must have a named owner. Named resolution owner.</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table — capability, owner, status (owned/disputed/unowned). Verbal narrative 3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'We mapped ownership against your capability set. [X] capabilities have no named owner. [Y] have disputed ownership.' State it plainly.</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specific risk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critical unowned capability and what happens when it fails with no-one accountable.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disputed case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If there is a significant dispute — name it. '[Executive A] and [Executive B] both believe they own [capability]. That means neither does.'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Accountability assignments. Named individuals, named capabilities. Either the executive makes the assignments in the room or schedules a session to do so.</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an org chart revision. This is an accountability gap exercise, not a restructure proposal.</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name the disputed parties to each other in a joint session without their prior knowledge. Resolve disputes in separate conversations first.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the session without a named owner for the most critical unowned capability, even if it is provisional.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ownership across your [X] capabilities. [Y] have no named owner. The highest risk unowned capability is [name] — when it fails, there is currently no-one accountable for the response. I need [X] accountability assignments made. I can present the full gap list in a 20-minute session or we can start with the top three now.</w:t>
            </w:r>
          </w:p>
        </w:tc>
      </w:tr>
    </w:tbl>
    <w:p>
      <w:pPr>
        <w:pageBreakBefore/>
      </w:pPr>
      <w:r>
        <w:t xml:space="preserve"/>
      </w:r>
    </w:p>
    <w:p>
      <w:pPr>
        <w:spacing w:after="160" w:before="320"/>
      </w:pPr>
      <w:r>
        <w:rPr>
          <w:rFonts w:ascii="Arial" w:cs="Arial" w:eastAsia="Arial" w:hAnsi="Arial"/>
          <w:b/>
          <w:bCs/>
          <w:color w:val="1B2A4A"/>
          <w:sz w:val="40"/>
          <w:szCs w:val="40"/>
        </w:rPr>
        <w:t xml:space="preserve">Application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week</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portfolio exists to force the TIME decision. Everything before that — the inventory, the cost data, the alignment rating — is input. The classification is the output. Run the extraction with one question per application. If you cannot get an answer in 30 minutes, the absence of an answer is a finding.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"Does this application directly support a strategic priority that is funded for the next 12 months?"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Business owner answers yes, no, or partially. That answer is the alignment rating. Do not allow nuance — force the three options.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this application was unavailable for a week, what breaks?"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operational criticality independent of strategic alignment. A non-strategic application that breaks critical operations is a Tolerate, not an Eliminate.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"Who would you call right now if you wanted to replace this application?"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decision owner. Also tests whether anyone has thought about replacement — if no-one has, the application has de facto permanence.</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does this cost us annually — including the staff who support it?"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a total cost view. Applications that look cheap on licence fees are often expensive when support cost is added.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Start with the asset register or CMDB — not a blank canvas. For each application, you need: the name, the owner, the annual cost, and the strategic alignment answer. Set a 30-minute time limit per application. If you cannot get the alignment answer in 30 minutes, record the blocker and move on. The blockers are findings.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application has no named owner after 30 minutes of enquiry. It is either orphaned or owned by someone who has left. This is a risk position — flag it immediately.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application is described as 'critical' by the business and 'legacy' by IT with no resolution plan. This is a governance failure — record it explicitly.</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annual cost cannot be determined. This means the organisation does not know what it is spending. Flag as a financial governance gap.</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Application name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Canonical name as it appears in the asset register.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(named individual)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person accountable. If unknown after 30 minutes — record that and flag as orphaned.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Annual total cost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Licence + internal support + hosting. Estimate noted as estimate with source.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Strategic alignment (Y/N/Partial)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Business owner's answer to: does this directly support a funded strategic priority? Not the EA's assessment.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Operational criticality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breaks if unavailable for one week. Business owner's answer.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TIME classification</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Tolerate / Invest / Migrate / Eliminate. Applied on the basis of the above fields.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Classification blocker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TIME cannot be assigned — the specific blocker and the owner of resolving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Classification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Accurate as of this date. Review trigger: strategic priority change or ownership change.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TIME quadrant or colour-coded list.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portfolio position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the TIME distribution. '[X] applications are funded for investment. [Y] should be decommissioned. [Z] have no owner.'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investment case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highest-value Invest candidates and the cost of the Eliminate candidates being retained. This is the ROI of the classification.</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 position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orphaned or unclassified applications and what happens when one of them fails with no owner.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Decision authority to begin decommission of the top [X] Eliminate candidates. Or funding confirmation for the top Invest candidates. One ask.</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application list to an executive. Show the TIME distribution and the outliers only.</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classify an application without the business owner's alignment rating. Technical assessment alone is not sufficient.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propose a decommission timeline in this session. Secure the classification decision first.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applications in the portfolio. [Y] are candidates for decommission — they cost [total cost] annually and are not aligned to any funded priority. [Z] have no named owner and represent an unmanaged risk. Eliminating the top [X] decommission candidates frees [cost] annually. I need authority to begin that process.</w:t>
            </w:r>
          </w:p>
        </w:tc>
      </w:tr>
    </w:tbl>
    <w:p>
      <w:pPr>
        <w:pageBreakBefore/>
      </w:pPr>
      <w:r>
        <w:t xml:space="preserve"/>
      </w:r>
    </w:p>
    <w:p>
      <w:pPr>
        <w:spacing w:after="160" w:before="320"/>
      </w:pPr>
      <w:r>
        <w:rPr>
          <w:rFonts w:ascii="Arial" w:cs="Arial" w:eastAsia="Arial" w:hAnsi="Arial"/>
          <w:b/>
          <w:bCs/>
          <w:color w:val="1B2A4A"/>
          <w:sz w:val="40"/>
          <w:szCs w:val="40"/>
        </w:rPr>
        <w:t xml:space="preserve">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12–20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2–3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Start from the decommission or change decision — not from the full landscape. Every undocumented integration you discover is a finding. The surprises are the value. Stop when you have sufficient coverage for the named decision, not when the landscape is complete.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we turned off [system X] tomorrow, what breaks in the next 24 hours?"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real-time dependencies that no-one has documented. The person closest to the system knows these. The architecture documentation usually does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anything send data to [system X] that is not in the official documentation?"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Every integration landscape has undocumented connections. This question gives permission to name them without suggesting the documentation failure was deliberate.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anything that reads directly from [system X]'s database rather than through an API or service?"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Direct database reads are the highest-risk undocumented integrations. They are invisible to API-level discovery and break silently on schema changes.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would know if [system X] had been modified to connect to something new in the last 12 months?"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knowledge holder for recent undocumented changes. This person is often not the system owner.</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Do not start with documentation. Start with the people operating the systems. Documentation describes what was built. Operators know what is running. Use documentation to validate after the conversations — not before. For each system in scope: interview the operator, the system owner, and the business owner separately. Cross-reference the answers. The gaps between them are the undocumented integrations.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operator describes a connection that the system owner does not know about. This is the most common and most dangerous finding. Record it immediately and confirm it with both parties.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has no named operator — only a vendor. You have no visibility of what that system is connected to. Flag as a black-box risk.</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Direct database connections exist. Every one is a decommission blocker that is not visible at the service layer. Name them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Scope — decision served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specific change or decommission decision this map supports. Full-landscape mapping is not the scope.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Systems in scope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Only systems relevant to the named decision.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Documented integrations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For each: system A → system B, protocol, data exchanged, owner of each end, direction.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Undocumented integrations discovered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connection found that was not in existing documentation. Discovery date, how found, confirmation status.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Direct database connections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system reading directly from another system's database. Named. High risk — flagged separately.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Decommission blockers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integration that would prevent the planned change. System, dependency, resolution path, owner.</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Unknown connections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Systems with no named operator and no documentation. Each is an unquantified risk position.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Accuracy date and maintainer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Validated on this date. Named maintainer — the operator, not the architecture team.</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scope diagram with findings highlighted.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we found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Number of undocumented integrations discovered. Number of decommission blockers. The discovery rate tells the executive how well the landscape is understood — usually it tells them it is not.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blocker</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significant decommission blocker specifically. Why it blocks. What resolving it requires.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Any direct database connections or unknown black-box systems. These are the highest-risk positions.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time and resource to resolve named blockers before the planned decommission. Or: acknowledgement that the change will be delayed until they are resolved.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full integration landscape diagram to an executive. Show only the systems in scope with the blockers highlighted.</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undocumented integrations as documentation failures. Present them as discoveries that changed the risk profile of the planned change.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a decommission date before the blocker resolution path is confirmed.</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the integrations relevant to [planned change]. We found [X] connections not in any existing documentation. [Y] of those are blockers to the planned change. The most significant is [description] — it requires [resolution path] before we can proceed. The planned timeline needs to extend by [estimate] to accommodate this, or we need a decision to accept the risk and proceed.</w:t>
            </w:r>
          </w:p>
        </w:tc>
      </w:tr>
    </w:tbl>
    <w:p>
      <w:pPr>
        <w:pageBreakBefore/>
      </w:pPr>
      <w:r>
        <w:t xml:space="preserve"/>
      </w:r>
    </w:p>
    <w:p>
      <w:pPr>
        <w:spacing w:after="160" w:before="320"/>
      </w:pPr>
      <w:r>
        <w:rPr>
          <w:rFonts w:ascii="Arial" w:cs="Arial" w:eastAsia="Arial" w:hAnsi="Arial"/>
          <w:b/>
          <w:bCs/>
          <w:color w:val="1B2A4A"/>
          <w:sz w:val="40"/>
          <w:szCs w:val="40"/>
        </w:rPr>
        <w:t xml:space="preserve">Solution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SAD is written after the decision is made — not to make it. Its forensic value comes from recording what was rejected and why. If the options were not genuinely evaluated, the document has no value. Run the options evaluation before you write a word.</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are the three most different ways we could solve this problem?"</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Forces genuine option generation. If the team can only name one option, the decision has already been made informally and the SAD will be a ratification document — which is fine, but name it as such.</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would have to be true for option B to be the better choice?"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conditions under which the rejected option would be correct. These become the invalidation triggers for the chosen option.</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are we assuming about the future that would make this the wrong decision in 18 months?"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assumptions. Every assumption that is not named will become a future escalation.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constraints are we accepting that we have not explicitly agreed to accept?"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implicit constraints — the ones that will be used to reopen the decision later. Naming them now closes that route.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the options evaluation as a structured conversation with the solution team and one external voice. The external voice is critical — they are the only person in the room with permission to question assumptions. Write the rejected options section immediately after the evaluation session — not from memory later. If you cannot articulate why an option was rejected in one sentence, the evaluation was not completed.</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Only one option was evaluated. The SAD will be a ratification document. Name it as such and record that the evaluation was constrained by [reason].</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rejected options section is empty or vague. This means the decision was made before the evaluation. The document has no forensic value.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Assumptions cannot be articulated. The decision is not ready to be documented. Return when the team can state what they are assuming.</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 made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solution chosen. One paragraph. Written in past tense — this is a record of what was decided.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Options rejected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option considered and not chosen. For each: what it was, why it was rejected in one sentence. This is the forensic value.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Assumptions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must be true for this decision to remain correct. Specific.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Constraints accepted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Constraints acknowledged and accepted. Cannot be raised later as blockers if named here.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Principles compliance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Which architecture principles this solution complies with. Where it does not — the exception and its approval.</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Conditions under which this decision becomes wrong. Named explicitly.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 owner and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individual. Date of decision.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if compliance review is required. Written only if escalation is needed.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decision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What was decided. One sentence.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was rejected and why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strongest alternative and the reason it was not chosen. This is what executives want to know — it demonstrates the decision was considered, not defaulted.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key assumption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most significant assumption the decision depends on. Named. 'This is the right decision as long as [assumption] holds.'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Ratification — or the specific escalation if the decision requires authority above the solution team.</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SAD to an executive. Summarise in three points: what was decided, what was rejected, what assumption it depends on.</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omit the rejected options summary. It is the signal that the decision was considered. Without it, the executive has no basis for confidence.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document a decision that has not actually been made. If it is still under discussion, the SAD does not exist yet.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decided on [solution]. We evaluated [alternative] and rejected it because [one sentence reason]. This decision depends on [key assumption]. If [assumption] changes, we need to revisit. [Decision owner] made this decision on [date]. I need [ratification / escalation decision] from you.</w:t>
            </w:r>
          </w:p>
        </w:tc>
      </w:tr>
    </w:tbl>
    <w:p>
      <w:pPr>
        <w:pageBreakBefore/>
      </w:pPr>
      <w:r>
        <w:t xml:space="preserve"/>
      </w:r>
    </w:p>
    <w:p>
      <w:pPr>
        <w:spacing w:after="160" w:before="320"/>
      </w:pPr>
      <w:r>
        <w:rPr>
          <w:rFonts w:ascii="Arial" w:cs="Arial" w:eastAsia="Arial" w:hAnsi="Arial"/>
          <w:b/>
          <w:bCs/>
          <w:color w:val="1B2A4A"/>
          <w:sz w:val="40"/>
          <w:szCs w:val="40"/>
        </w:rPr>
        <w:t xml:space="preserve">Conceptual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~88%</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CDM exists because different parts of the organisation have different answers to 'what is a customer?' You are not modelling data — you are resolving a definitional dispute that is blocking a downstream decision. Start with the dispute, not the entities.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"Give me an example of a customer that the sales system would count but the finance system would not. Does that person exist?"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Makes the definitional conflict concrete rather than abstract. Abstract disputes continue forever. Specific examples get resolved.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I need to count the number of customers for a board report, whose number do I use?"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the authority question. The person whose number is used for the board report is the de facto authority — whether or not they know it.</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entity that is NOT a customer but that we frequently confuse with a customer?"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boundary condition is the most important part of the definition. What the entity excludes is as important as what it includes.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has the authority to change the definition of [entity] once we agree it?"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Extracts the governance structure before the definition is written. If no-one has authority, the definition will be relitigated at every subsequent meeting.</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single session with the business owners of each entity in dispute. Do not attempt to resolve disputes between sessions — the definition is only valid if it is agreed in the room. Write the agreed definition immediately after the session and circulate it the same day. Definitions agreed in a session and circulated three days later are not the same definitions.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business owners agree on a definition in the session but a system team member says the systems cannot support it. This is an implementation constraint — it does not change the definition. Record the constraint separately.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definition cannot be agreed because different regulatory frameworks apply. Name the frameworks, name the entities they each require, and record the conflict as a governance decision required at executive level.</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More than one session is required to agree a single entity definition. This means the authority structure is unclear. Resolve the authority question first.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Entity in dispute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entity requiring definitional alignment. Name only — not the definition.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Agreed definition</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Verbatim. Dated. Signed off by the named authority. Written in business language — not data modelling language.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What this definition explicitly excludes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boundary condition. What is NOT this entity. As important as the definition.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Definition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person with authority to change this definition. One person. Not a committee.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Unresolved disputes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Definitions not agreed in this session. Nature of the dispute. Owner of resolution. Date required.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Downstream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systems, reports, and decisions that depend on this definition being resolved.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Session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definition is valid as of this date. Revision trigger: any system change consuming this entity.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summary if escalation required. Verbal if authority assignment is the ask.</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conflict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divergence. 'Finance counts [X] customers. Sales counts [Y] customers. The difference is [Z] and they are both correct by their own definition.'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downstream cost</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What the definitional conflict is costing — wrong board numbers, blocked system integration, failed regulatory reporting. Specific.</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resolution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agreed definition, stated plainly. Or: the two competing definitions and the choice required.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Authority assignment — who has the final say on this definition. Or: endorsement of the agreed definition as the organisation-wide standard.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an entity relationship diagram to an executive. Show the conflict and the resolution in plain language.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 data quality problem. It is a governance problem — different parts of the organisation are using different rules for the same concept.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without a named definition authority. Without it, the next conflict will be identical.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a definitional conflict on [entity]. [System A] counts [X]. [System B] counts [Y]. The board report uses whichever number is most convenient at the time. This has caused [specific consequence]. We have agreed a definition: [definition]. I need you to confirm [named person] as the authority for this definition so it holds across the organisation.</w:t>
            </w:r>
          </w:p>
        </w:tc>
      </w:tr>
    </w:tbl>
    <w:p>
      <w:pPr>
        <w:pageBreakBefore/>
      </w:pPr>
      <w:r>
        <w:t xml:space="preserve"/>
      </w:r>
    </w:p>
    <w:p>
      <w:pPr>
        <w:spacing w:after="160" w:before="320"/>
      </w:pPr>
      <w:r>
        <w:rPr>
          <w:rFonts w:ascii="Arial" w:cs="Arial" w:eastAsia="Arial" w:hAnsi="Arial"/>
          <w:b/>
          <w:bCs/>
          <w:color w:val="1B2A4A"/>
          <w:sz w:val="40"/>
          <w:szCs w:val="40"/>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This is a compliance instrument. Scope it to what the regulation requires. Do not expand the scope until the regulatory requirement is fully covered. Every undocumented flow you find is a potential compliance gap — treat it as one until proven otherwise.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"From the moment [personal data category] enters this organisation — what is the first system that touches it?"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Establishes the collection point. Everything before this is out of scope. Everything after it is in scope.</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 system store a copy of this data that is not the primary system of record?"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shadow copies — the most common source of undiscovered personal data exposure.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a customer asks us to delete their data, what do we actually delete? Is there anything left over?"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deletion mechanism against the regulatory requirement. 'We delete it from the main system' is almost never sufficient.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 third party receive this data? What is the legal basis for that transfer?"</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Third-party transfers without documented legal basis are the highest-risk compliance gap. This question must be asked explicitly for every data category.</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system owners and the operators — not just the data protection officer. The DPO knows the policy. The operators know what actually flows. Map the flow in real time during the interview. Do not leave the system owner until you can trace the data from collection to deletion without gaps. Gaps are compliance risks — name them as such.</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owner cannot confirm whether their system retains personal data after the primary transaction is complete. This is not an ignorance problem — it is a compliance gap. Flag immediately.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third-party transfer is confirmed but no legal basis can be named. Stop. This is a live compliance risk requiring immediate legal review — not an architecture finding for a future report.</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deletion mechanism deletes from the primary system but cannot confirm deletion from backup, log, or audit systems. Common. High risk. Named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Regulatory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specific regulation this DFD serves. Named explicitly.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Personal data categories in scope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Categories required by the regulation. No broader.</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Collection point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system or touchpoint where personal data enters the organisation.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Flow path</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that touches, stores, or transmits the data between collection and deletion. In sequence.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Shadow copies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system retaining a copy outside the primary system of record.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Third-party transfers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external party receiving this data. Legal basis for each transfer.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Deletion mechanism</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is deleted, from which systems, on what trigger. Confirmed — not assumed.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Compliance gaps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flow without documented legal basis, confirmed retention schedule, or confirmed deletion mechanism. These are findings — not observations.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Accuracy date and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Accurate as of this date. Named owner responsible for keeping it current.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gap summary for the General Counsel or CISO. Not a diagram — a gap list with risk ratings.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Scope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what regulation, what data categories, what systems were mapped.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Gaps found</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Number of flows without legal basis. Number of third-party transfers without documented basis. Number of unconfirmed deletion mechanisms. Specific counts.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Highest risk gap</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it. The specific flow, the missing documentation, the regulatory consequence if identified in an audit.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Legal review of undocumented third-party transfers. Or: immediate suspension of a specific data flow pending legal basis confirmation. Specific.</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data flow diagram to an executive. Present the gap list and the regulatory consequence of each gap.</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characterise a compliance gap as an architecture finding in an executive conversation. It is a legal risk. Use that language.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recommend remediation timelines without legal sign-off. The timeline is a legal decision, not an architecture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[data category] flows against [regulation] requirements. We found [X] gaps. [Y] third-party transfers have no documented legal basis. [Z] flows have no confirmed deletion mechanism. The highest risk is [specific gap] — if identified in a regulatory audit, the consequence is [consequence]. I need legal review of [specific transfers] before [date].</w:t>
            </w:r>
          </w:p>
        </w:tc>
      </w:tr>
    </w:tbl>
    <w:p>
      <w:pPr>
        <w:pageBreakBefore/>
      </w:pPr>
      <w:r>
        <w:t xml:space="preserve"/>
      </w:r>
    </w:p>
    <w:p>
      <w:pPr>
        <w:spacing w:after="160" w:before="320"/>
      </w:pPr>
      <w:r>
        <w:rPr>
          <w:rFonts w:ascii="Arial" w:cs="Arial" w:eastAsia="Arial" w:hAnsi="Arial"/>
          <w:b/>
          <w:bCs/>
          <w:color w:val="1B2A4A"/>
          <w:sz w:val="40"/>
          <w:szCs w:val="40"/>
        </w:rPr>
        <w:t xml:space="preserve">Master Data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Most organisations do not have a master data authority problem that they have failed to solve. They have a master data authority problem that they have failed to name. Your job is to name it explicitly so someone has to resolve it.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I need the definitive record of [entity] — which system do I go to? And if that system disagrees with another system, who arbitrates?"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claimed authority and immediately tests whether an arbitration mechanism exists. It usually does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"Has there ever been a situation where two systems gave different answers about the same [entity]? What happened?"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historical conflict and its resolution (or non-resolution). The answer reveals whether the authority question has ever actually been forced.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 process in this organisation that would break if [system X] was the single source of truth for [entity]?"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practical viability of establishing an authority. Hidden dependencies often prevent obvious authority assignments.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For each master entity: ask the system owner of each system that holds that entity who they believe is authoritative. If they name their own system — expected. Record it. If they name a different system — unexpected and significant. Cross-reference the answers. The conflict map is the deliverable.</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Every system owner believes their system is the authority. This is the normal case — and it means there is no master data authority. Record it as such.</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is named as authoritative that is a known decommission candidate. This is a critical finding — the authority is being decommissioned without a replacement authority established.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arbitration question is answered with 'it depends' or 'we have a process.' Ask to see the process. If it cannot be shown in 10 minutes, it does not function.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Master entity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One row per master data entity.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Systems claiming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that holds this entity and claims or implies authority.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Nature of the conflict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multiple systems claim authority — describe the specific conflict. Different field coverage, different update frequency, different owner.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Actual authority (if established)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system genuinely established as authoritative, with the governance decision that established it. If not established — name that explicitly.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Historical conflicts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Past instances where the authority dispute surfaced operationally. What happened. How it was resolved or not.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Arbitration mechanism</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process for resolving conflicts when they arise. If none exists — name that as the primary finding.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Resolution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named executive with authority to establish the true source of record. Not the EA.</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Resolution deadline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Date by which the authority question must be resolved. Unresolved = named risk position.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table — entity, claimed authorities, conflict description, resolution required.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fiction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'We do not have a master data authority for [entity]. We have [X] systems each claiming to be the source of truth. They currently disagree [Y]% of the time.'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operational cost</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What the authority conflict is costing operationally. Wrong customer counts, failed integrations, manual reconciliation effort. Quantified.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resolution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specific governance decision required: which system is authoritative, confirmed by which named executive, effective from which date.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governance decision. Named executive. Named system. Named date. One decision.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 data quality problem. Data quality is a symptom. The authority conflict is the cause.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recommend a technical solution (golden record, MDM platform) before the governance decision is made. Technology cannot resolve an authority dispute — only governance can.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the session without a named resolution owner, even if the resolution date is in the future.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systems that each believe they are the source of truth for [entity]. They disagree [description of conflict]. The operational cost is [consequence]. This cannot be resolved technically until a governance decision is made: which system is authoritative, confirmed by you, effective [date]. I need that decision.</w:t>
            </w:r>
          </w:p>
        </w:tc>
      </w:tr>
    </w:tbl>
    <w:p>
      <w:pPr>
        <w:pageBreakBefore/>
      </w:pPr>
      <w:r>
        <w:t xml:space="preserve"/>
      </w:r>
    </w:p>
    <w:p>
      <w:pPr>
        <w:spacing w:after="160" w:before="320"/>
      </w:pPr>
      <w:r>
        <w:rPr>
          <w:rFonts w:ascii="Arial" w:cs="Arial" w:eastAsia="Arial" w:hAnsi="Arial"/>
          <w:b/>
          <w:bCs/>
          <w:color w:val="1B2A4A"/>
          <w:sz w:val="40"/>
          <w:szCs w:val="40"/>
        </w:rPr>
        <w:t xml:space="preserve">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8–12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roadmap is a dependency sequencing exercise. You are not planning dates — you are establishing what must be done before what else can be done. The dates are a consequence of the sequence and the capacity. Extract the sequence first.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one technology change that everything else is waiting for?"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the critical path anchor. Everything that blocks on this item cannot be scheduled until this question is answered.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we start [initiative X] before [initiative Y] is complete, what specifically breaks?"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Tests the dependency claim. Many stated dependencies are preferences, not genuine blockers. This question separates them.</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currently funded that is not in the sequence?"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funded work that the architecture team does not know about. These hidden initiatives are often the actual critical path items.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needs to happen that no-one has put budget against yet?"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unfunded dependencies — the items that will block funded initiatives when they surface. These are the most important items on the roadmap.</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dependency mapping session with the delivery leads and the CTO or equivalent. Use sticky notes or a dependency board — not a Gantt chart. Map the 'must happen before' relationships first. The Gantt is a consequence of the dependency map, not the starting point. Dates are added after the sequence is agreed and capacity is assessed.</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dependency is stated but no-one can articulate specifically what breaks if the sequence is violated. It is a preference, not a dependency. Record it as such.</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initiatives are named as critical path anchors. Only one can be the true anchor. Force the prioritisation.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Funded initiatives are discovered that conflict with the stated roadmap. This means the roadmap and the budget are not aligned. Name that explicitly — it is a governance failure.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Components in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Only components relevant to current strategic decisions.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Dependency sequence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cannot start until what else is done. A list of dependencies — not a timeline.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Funded initiatives (in order)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initiative with: what it depends on, what depends on it, approved funding confirmed.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Unfunded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Items required in the sequence but not yet funded. Named as risk positions.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 range estimates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Ranges tied to named dependencies. Not committed dates.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Hidden initiatives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Funded work not previously in the roadmap, discovered during extraction. Named. Dependency impact assessed.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Conditions that would change the sequence.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and review trigger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roadmap owner. Review triggered by — not by calendar date.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dependency diagram or sequenced list. No Gantt.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sequence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Walk the critical path. 'Before we can do X, we need Y. Before Y, we need Z. Z is not funded.' State it as a chain — not a list.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funding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unfunded dependencies that are blocking funded initiatives. This is the most important message — funded work is blocked by unfunded prerequisites.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hidden conflicts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Any funded initiatives discovered that conflict with the roadmap. These require a portfolio decision.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Funding decision for the blocking prerequisites. Or: acknowledgement that the funded initiatives will be delayed until prerequisites are funded.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Gantt chart to an executive as a roadmap. They will manage the dates and ignore the dependencies.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delivery dates before the dependency sequence is agreed and capacity is assessed.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roadmap without the unfunded items. A roadmap showing only funded work is not a decision instrument — it is a project list.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The sequence is: [critical path in 3 steps]. Before we can begin [funded initiative], we need [unfunded prerequisite]. That prerequisite has no budget. Without a funding decision on [prerequisite], [funded initiative] cannot start as planned. I need a funding decision or a schedule revision.</w:t>
            </w:r>
          </w:p>
        </w:tc>
      </w:tr>
    </w:tbl>
    <w:p>
      <w:pPr>
        <w:pageBreakBefore/>
      </w:pPr>
      <w:r>
        <w:t xml:space="preserve"/>
      </w:r>
    </w:p>
    <w:p>
      <w:pPr>
        <w:spacing w:after="160" w:before="320"/>
      </w:pPr>
      <w:r>
        <w:rPr>
          <w:rFonts w:ascii="Arial" w:cs="Arial" w:eastAsia="Arial" w:hAnsi="Arial"/>
          <w:b/>
          <w:bCs/>
          <w:color w:val="1B2A4A"/>
          <w:sz w:val="40"/>
          <w:szCs w:val="40"/>
        </w:rPr>
        <w:t xml:space="preserve">Technology Standards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standards catalogue is built backwards from the sprawl it is designed to prevent. Start with the most expensive non-standard technology decision made in the last three years. The standard is the rule that would have prevented it.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technology decision in the last three years cost the most to undo or support that was not on an approved list?"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the primary sprawl case. The standard is the rule that would have prevented it.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technology do project teams currently select without asking anyone?"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categories where standards are most needed — the ones with no current control.</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a team wants to use something not on the approved list, what happens today?"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an exception process already exists informally. If it does, formalise it. If not, the first thing to build is the exception process — not the list.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currently has the authority to say no to a non-standard technology choice?"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existing enforcement mechanism. If no-one has this authority, the standards catalogue is advisory — and advisory catalogues are not controls.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2-hour session with the CTO, one delivery lead, and one project manager. Build the exception process first — before the approved list. An approved list without an exception process is decoration. The exception process is the control mechanism.</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No-one can name who has authority to say no to a non-standard choice. The catalogue cannot be a control until this authority is established. Establish the authority first.</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approved list is so short it excludes technologies that are already in production. This creates immediate non-compliance. The list must reflect what is actually approved — not what is theoretically preferred.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exception process requires committee approval. Committees are slow. Slow processes are circumvented. The exception approval must be achievable in 48 hours or it will be bypassed.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Approved technology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and category. One row per approved item.</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this standard prevents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sprawl or risk. One sentence.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process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 by step. Who requests, who reviews, who approves, how long it takes. Must be achievable in 48 hours.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record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approved exception. Technology, requestor, reason, approval date, review date. This is the enforcement evidence.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Cost of non-standard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Quantified where possible. The business case for compliance.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Enforcement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role with authority to block non-standard choices. One person.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Catalogue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person responsible for maintaining and adjudicating.</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The catalogue itself is never presented to an executive.</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sprawl cost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non-standard decision that cost the most. '[Technology X] was selected without approval in [year]. It cost [amount] to support and cannot be integrated with our standard tooling.'</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control</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One sentence: 'The standards catalogue and exception process prevents this by requiring approval before non-standard selections are made.'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authority requirement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'For this to work, [named role] needs the authority to block non-standard choices. That authority needs to be explicit and known across delivery teams.'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Endorsement of the named enforcement authority. Without it, the catalogue is advisory.</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approved technology list to an executive. They do not need to know what is on the list — they need to know the control exists.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describe this as a standards compliance exercise. Describe it as cost control and risk reduction.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build the catalogue before the exception process. The exception process is the mechanism. The list is the reference.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In [year], [technology] was selected without architecture review. It cost [amount] to remediate and cannot be integrated with our standard stack. The standards catalogue and exception process prevents this. For it to function, [named role] needs explicit authority to block non-standard selections. I need that authority confirmed.</w:t>
            </w:r>
          </w:p>
        </w:tc>
      </w:tr>
    </w:tbl>
    <w:p>
      <w:pPr>
        <w:pageBreakBefore/>
      </w:pPr>
      <w:r>
        <w:t xml:space="preserve"/>
      </w:r>
    </w:p>
    <w:p>
      <w:pPr>
        <w:spacing w:after="160" w:before="320"/>
      </w:pPr>
      <w:r>
        <w:rPr>
          <w:rFonts w:ascii="Arial" w:cs="Arial" w:eastAsia="Arial" w:hAnsi="Arial"/>
          <w:b/>
          <w:bCs/>
          <w:color w:val="1B2A4A"/>
          <w:sz w:val="40"/>
          <w:szCs w:val="40"/>
        </w:rPr>
        <w:t xml:space="preserve">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10–16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2–3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This artefact is accurate or it is useless. There is no middle ground. Start from the components on the critical path for the next major incident. Map only those — completely and accurately. Expand the scope only when those components are fully documented.</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[component X] failed right now, walk me through exactly what you would do in the first 30 minutes."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recovery procedure in real time. The person who hesitates does not know the procedure — that is a risk finding.</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does [component X] depend on that is not in the current documentation?"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undocumented dependencies. Every operator knows of at least one. Ask directly.</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was the recovery procedure for [component X] last tested under realistic conditions?"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the documented procedure actually works. Untested recovery procedures are aspirational — not operational.</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the person sitting next to you was unavailable for three months, what could not be recovered?"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single points of failure that are human knowledge, not documentation. These are the highest-risk gaps.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operators — not the documentation. Shadow on-call handovers. The person handing over is transferring the undocumented knowledge. That transfer is the source. Write what you observe during the handover, not what the documentation says. Validate each component entry with the operator before moving to the next.</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recovery procedure exists in documentation but the operator modifies it in real time during a walkthrough. The documentation is wrong. Use the operator's version.</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component's recovery depends on a named individual's knowledge and that individual has not documented it. This is the most critical risk finding. Name the person, name the gap, escalate immediately.</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last DR test was more than 12 months ago. Recovery time estimates from tests older than 12 months are not reliable. Flag as unvalidated.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Scope — critical path components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components. Not the full landscape.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Component and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individual operator — not team or department.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Upstream dependencies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this component depends on. What happens if the dependency fails.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Downstream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depends on this component.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Recovery procedure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Actual steps. Validated with the operator. Not the policy version.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Recovery time (actual)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From last test or incident. Not the target — the actual.</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Human knowledge dependencies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recovery step that requires specific named individual knowledge. Named. Risk flagged.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Last validation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When the procedure was last tested under realistic conditions.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Accuracy date and maintainer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Operator who maintains this — not the architecture team.</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risk summary for the CTO or CISO. Never a full diagram.</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accuracy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State how current the documentation was before this exercise. Executives need to know the starting point.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human knowledge risk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components where recovery depends on named individual knowledge. Name the individuals. 'If [person] is unavailable, [component] cannot be recovered from documentation alone.'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untested procedures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Components whose recovery procedures have not been tested in more than 12 months. Named.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DR test schedule for named components. Or: knowledge documentation sessions for named individuals. Specific.</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infrastructure diagram to an executive. Show the risk summary — human knowledge gaps, untested procedures, undocumented dependencies.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understate the human knowledge risk. It is the highest-risk finding in most infrastructure reviews and the one most likely to be minimised.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a recovery time objective without a recent validated test result.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Our infrastructure documentation was [accuracy assessment] before this review. We found [X] components whose recovery depends on named individual knowledge — if those individuals are unavailable, we cannot recover from documentation alone. [Y] recovery procedures have not been tested in more than 12 months. I need [DR test schedule / knowledge documentation sessions] approved before [date].</w:t>
            </w:r>
          </w:p>
        </w:tc>
      </w:tr>
    </w:tbl>
    <w:p>
      <w:pPr>
        <w:pageBreakBefore/>
      </w:pPr>
      <w:r>
        <w:t xml:space="preserve"/>
      </w:r>
    </w:p>
    <w:p>
      <w:pPr>
        <w:spacing w:after="160" w:before="320"/>
      </w:pPr>
      <w:r>
        <w:rPr>
          <w:rFonts w:ascii="Arial" w:cs="Arial" w:eastAsia="Arial" w:hAnsi="Arial"/>
          <w:b/>
          <w:bCs/>
          <w:color w:val="1B2A4A"/>
          <w:sz w:val="40"/>
          <w:szCs w:val="40"/>
        </w:rPr>
        <w:t xml:space="preserve">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hours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20 minutes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ADR is written immediately after the decision is made. Not at the end of the sprint. Not at the end of the project. The same day. The context and the rejected options are most accurate immediately after the decision — they degrade within 48 hours.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did we just decide?"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Obvious — but ask it explicitly. The decision is often clearer when stated in one sentence than when assumed by the group.</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did we consider that we are not doing?"</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The rejected options question. Ask it while the alternatives are still fresh. In 48 hours, only the chosen option will be remembered.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would have to change for us to revisit this?"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invalidation trigger. This is the field most commonly omitted and the most forensically valuable.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Ask these three questions out loud at the close of any significant decision-making conversation. Write the answers immediately. The ADR is complete when the three questions are answered. Do not wait for a quiet moment — write it in the room.</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rejected options cannot be named. The decision was made by default, not by evaluation. Record that — 'no alternatives were formally evaluated' — and note the conditions that produced that outcome.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 invalidation trigger can be named. The decision is treated as permanent. Record that — and set a mandatory review date instead.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decision owner is named as a team or a committee. Push for one named individual. Collective decisions with no named owner are not owned.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was decided. One paragraph. Past tense. Written the same day.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was rejected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alternative considered. For each: what it was, why it was not chosen. Written while alternatives are still fresh.</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What would change this decision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conditions under which this must be revisited. If none can be named — set a mandatory review date.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One named individual. Not a team.</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Date of the decision. Not the document date.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Not presented to executives as a standalone artefact. Referenced when a decision is challenged.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When referenced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When a past decision is challenged, the ADR provides: what was decided, what was rejected, what conditions were assumed, and who made the decision.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referencing language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'On [date], [decision owner] decided [decision]. At the time, [alternative] was considered and rejected because [reason]. The conditions that would change this decision are [triggers]. Those conditions have / have not occurred.'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an ADR as a justification for a decision being challenged. Present it as evidence of the decision-making process. The distinction matters to executives.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modify an ADR after it is written. If circumstances change, write a new ADR referencing the original.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N/A — the ADR is not presented. It is referenced. The referencing language is: 'On [date], [owner] decided [decision] after evaluating [alternatives]. The conditions assumed at the time were [assumptions]. Those conditions [have/have not] changed.'</w:t>
            </w:r>
          </w:p>
        </w:tc>
      </w:tr>
    </w:tbl>
    <w:p>
      <w:pPr>
        <w:pageBreakBefore/>
      </w:pPr>
      <w:r>
        <w:t xml:space="preserve"/>
      </w:r>
    </w:p>
    <w:p>
      <w:pPr>
        <w:spacing w:after="160" w:before="320"/>
      </w:pPr>
      <w:r>
        <w:rPr>
          <w:rFonts w:ascii="Arial" w:cs="Arial" w:eastAsia="Arial" w:hAnsi="Arial"/>
          <w:b/>
          <w:bCs/>
          <w:color w:val="1B2A4A"/>
          <w:sz w:val="40"/>
          <w:szCs w:val="40"/>
        </w:rPr>
        <w:t xml:space="preserve">Architecture 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Half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Two questions. Run them against the SAD and any supporting documentation. Everything else is context. If neither question produces a clear finding, the review is advisory. If either does, the finding is named and escalated with a recommendation — not referred to a committee.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"Does this solution compound or reduce technical debt over five years?"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This is question one. Answer it with reference to the specific debt pattern — not a general statement. 'This solution adds a fourth data store that duplicates customer data already held in X and Y' is an answer. 'This may create technical debt' is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this solution violate an architecture principle?"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This is question two. Name the principle, describe the violation specifically, name what the exception approval would require.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Review the SAD. Ask the solution team the two questions directly in a 30-minute session. Write the finding during the session. The finding is either advisory or blocking — there is no middle category. If blocking, the recommendation accompanies the finding before the session ends.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review has no SAD to review. A compliance review without a decision record is a conversation — useful but not a control. Require the SAD before the review.</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solution team cannot explain why they chose their approach over alternatives. Return the SAD for completion — a review of an incomplete decision record is not a compliance review.</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finding is 'this needs further analysis.' That is not a finding. Either the solution complies, or it does not, or the evidence is insufficient. Name which.</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Solution reviewed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Reference to SAD.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Q1: Debt trajectory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Does this compound or reduce technical debt over 5 years? State the finding with specific evidence. One paragraph.</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Q2: Principle compliance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Does this violate an architecture principle? If yes — name the principle, describe the violation, name the exception path.</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Finding</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Advisory (neither question produced a blocking finding) or Blocking (one or both did). Named clearly.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Recommendation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If blocking: the specific change required, or the exception approval path and who must approve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Reviewer and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architect. Date of review.</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escalation only if blocking. One paragraph written if the finding requires executive sign-off on an exception.</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'[Solution] compounds technical debt by [specific mechanism]' or '[Solution] violates [principle] because [specific reason].'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recommendation</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'The solution should be modified to [specific change] before proceeding.' Or: 'An exception to [principle] is required, approved by [role].'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cost of proceeding without change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technical debt cost or the risk cost of the violation. Quantified where possible.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Modification decision or exception approval. One action.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escalate an advisory finding to an executive. Advisory findings are for the delivery team.</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refer a blocking finding to a committee without a named recommendation. The committee is being asked to decide — give them something to decide between.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conduct a compliance review without a completed SAD. A review of an incomplete decision record is not a compliance review.</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The compliance review of [solution] found [finding]. Specifically, [one sentence description]. The recommendation is [specific action]. If we proceed without this change, the consequence is [cost / risk]. I need [modification decision / exception approval] from [named person] before [date].</w:t>
            </w:r>
          </w:p>
        </w:tc>
      </w:tr>
    </w:tbl>
    <w:p>
      <w:pPr>
        <w:pageBreakBefore/>
      </w:pPr>
      <w:r>
        <w:t xml:space="preserve"/>
      </w:r>
    </w:p>
    <w:p>
      <w:pPr>
        <w:spacing w:after="160" w:before="320"/>
      </w:pPr>
      <w:r>
        <w:rPr>
          <w:rFonts w:ascii="Arial" w:cs="Arial" w:eastAsia="Arial" w:hAnsi="Arial"/>
          <w:b/>
          <w:bCs/>
          <w:color w:val="1B2A4A"/>
          <w:sz w:val="40"/>
          <w:szCs w:val="40"/>
        </w:rPr>
        <w:t xml:space="preserve">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VAF time</w:t>
            </w:r>
          </w:p>
          <w:p>
            <w:pPr>
              <w:spacing w:after="0" w:before="0"/>
            </w:pPr>
            <w:r>
              <w:rPr>
                <w:rFonts w:ascii="Arial" w:cs="Arial" w:eastAsia="Arial" w:hAnsi="Arial"/>
                <w:b/>
                <w:bCs/>
                <w:color w:val="006600"/>
                <w:sz w:val="20"/>
                <w:szCs w:val="20"/>
              </w:rPr>
              <w:t xml:space="preserve">1 week</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architecture roadmap is a funded investment statement with a dependency sequence. It is not a project plan. The extraction requires two inputs: what the organisation is willing to fund (finance) and what must happen before what (dependency sequence from the technology roadmap). Both are required. Neither alone is a roadmap.</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funded for the next 12 months that is architecture-relevant?"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Establishes the funded baseline. Everything else is aspiration until it is funded.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must be true architecturally before the most important funded initiative can begin?"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architectural prerequisites — the items that will block funded work if not addressed.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investment has been decided against that would improve the architecture position?"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unfunded items. These are the risk positions. A roadmap that shows only funded items is a project list — not a decision instrument.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is on this roadmap that cannot be delivered in the stated sequence because of a dependency we have not yet named?"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a dependency audit of the current roadmap. Sequencing conflicts discovered now cost a conversation. Discovered during delivery they cost months.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with the CFO or finance lead alongside the CTO. The funding and the sequence must be aligned in the same session — not reconciled afterwards. An architecture roadmap produced without finance involvement is a wish list.</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 unfunded items are named. The roadmap is a project list. Push for the items that were decided against — they are the risk positions.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sequence was agreed without finance in the room. The funded items may not match the agreed sequence. Reconcile before publishing.</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roadmap shows delivery dates without named dependency conditions. Push for 'contingent on X being complete' language — not calendar dates.</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VAF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Funded initiatives (in dependency order)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Dependency they wait on. Dependency they create. Funding confirmed.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Unfunded items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Required but not funded. Named explicitly as risk positions — not omitted.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Dependency sequence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cannot start until what else is done. The sequence — not the dates.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Date range estimates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Ranges tied to dependencies. 'Contingent on X' — not calendar commitments.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Strategic priorities served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initiative mapped to the strategic priority it serves.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Sequencing conflicts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initiative whose stated sequence conflicts with discovered dependencies.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Conditions that would change this roadmap.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and review trigger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owner. Review triggered by named conditions — not annual calendar.</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page — sequenced list or dependency diagram. No Gantt. Verbal narrative 6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is funded and when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Walk the funded sequence in dependency order. Three initiatives maximum in this briefing — the rest is supporting documentation.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is not funded that blocks funded work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architectural prerequisites that are unfunded and blocking. This is the critical message. 'We have funded [initiative] but not funded the prerequisite [X] that must come first.'</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 positions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unfunded items that are not blocking funded work now but will create compounding debt if not addressed.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Funding decision for blocking prerequisites. Or: acknowledgement that funded initiatives will be delayed. One decision.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roadmap in an executive session. Present the critical path, the funding gap, and the ask.</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dates without dependency conditions. Executives will hold you to the dates. Hold them to the dependencies.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omit unfunded items. A roadmap presented without unfunded items is misleading — the executive does not have the complete picture.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funded architecture initiatives for [period]. Before [most important initiative] can begin, we need [prerequisite] — which is not currently funded. Without [prerequisite], [initiative] cannot start as planned. The cost of the delay is [consequence]. I need a funding decision on [prerequisite] or a revised commitment on [initiative].</w:t>
            </w:r>
          </w:p>
        </w:tc>
      </w:tr>
    </w:tbl>
    <w:p>
      <w:pPr>
        <w:pageBreakBefore/>
      </w:pPr>
      <w:r>
        <w:t xml:space="preserve"/>
      </w:r>
    </w:p>
    <w:p>
      <w:pPr>
        <w:spacing w:after="160" w:before="320"/>
      </w:pPr>
      <w:r>
        <w:rPr>
          <w:rFonts w:ascii="Arial" w:cs="Arial" w:eastAsia="Arial" w:hAnsi="Arial"/>
          <w:b/>
          <w:bCs/>
          <w:color w:val="1B2A4A"/>
          <w:sz w:val="40"/>
          <w:szCs w:val="40"/>
        </w:rPr>
        <w:t xml:space="preserve">Sources</w:t>
      </w:r>
    </w:p>
    <w:p>
      <w:pPr>
        <w:spacing w:after="100" w:before="80"/>
        <w:jc w:val="left"/>
      </w:pPr>
      <w:r>
        <w:rPr>
          <w:rFonts w:ascii="Arial" w:cs="Arial" w:eastAsia="Arial" w:hAnsi="Arial"/>
          <w:b w:val="false"/>
          <w:bCs w:val="false"/>
          <w:i w:val="false"/>
          <w:iCs w:val="false"/>
          <w:color w:val="222222"/>
          <w:sz w:val="22"/>
          <w:szCs w:val="22"/>
        </w:rPr>
        <w:t xml:space="preserve">All findings in this manual are grounded in the following empirical and practitioner evidence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Publication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Kotusev, S., Kurnia, S., Dilnutt, 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The Practical Roles of Enterprise Architecture Artifacts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Information and Software Technology, 147, 2022. 47 organisations. Artifacts classify as facts or decisions artefacts. Usage manifests the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Kotusev, 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Enterprise Architecture Artifacts: Facts and Decisions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RMIT University, 2019. Organisations have wasted billions on aimless architectural descriptions. Real purpose is always in usage.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Gartner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ITScore for Enterprise Architecture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Five maturity levels. One level advance = 15–20% project success improvement, 10–15% IT cost reduction. Eight practice dimensions.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CB Insights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Why Startups Fail — 431 companies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2024. 43% poor product-market fit. 70% capital depletion (symptom). Poor PMF is the disease.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Koning, Hasan, Chatterji</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Experimentation and Startup Performance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Management Science 68(9), 2022. 35,000 startups. Iterative validation: 30–100% performance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RWTH Aachen / KTH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 Debt Management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CEUR-WS Vol. 2628, 2020. Debt accumulates when artefacts are not maintained. Mid-stage drift is invisible at the time.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Yallo</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Why Architectural Debt Expands Faster Than Technical Debt</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2026. Fragmented ownership accelerates architectural drift. Distributed accountability without shared incentives is the primary cause.</w:t>
            </w:r>
          </w:p>
        </w:tc>
      </w:tr>
    </w:tbl>
    <w:p>
      <w:pPr>
        <w:spacing w:after="0" w:before="400"/>
        <w:jc w:val="left"/>
      </w:pPr>
      <w:r>
        <w:rPr>
          <w:rFonts w:ascii="Arial" w:cs="Arial" w:eastAsia="Arial" w:hAnsi="Arial"/>
          <w:b w:val="false"/>
          <w:bCs w:val="false"/>
          <w:i w:val="false"/>
          <w:iCs w:val="false"/>
          <w:color w:val="222222"/>
          <w:sz w:val="22"/>
          <w:szCs w:val="22"/>
        </w:rPr>
        <w:t xml:space="preserve"/>
      </w:r>
    </w:p>
    <w:p>
      <w:pPr>
        <w:spacing w:after="60" w:before="0"/>
        <w:jc w:val="center"/>
      </w:pPr>
      <w:r>
        <w:rPr>
          <w:rFonts w:ascii="Arial" w:cs="Arial" w:eastAsia="Arial" w:hAnsi="Arial"/>
          <w:b/>
          <w:bCs/>
          <w:color w:val="0F4C75"/>
          <w:sz w:val="24"/>
          <w:szCs w:val="24"/>
        </w:rPr>
        <w:t xml:space="preserve">Velocity Architecture Framework™</w:t>
      </w:r>
    </w:p>
    <w:p>
      <w:pPr>
        <w:spacing w:after="60" w:before="0"/>
        <w:jc w:val="center"/>
      </w:pPr>
      <w:r>
        <w:rPr>
          <w:rFonts w:ascii="Arial" w:cs="Arial" w:eastAsia="Arial" w:hAnsi="Arial"/>
          <w:i/>
          <w:iCs/>
          <w:color w:val="888888"/>
          <w:sz w:val="22"/>
          <w:szCs w:val="22"/>
        </w:rPr>
        <w:t xml:space="preserve">Architecture at the speed of the decision.</w:t>
      </w:r>
    </w:p>
    <w:p>
      <w:pPr>
        <w:spacing w:after="0" w:before="0"/>
        <w:jc w:val="center"/>
      </w:pPr>
      <w:r>
        <w:rPr>
          <w:rFonts w:ascii="Arial" w:cs="Arial" w:eastAsia="Arial" w:hAnsi="Arial"/>
          <w:color w:val="AAAAAA"/>
          <w:sz w:val="18"/>
          <w:szCs w:val="18"/>
        </w:rPr>
        <w:t xml:space="preserve">ZenCloud Global Consultants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2026-05-10T23:56:04.746Z</dcterms:created>
  <dcterms:modified xsi:type="dcterms:W3CDTF">2026-05-10T23:56:04.762Z</dcterms:modified>
</cp:coreProperties>
</file>

<file path=docProps/custom.xml><?xml version="1.0" encoding="utf-8"?>
<Properties xmlns="http://schemas.openxmlformats.org/officeDocument/2006/custom-properties" xmlns:vt="http://schemas.openxmlformats.org/officeDocument/2006/docPropsVTypes"/>
</file>