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Brussels I bis Regulation (EU) 1215/2012</w:t>
      </w:r>
    </w:p>
    <w:p>
      <w:pPr>
        <w:spacing w:after="120"/>
      </w:pPr>
      <w:r>
        <w:t xml:space="preserve">Jurisdiction, recognition and enforcement in civil and commercial matters.</w:t>
      </w:r>
    </w:p>
    <w:p>
      <w:pPr>
        <w:spacing w:after="120"/>
      </w:pPr>
      <w:r>
        <w:t xml:space="preserve">Applies from 10 January 2015 (Art. 81).</w:t>
      </w:r>
    </w:p>
    <w:p>
      <w:pPr>
        <w:spacing w:after="120"/>
      </w:pPr>
      <w:r>
        <w:t xml:space="preserve">Forum vs. applicable law: two different questions.</w:t>
      </w:r>
    </w:p>
    <w:p>
      <w:pPr>
        <w:spacing w:after="240"/>
      </w:pPr>
      <w:r>
        <w:t xml:space="preserve">Nota del profesor: esta sección se amplía en clase con ejemplos de la jurisprudencia del TJUE. Recordad que la competencia judicial internacional no determina la ley aplicable.</w:t>
      </w:r>
    </w:p>
    <w:p>
      <w:pPr>
        <w:pStyle w:val="Heading1"/>
      </w:pPr>
      <w:r>
        <w:t xml:space="preserve">Scope of application (Art. 1)</w:t>
      </w:r>
    </w:p>
    <w:p>
      <w:pPr>
        <w:spacing w:after="120"/>
      </w:pPr>
      <w:r>
        <w:t xml:space="preserve">Civil and commercial matters, whatever the nature of the court.</w:t>
      </w:r>
    </w:p>
    <w:p>
      <w:pPr>
        <w:spacing w:after="120"/>
      </w:pPr>
      <w:r>
        <w:t xml:space="preserve">Excluded: revenue, customs, administrative matters, acta iure imperii.</w:t>
      </w:r>
    </w:p>
    <w:p>
      <w:pPr>
        <w:spacing w:after="120"/>
      </w:pPr>
      <w:r>
        <w:t xml:space="preserve">Also excluded: status of natural persons, matrimonial property, insolvency, arbitration.</w:t>
      </w:r>
    </w:p>
    <w:p>
      <w:pPr>
        <w:spacing w:after="240"/>
      </w:pPr>
      <w:r>
        <w:t xml:space="preserve">Nota del profesor: esta sección se amplía en clase con ejemplos de la jurisprudencia del TJUE. Recordad que la competencia judicial internacional no determina la ley aplicable.</w:t>
      </w:r>
    </w:p>
    <w:p>
      <w:pPr>
        <w:pStyle w:val="Heading1"/>
      </w:pPr>
      <w:r>
        <w:t xml:space="preserve">General rule: defendant's domicile (Art. 4)</w:t>
      </w:r>
    </w:p>
    <w:p>
      <w:pPr>
        <w:spacing w:after="120"/>
      </w:pPr>
      <w:r>
        <w:t xml:space="preserve">Persons domiciled in a Member State are sued in the courts of that State.</w:t>
      </w:r>
    </w:p>
    <w:p>
      <w:pPr>
        <w:spacing w:after="120"/>
      </w:pPr>
      <w:r>
        <w:t xml:space="preserve">Nationality is irrelevant: actor sequitur forum rei.</w:t>
      </w:r>
    </w:p>
    <w:p>
      <w:pPr>
        <w:spacing w:after="120"/>
      </w:pPr>
      <w:r>
        <w:t xml:space="preserve">Domicile of companies: statutory seat, central administration or principal place of business (Art. 63).</w:t>
      </w:r>
    </w:p>
    <w:p>
      <w:pPr>
        <w:spacing w:after="240"/>
      </w:pPr>
      <w:r>
        <w:t xml:space="preserve">Nota del profesor: esta sección se amplía en clase con ejemplos de la jurisprudencia del TJUE. Recordad que la competencia judicial internacional no determina la ley aplicable.</w:t>
      </w:r>
    </w:p>
    <w:p>
      <w:pPr>
        <w:pStyle w:val="Heading1"/>
      </w:pPr>
      <w:r>
        <w:t xml:space="preserve">Special jurisdiction (Art. 7)</w:t>
      </w:r>
    </w:p>
    <w:p>
      <w:pPr>
        <w:spacing w:after="120"/>
      </w:pPr>
      <w:r>
        <w:t xml:space="preserve">Contract: place of performance of the obligation in question (Art. 7(1)).</w:t>
      </w:r>
    </w:p>
    <w:p>
      <w:pPr>
        <w:spacing w:after="120"/>
      </w:pPr>
      <w:r>
        <w:t xml:space="preserve">Sale of goods: place of delivery; services: place where services were provided.</w:t>
      </w:r>
    </w:p>
    <w:p>
      <w:pPr>
        <w:spacing w:after="120"/>
      </w:pPr>
      <w:r>
        <w:t xml:space="preserve">Tort: place where the harmful event occurred or may occur (Art. 7(2)) — Bier/Mines de potasse: event and damage.</w:t>
      </w:r>
    </w:p>
    <w:p>
      <w:pPr>
        <w:spacing w:after="240"/>
      </w:pPr>
      <w:r>
        <w:t xml:space="preserve">Nota del profesor: esta sección se amplía en clase con ejemplos de la jurisprudencia del TJUE. Recordad que la competencia judicial internacional no determina la ley aplicable.</w:t>
      </w:r>
    </w:p>
    <w:p>
      <w:pPr>
        <w:pStyle w:val="Heading1"/>
      </w:pPr>
      <w:r>
        <w:t xml:space="preserve">Exclusive jurisdiction and lis pendens</w:t>
      </w:r>
    </w:p>
    <w:p>
      <w:pPr>
        <w:spacing w:after="120"/>
      </w:pPr>
      <w:r>
        <w:t xml:space="preserve">Art. 24: rights in rem in immovable property, company validity, public registers, IP registration, enforcement.</w:t>
      </w:r>
    </w:p>
    <w:p>
      <w:pPr>
        <w:spacing w:after="120"/>
      </w:pPr>
      <w:r>
        <w:t xml:space="preserve">Art. 25: choice-of-court agreements (formal requirements).</w:t>
      </w:r>
    </w:p>
    <w:p>
      <w:pPr>
        <w:spacing w:after="120"/>
      </w:pPr>
      <w:r>
        <w:t xml:space="preserve">Art. 29: lis pendens — court first seised; Art. 31(2) exception for the chosen court.</w:t>
      </w:r>
    </w:p>
    <w:p>
      <w:pPr>
        <w:spacing w:after="240"/>
      </w:pPr>
      <w:r>
        <w:t xml:space="preserve">Nota del profesor: esta sección se amplía en clase con ejemplos de la jurisprudencia del TJUE. Recordad que la competencia judicial internacional no determina la ley aplicable.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2026-10-26T14:04:09.260Z</dcterms:created>
  <dcterms:modified xsi:type="dcterms:W3CDTF">2026-10-26T14:04:09.260Z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