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3401" w14:textId="77777777" w:rsidR="00EB4ED3" w:rsidRPr="00EB4ED3" w:rsidRDefault="00EB4ED3" w:rsidP="00EB4ED3">
      <w:pPr>
        <w:spacing w:after="0"/>
        <w:ind w:firstLine="709"/>
        <w:jc w:val="both"/>
        <w:rPr>
          <w:b/>
          <w:bCs/>
        </w:rPr>
      </w:pPr>
      <w:r w:rsidRPr="00EB4ED3">
        <w:rPr>
          <w:b/>
          <w:bCs/>
        </w:rPr>
        <w:t>ГЛАВА I</w:t>
      </w:r>
    </w:p>
    <w:p w14:paraId="3FC5CF73" w14:textId="77777777" w:rsidR="00EB4ED3" w:rsidRPr="00EB4ED3" w:rsidRDefault="00EB4ED3" w:rsidP="00EB4ED3">
      <w:pPr>
        <w:spacing w:after="0"/>
        <w:ind w:firstLine="709"/>
        <w:jc w:val="both"/>
        <w:rPr>
          <w:b/>
          <w:bCs/>
        </w:rPr>
      </w:pPr>
      <w:r w:rsidRPr="00EB4ED3">
        <w:rPr>
          <w:b/>
          <w:bCs/>
        </w:rPr>
        <w:t>БРОНЗОВЫЙ ВЕК СУМСКОЙ ЗЕМЛИ</w:t>
      </w:r>
    </w:p>
    <w:p w14:paraId="22B43463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rPr>
          <w:i/>
          <w:iCs/>
        </w:rPr>
        <w:t>(пространство между лесом и степью)</w:t>
      </w:r>
    </w:p>
    <w:p w14:paraId="764A89FC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 xml:space="preserve">Территория современной Сумской области в эпоху бронзового века занимала пограничное положение между лесной и степной зонами Восточной Европы. Это положение не было периферийным: напротив, оно делало регион частью широкой системы контактов, охватывавших бассейн Днепра, Среднее </w:t>
      </w:r>
      <w:proofErr w:type="spellStart"/>
      <w:r w:rsidRPr="00EB4ED3">
        <w:t>Подонье</w:t>
      </w:r>
      <w:proofErr w:type="spellEnd"/>
      <w:r w:rsidRPr="00EB4ED3">
        <w:t xml:space="preserve"> и степные пространства Северного Причерноморья (1, 2).</w:t>
      </w:r>
    </w:p>
    <w:p w14:paraId="249C8874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Археологические данные показывают, что уже в конце III — начале II тысячелетия до н. э. эта территория была устойчиво заселена. Поселения располагались преимущественно на речных террасах, вблизи пойм и на песчаных возвышенностях. Такой выбор мест не был случайным: он обеспечивал доступ к воде, пастбищам и удобным путям перемещения, что особенно важно в условиях меняющегося климата и растущей роли скотоводства (2, 3).</w:t>
      </w:r>
    </w:p>
    <w:p w14:paraId="242B8004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К числу наиболее ранних археологических комплексов региона относится среднеднепровская культура, которая рассматривается исследователями как восточная ветвь круга культур шнуровой керамики (1). Её распространение свидетельствует о включённости местного населения в общеевропейские культурные процессы. При этом регион не был лишь зоной заимствования: он выступал как пространство адаптации и трансформации этих культурных импульсов.</w:t>
      </w:r>
    </w:p>
    <w:p w14:paraId="33DAE3EF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Хозяйство населения бронзового века на Сумской земле носило смешанный характер. Археологические находки позволяют говорить о сочетании земледелия и скотоводства, причём роль последнего постепенно возрастала. Это связывают с климатическими изменениями, делавшими традиционное земледелие менее устойчивым (2). Разводили крупный рогатый скот, овец, свиней и, по-видимому, лошадей; выращивали зерновые культуры, включая просо (3).</w:t>
      </w:r>
    </w:p>
    <w:p w14:paraId="6F67106D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Наряду с этим фиксируется развитие ремесленной специализации. Найденные формы для отливки, тигли и бронзовые изделия свидетельствуют о том, что металл не только использовался, но и перерабатывался на месте (3). Это позволяет говорить о наличии локальных центров металлургии и о включённости региона в обменные сети, через которые распространялись сырьё и технологии (4).</w:t>
      </w:r>
    </w:p>
    <w:p w14:paraId="5FEE262C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Жилища бронзового века представляли собой наземные постройки столбовой конструкции или полуземлянки. Они были относительно небольшими по площади, но демонстрируют устойчивость строительных традиций. Поселения, как правило, не имели мощных укреплений, однако в отдельных случаях фиксируются признаки ранних оборонительных сооружений, что может свидетельствовать о росте напряжённости или необходимости защиты ресурсов (4).</w:t>
      </w:r>
    </w:p>
    <w:p w14:paraId="4E3B5A7F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 xml:space="preserve">Особое значение имеют погребальные памятники. Для региона характерны курганные захоронения, нередко повторно использующие более ранние насыпи. Погребальный обряд включал укладку тела в скорченном </w:t>
      </w:r>
      <w:r w:rsidRPr="00EB4ED3">
        <w:lastRenderedPageBreak/>
        <w:t>положении и сопровождение умершего инвентарём — посудой, украшениями, орудиями (1). Различия в составе и качестве инвентаря позволяют предполагать наличие имущественной дифференциации, хотя говорить о сформировавшейся социальной иерархии ещё преждевременно.</w:t>
      </w:r>
    </w:p>
    <w:p w14:paraId="560BA548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Важно подчеркнуть, что Сумская земля в этот период не существовала изолированно. Находки импортных предметов и сходство материальной культуры с соседними регионами указывают на активные контакты — как с северными лесными зонами, так и с южными степными территориями (4). Через эти контакты распространялись не только вещи, но и технологические навыки, а также элементы мировоззрения.</w:t>
      </w:r>
    </w:p>
    <w:p w14:paraId="17D0B19F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Таким образом, бронзовый век на территории Сумщины следует рассматривать не как «предысторию» в примитивном смысле, а как этап формирования сложного общества. Здесь уже присутствуют устойчивые поселения, развитое хозяйство, ремесленная специализация и первые признаки социальной дифференциации.</w:t>
      </w:r>
    </w:p>
    <w:p w14:paraId="3C3ADAE8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t>При этом ключевой особенностью региона становится его пограничный характер — способность соединять различные природные и культурные зоны. Эта черта окажется устойчивой и будет определять развитие территории в последующие эпохи.</w:t>
      </w:r>
    </w:p>
    <w:p w14:paraId="38ECCE53" w14:textId="77777777" w:rsidR="00EB4ED3" w:rsidRPr="00EB4ED3" w:rsidRDefault="00EB4ED3" w:rsidP="00EB4ED3">
      <w:pPr>
        <w:spacing w:after="0"/>
        <w:ind w:firstLine="709"/>
        <w:jc w:val="both"/>
      </w:pPr>
      <w:r w:rsidRPr="00EB4ED3">
        <w:pict w14:anchorId="096B3565">
          <v:rect id="_x0000_i1044" style="width:0;height:1.5pt" o:hralign="center" o:hrstd="t" o:hr="t" fillcolor="#a0a0a0" stroked="f"/>
        </w:pict>
      </w:r>
    </w:p>
    <w:p w14:paraId="6FB40A09" w14:textId="77777777" w:rsidR="00EB4ED3" w:rsidRPr="00EB4ED3" w:rsidRDefault="00EB4ED3" w:rsidP="00EB4ED3">
      <w:pPr>
        <w:spacing w:after="0"/>
        <w:ind w:firstLine="709"/>
        <w:jc w:val="both"/>
        <w:rPr>
          <w:b/>
          <w:bCs/>
        </w:rPr>
      </w:pPr>
      <w:r w:rsidRPr="00EB4ED3">
        <w:rPr>
          <w:b/>
          <w:bCs/>
        </w:rPr>
        <w:t>ЛИТЕРАТУРА</w:t>
      </w:r>
    </w:p>
    <w:p w14:paraId="68F1EAD6" w14:textId="77777777" w:rsidR="00EB4ED3" w:rsidRPr="00EB4ED3" w:rsidRDefault="00EB4ED3" w:rsidP="00EB4ED3">
      <w:pPr>
        <w:numPr>
          <w:ilvl w:val="0"/>
          <w:numId w:val="1"/>
        </w:numPr>
        <w:spacing w:after="0"/>
        <w:jc w:val="both"/>
      </w:pPr>
      <w:r w:rsidRPr="00EB4ED3">
        <w:t>Среднеднепровская культура // Wikipedia</w:t>
      </w:r>
      <w:r w:rsidRPr="00EB4ED3">
        <w:br/>
      </w:r>
      <w:hyperlink r:id="rId5" w:history="1">
        <w:r w:rsidRPr="00EB4ED3">
          <w:rPr>
            <w:rStyle w:val="ac"/>
          </w:rPr>
          <w:t>https://ru.wikipedia.org/wiki/Среднеднепровская_культура</w:t>
        </w:r>
      </w:hyperlink>
    </w:p>
    <w:p w14:paraId="23CAFF6B" w14:textId="77777777" w:rsidR="00EB4ED3" w:rsidRPr="00EB4ED3" w:rsidRDefault="00EB4ED3" w:rsidP="00EB4ED3">
      <w:pPr>
        <w:numPr>
          <w:ilvl w:val="0"/>
          <w:numId w:val="1"/>
        </w:numPr>
        <w:spacing w:after="0"/>
        <w:jc w:val="both"/>
      </w:pPr>
      <w:r w:rsidRPr="00EB4ED3">
        <w:t>Бронзовый век Восточной Европы (обзор) // history.gospmr.org</w:t>
      </w:r>
      <w:r w:rsidRPr="00EB4ED3">
        <w:br/>
      </w:r>
      <w:hyperlink r:id="rId6" w:history="1">
        <w:r w:rsidRPr="00EB4ED3">
          <w:rPr>
            <w:rStyle w:val="ac"/>
          </w:rPr>
          <w:t>https://history.gospmr.org/bronzovyj-vek/</w:t>
        </w:r>
      </w:hyperlink>
    </w:p>
    <w:p w14:paraId="3DB56006" w14:textId="77777777" w:rsidR="00EB4ED3" w:rsidRPr="00EB4ED3" w:rsidRDefault="00EB4ED3" w:rsidP="00EB4ED3">
      <w:pPr>
        <w:numPr>
          <w:ilvl w:val="0"/>
          <w:numId w:val="1"/>
        </w:numPr>
        <w:spacing w:after="0"/>
        <w:jc w:val="both"/>
      </w:pPr>
      <w:proofErr w:type="spellStart"/>
      <w:r w:rsidRPr="00EB4ED3">
        <w:t>Вильчинский</w:t>
      </w:r>
      <w:proofErr w:type="spellEnd"/>
      <w:r w:rsidRPr="00EB4ED3">
        <w:t xml:space="preserve"> О. Доисторический период территории Сумской области // history.sumy.ua</w:t>
      </w:r>
      <w:r w:rsidRPr="00EB4ED3">
        <w:br/>
      </w:r>
      <w:hyperlink r:id="rId7" w:history="1">
        <w:r w:rsidRPr="00EB4ED3">
          <w:rPr>
            <w:rStyle w:val="ac"/>
          </w:rPr>
          <w:t>https://history.sumy.ua/research/article/292-serhiipochatkoolherdvilchynskyiprodoistorychnyiperiodsuchasnoiterytoriisumskoioblasti.html</w:t>
        </w:r>
      </w:hyperlink>
    </w:p>
    <w:p w14:paraId="723189D6" w14:textId="77777777" w:rsidR="00EB4ED3" w:rsidRPr="00EB4ED3" w:rsidRDefault="00EB4ED3" w:rsidP="00EB4ED3">
      <w:pPr>
        <w:numPr>
          <w:ilvl w:val="0"/>
          <w:numId w:val="1"/>
        </w:numPr>
        <w:spacing w:after="0"/>
        <w:jc w:val="both"/>
      </w:pPr>
      <w:r w:rsidRPr="00EB4ED3">
        <w:t>Археологические материалы по культурам бронзового века Восточной Европы</w:t>
      </w:r>
      <w:r w:rsidRPr="00EB4ED3">
        <w:br/>
      </w:r>
      <w:hyperlink r:id="rId8" w:history="1">
        <w:r w:rsidRPr="00EB4ED3">
          <w:rPr>
            <w:rStyle w:val="ac"/>
          </w:rPr>
          <w:t>https://studfile.net/preview/1725295</w:t>
        </w:r>
      </w:hyperlink>
    </w:p>
    <w:p w14:paraId="2B2EED7C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2E4B"/>
    <w:multiLevelType w:val="multilevel"/>
    <w:tmpl w:val="6FCA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205578"/>
    <w:multiLevelType w:val="multilevel"/>
    <w:tmpl w:val="374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739514">
    <w:abstractNumId w:val="0"/>
  </w:num>
  <w:num w:numId="2" w16cid:durableId="1707875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ED3"/>
    <w:rsid w:val="00141EA9"/>
    <w:rsid w:val="006C0B77"/>
    <w:rsid w:val="008242FF"/>
    <w:rsid w:val="00870751"/>
    <w:rsid w:val="00922C48"/>
    <w:rsid w:val="00B915B7"/>
    <w:rsid w:val="00EA59DF"/>
    <w:rsid w:val="00EB4ED3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6D69C"/>
  <w15:chartTrackingRefBased/>
  <w15:docId w15:val="{36528156-E337-4560-92DB-B2FCBE5E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E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E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E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E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E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E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E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4E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4E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4E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4E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4E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4E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4E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4E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4E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4E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E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4E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4E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4E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4E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4E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4ED3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B4ED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B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172529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istory.sumy.ua/research/article/292-serhiipochatkoolherdvilchynskyiprodoistorychnyiperiodsuchasnoiterytoriisumskoioblast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story.gospmr.org/bronzovyj-vek/" TargetMode="External"/><Relationship Id="rId5" Type="http://schemas.openxmlformats.org/officeDocument/2006/relationships/hyperlink" Target="https://ru.wikipedia.org/wiki/%D0%A1%D1%80%D0%B5%D0%B4%D0%BD%D0%B5%D0%B4%D0%BD%D0%B5%D0%BF%D1%80%D0%BE%D0%B2%D1%81%D0%BA%D0%B0%D1%8F_%D0%BA%D1%83%D0%BB%D1%8C%D1%82%D1%83%D1%80%D0%B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Nikonets</dc:creator>
  <cp:keywords/>
  <dc:description/>
  <cp:lastModifiedBy>Daniil Nikonets</cp:lastModifiedBy>
  <cp:revision>1</cp:revision>
  <dcterms:created xsi:type="dcterms:W3CDTF">2026-04-11T01:39:00Z</dcterms:created>
  <dcterms:modified xsi:type="dcterms:W3CDTF">2026-04-11T01:40:00Z</dcterms:modified>
</cp:coreProperties>
</file>