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58C8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pict w14:anchorId="03A6BFE2">
          <v:rect id="_x0000_i1043" style="width:0;height:1.5pt" o:hralign="center" o:hrstd="t" o:hr="t" fillcolor="#a0a0a0" stroked="f"/>
        </w:pict>
      </w:r>
    </w:p>
    <w:p w14:paraId="5F889BF7" w14:textId="77777777" w:rsidR="000A720A" w:rsidRPr="000A720A" w:rsidRDefault="000A720A" w:rsidP="000A720A">
      <w:pPr>
        <w:spacing w:after="0"/>
        <w:ind w:firstLine="709"/>
        <w:jc w:val="both"/>
        <w:rPr>
          <w:b/>
          <w:bCs/>
        </w:rPr>
      </w:pPr>
      <w:r w:rsidRPr="000A720A">
        <w:rPr>
          <w:b/>
          <w:bCs/>
        </w:rPr>
        <w:t>ГЛАВА II</w:t>
      </w:r>
    </w:p>
    <w:p w14:paraId="16D42C1F" w14:textId="77777777" w:rsidR="000A720A" w:rsidRPr="000A720A" w:rsidRDefault="000A720A" w:rsidP="000A720A">
      <w:pPr>
        <w:spacing w:after="0"/>
        <w:ind w:firstLine="709"/>
        <w:jc w:val="both"/>
        <w:rPr>
          <w:b/>
          <w:bCs/>
        </w:rPr>
      </w:pPr>
      <w:r w:rsidRPr="000A720A">
        <w:rPr>
          <w:b/>
          <w:bCs/>
        </w:rPr>
        <w:t>РАННИЙ ЖЕЛЕЗНЫЙ ВЕК И РОЖДЕНИЕ СЛАВЯНСКОГО МИРА</w:t>
      </w:r>
    </w:p>
    <w:p w14:paraId="64AD6F7C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rPr>
          <w:i/>
          <w:iCs/>
        </w:rPr>
        <w:t>(от зарубинецкой культуры к раннеславянским комплексам)</w:t>
      </w:r>
    </w:p>
    <w:p w14:paraId="6C9ADA29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Переход к железному веку на территории Сумской земли не был событием, которое можно привязать к одной дате или даже столетию. Это был длительный процесс, растянувшийся на несколько поколений, в ходе которого менялись технологии, способы хозяйствования и структура расселения. Однако главная его особенность заключается не столько во внедрении железа, сколько в формировании той культурной среды, из которой позднее вырастут раннеславянские общества.</w:t>
      </w:r>
    </w:p>
    <w:p w14:paraId="0BB0493D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К концу I тысячелетия до н. э. лесостепная зона Восточной Европы, включая бассейны Сейма, Псёла и Ворсклы, уже представляла собой пространство устойчивого освоения. Здесь складывается сеть поселений, тяготеющих к речным долинам. Река в этих условиях выполняет сразу несколько функций: она служит источником воды, обеспечивает рыболовство, облегчает передвижение и одновременно структурирует пространство. Именно вдоль рек формируются устойчивые «линии жизни», которые будут сохраняться и в более поздние эпохи (1, 2).</w:t>
      </w:r>
    </w:p>
    <w:p w14:paraId="04F663D5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Ключевым археологическим феноменом этого времени становится зарубинецкая культура, датируемая примерно III–II веками до н. э. — I–II веками н. э. Её ареал охватывает значительную часть Среднего Поднепровья и распространяется на восток, включая районы, непосредственно связанные с современной Сумщиной (2). Для исследователей она важна не только сама по себе, но и как звено в цепи культурной преемственности.</w:t>
      </w:r>
    </w:p>
    <w:p w14:paraId="7B609E78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Поселения зарубинецкой культуры, как правило, невелики по размеру и образуют группы — своего рода «гнёзда», в которые входят как жилые площадки, так и могильники. Такая структура указывает на существование локальных общин, связанных хозяйственно и, вероятно, родственно. В ряде случаев фиксируются укреплённые пункты, расположенные на возвышенностях или мысах, что может свидетельствовать о необходимости защиты или контроля над территорией (2, 3).</w:t>
      </w:r>
    </w:p>
    <w:p w14:paraId="44AC555C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Хозяйство этих сообществ основывалось на сочетании земледелия и скотоводства. Использование железных орудий постепенно повышало эффективность труда: археологические находки включают серпы, ножи, наконечники копий и стрел. Это не означало мгновенного технологического скачка, но со временем приводило к увеличению устойчивости хозяйства и плотности населения (1, 3).</w:t>
      </w:r>
    </w:p>
    <w:p w14:paraId="22537654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При этом важно подчеркнуть, что Сумская земля в этот период не была изолированным регионом. Её положение на границе леса и степи делало её зоной контакта. С одной стороны, она была связана с лесными районами севера, с другой — испытывала влияние степных культур. Эти связи проявляются как в материальной культуре, так и в структуре расселения (4).</w:t>
      </w:r>
    </w:p>
    <w:p w14:paraId="76EF2810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lastRenderedPageBreak/>
        <w:t>Во второй половине I века н. э. система, связанная с зарубинецкой культурой, переживает заметный кризис. Археологически он выражается в изменении структуры поселений и сокращении числа могильников. Одной из причин этого процесса считается давление со стороны кочевых групп степной зоны, прежде всего сарматов, чья активность в этот период существенно возрастает (5). Не исключается и влияние климатических факторов, осложнивших традиционное земледелие.</w:t>
      </w:r>
    </w:p>
    <w:p w14:paraId="4FE0ECD1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Реакцией на этот кризис становится перераспределение населения. Часть общин смещается в северо-восточном направлении — в бассейны Десны и Сейма, где формируются новые культурные комплексы, в частности почепская культура, рассматриваемая как продолжение и трансформация зарубинецкой традиции (6). Это движение не было одномоментным переселением; скорее, речь идёт о постепенном изменении ареала расселения и адаптации к новым условиям.</w:t>
      </w:r>
    </w:p>
    <w:p w14:paraId="02E9E346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Именно на этом этапе возникает один из ключевых вопросов, вокруг которого до сих пор ведутся дискуссии: в какой момент можно говорить о славянах как об исторической реальности.</w:t>
      </w:r>
    </w:p>
    <w:p w14:paraId="61C0A3A2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 xml:space="preserve">Часть исследователей видит в зарубинецкой и связанных с ней культурах ранний этап славянской истории. Они опираются на археологическую преемственность: последовательность культур — от зарубинецкой к киевской и далее к </w:t>
      </w:r>
      <w:proofErr w:type="spellStart"/>
      <w:r w:rsidRPr="000A720A">
        <w:t>колочинской</w:t>
      </w:r>
      <w:proofErr w:type="spellEnd"/>
      <w:r w:rsidRPr="000A720A">
        <w:t xml:space="preserve"> — демонстрирует постепенное формирование устойчивого комплекса признаков, который в раннем средневековье уже уверенно связывается со славянами (2, 6).</w:t>
      </w:r>
    </w:p>
    <w:p w14:paraId="36526854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Другая точка зрения более осторожна. Её сторонники подчёркивают, что археологическая культура не может быть автоматически отождествлена с этносом. С этой позиции корректнее говорить о «протославянском населении» — группе, находящейся в процессе формирования, но ещё не обладающей чётко оформленной этнической идентичностью (6). Этот подход акцентирует внимание на сложности переходных процессов и предостерегает от ретроспективных упрощений.</w:t>
      </w:r>
    </w:p>
    <w:p w14:paraId="12792D45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В последние годы к этой дискуссии добавился ещё один источник данных — палеогенетика. Исследования древней ДНК показали, что население лесостепной зоны Восточной Европы в раннем железном веке представляло собой результат длительного смешения различных компонентов. В генетическом профиле фиксируются линии, восходящие как к неолитическим земледельцам Европы, так и к степным популяциям бронзового века, а также к группам лесной зоны (7, 8).</w:t>
      </w:r>
    </w:p>
    <w:p w14:paraId="4DCA5FDF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Для рассматриваемого региона важно то, что генетические данные не указывают на резкую смену населения в момент, который можно было бы связать с «появлением славян». Напротив, наблюдается значительная преемственность: население раннего железного века сохраняет связь с более ранними группами, при этом постепенно меняясь под влиянием контактов и миграций (7).</w:t>
      </w:r>
    </w:p>
    <w:p w14:paraId="67CCC381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 xml:space="preserve">В то же время фиксируются и внешние влияния, включая компоненты, связанные со степными популяциями, что хорошо согласуется с </w:t>
      </w:r>
      <w:r w:rsidRPr="000A720A">
        <w:lastRenderedPageBreak/>
        <w:t>археологическими данными о взаимодействии с сарматским миром (8). Однако эти влияния не приводят к полной замене населения, а становятся частью более сложной генетической мозаики.</w:t>
      </w:r>
    </w:p>
    <w:p w14:paraId="35750F5E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При сопоставлении древней ДНК с генетикой современных восточнославянских популяций выявляется частичная преемственность, указывающая на значительную роль лесостепной зоны в формировании их генофонда (7). Вместе с тем исследователи подчёркивают, что генетические данные не могут напрямую определить этническую принадлежность: генетические и культурные границы не совпадают автоматически.</w:t>
      </w:r>
    </w:p>
    <w:p w14:paraId="66DB6B61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Таким образом, и археология, и генетика сходятся в главном: речь идёт не о внезапном появлении нового народа, а о длительном процессе формирования населения, происходившем в условиях постоянных контактов и изменений.</w:t>
      </w:r>
    </w:p>
    <w:p w14:paraId="0AB3471A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t>Для Сумской земли этот процесс имеет особое значение. Регион, расположенный на границе природных зон и культурных ареалов, выступает как пространство перехода — место, где взаимодействуют различные традиции и формируется новая культурная реальность. Именно здесь, в течение нескольких столетий, складывается основа, на которой в раннем средневековье возникает уже более отчётливо различимый славянский мир.</w:t>
      </w:r>
    </w:p>
    <w:p w14:paraId="1ABB6246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pict w14:anchorId="2F1BF6E7">
          <v:rect id="_x0000_i1044" style="width:0;height:1.5pt" o:hralign="center" o:hrstd="t" o:hr="t" fillcolor="#a0a0a0" stroked="f"/>
        </w:pict>
      </w:r>
    </w:p>
    <w:p w14:paraId="21B5E941" w14:textId="77777777" w:rsidR="000A720A" w:rsidRPr="000A720A" w:rsidRDefault="000A720A" w:rsidP="000A720A">
      <w:pPr>
        <w:spacing w:after="0"/>
        <w:ind w:firstLine="709"/>
        <w:jc w:val="both"/>
        <w:rPr>
          <w:b/>
          <w:bCs/>
        </w:rPr>
      </w:pPr>
      <w:r w:rsidRPr="000A720A">
        <w:rPr>
          <w:b/>
          <w:bCs/>
        </w:rPr>
        <w:t>ЛИТЕРАТУРА</w:t>
      </w:r>
    </w:p>
    <w:p w14:paraId="5AC22393" w14:textId="77777777" w:rsidR="000A720A" w:rsidRPr="000A720A" w:rsidRDefault="000A720A" w:rsidP="000A720A">
      <w:pPr>
        <w:numPr>
          <w:ilvl w:val="0"/>
          <w:numId w:val="1"/>
        </w:numPr>
        <w:spacing w:after="0"/>
        <w:jc w:val="both"/>
      </w:pPr>
      <w:r w:rsidRPr="000A720A">
        <w:t>Археология Восточной Европы. Учебное издание (раздел о раннем железном веке)</w:t>
      </w:r>
      <w:r w:rsidRPr="000A720A">
        <w:br/>
      </w:r>
      <w:hyperlink r:id="rId5" w:history="1">
        <w:r w:rsidRPr="000A720A">
          <w:rPr>
            <w:rStyle w:val="ac"/>
          </w:rPr>
          <w:t>https://kronk.spb.ru/library/2006-m-manual-3.2.3.htm</w:t>
        </w:r>
      </w:hyperlink>
    </w:p>
    <w:p w14:paraId="64DBAABF" w14:textId="77777777" w:rsidR="000A720A" w:rsidRPr="000A720A" w:rsidRDefault="000A720A" w:rsidP="000A720A">
      <w:pPr>
        <w:numPr>
          <w:ilvl w:val="0"/>
          <w:numId w:val="1"/>
        </w:numPr>
        <w:spacing w:after="0"/>
        <w:jc w:val="both"/>
      </w:pPr>
      <w:r w:rsidRPr="000A720A">
        <w:t>Зарубинецкая культура // Wikipedia</w:t>
      </w:r>
      <w:r w:rsidRPr="000A720A">
        <w:br/>
      </w:r>
      <w:hyperlink r:id="rId6" w:history="1">
        <w:r w:rsidRPr="000A720A">
          <w:rPr>
            <w:rStyle w:val="ac"/>
          </w:rPr>
          <w:t>https://ru.wikipedia.org/wiki/Зарубинецкая_культура</w:t>
        </w:r>
      </w:hyperlink>
    </w:p>
    <w:p w14:paraId="5A325440" w14:textId="77777777" w:rsidR="000A720A" w:rsidRPr="000A720A" w:rsidRDefault="000A720A" w:rsidP="000A720A">
      <w:pPr>
        <w:numPr>
          <w:ilvl w:val="0"/>
          <w:numId w:val="1"/>
        </w:numPr>
        <w:spacing w:after="0"/>
        <w:jc w:val="both"/>
      </w:pPr>
      <w:r w:rsidRPr="000A720A">
        <w:t>Обзор археологических материалов зарубинецкой культуры</w:t>
      </w:r>
      <w:r w:rsidRPr="000A720A">
        <w:br/>
      </w:r>
      <w:hyperlink r:id="rId7" w:history="1">
        <w:r w:rsidRPr="000A720A">
          <w:rPr>
            <w:rStyle w:val="ac"/>
          </w:rPr>
          <w:t>https://znanierussia.ru/articles/Зарубинецкая_культура</w:t>
        </w:r>
      </w:hyperlink>
    </w:p>
    <w:p w14:paraId="57D7068C" w14:textId="77777777" w:rsidR="000A720A" w:rsidRPr="000A720A" w:rsidRDefault="000A720A" w:rsidP="000A720A">
      <w:pPr>
        <w:numPr>
          <w:ilvl w:val="0"/>
          <w:numId w:val="1"/>
        </w:numPr>
        <w:spacing w:after="0"/>
        <w:jc w:val="both"/>
      </w:pPr>
      <w:r w:rsidRPr="000A720A">
        <w:t>Археология Левобережной Украины (расселение и хозяйство)</w:t>
      </w:r>
      <w:r w:rsidRPr="000A720A">
        <w:br/>
      </w:r>
      <w:hyperlink r:id="rId8" w:history="1">
        <w:r w:rsidRPr="000A720A">
          <w:rPr>
            <w:rStyle w:val="ac"/>
          </w:rPr>
          <w:t>https://kronk.spb.ru/library/2006-m-manual-3.2.3.htm</w:t>
        </w:r>
      </w:hyperlink>
    </w:p>
    <w:p w14:paraId="6F2306E4" w14:textId="77777777" w:rsidR="000A720A" w:rsidRPr="000A720A" w:rsidRDefault="000A720A" w:rsidP="000A720A">
      <w:pPr>
        <w:numPr>
          <w:ilvl w:val="0"/>
          <w:numId w:val="1"/>
        </w:numPr>
        <w:spacing w:after="0"/>
        <w:jc w:val="both"/>
      </w:pPr>
      <w:r w:rsidRPr="000A720A">
        <w:t>Сарматы и степная зона Восточной Европы</w:t>
      </w:r>
      <w:r w:rsidRPr="000A720A">
        <w:br/>
      </w:r>
      <w:hyperlink r:id="rId9" w:history="1">
        <w:r w:rsidRPr="000A720A">
          <w:rPr>
            <w:rStyle w:val="ac"/>
          </w:rPr>
          <w:t>https://ru.wikipedia.org/wiki/История_Липецкой_области</w:t>
        </w:r>
      </w:hyperlink>
    </w:p>
    <w:p w14:paraId="2DCC5775" w14:textId="77777777" w:rsidR="000A720A" w:rsidRPr="000A720A" w:rsidRDefault="000A720A" w:rsidP="000A720A">
      <w:pPr>
        <w:numPr>
          <w:ilvl w:val="0"/>
          <w:numId w:val="1"/>
        </w:numPr>
        <w:spacing w:after="0"/>
        <w:jc w:val="both"/>
      </w:pPr>
      <w:r w:rsidRPr="000A720A">
        <w:t>Почепская культура и проблемы этногенеза славян</w:t>
      </w:r>
      <w:r w:rsidRPr="000A720A">
        <w:br/>
      </w:r>
      <w:hyperlink r:id="rId10" w:history="1">
        <w:r w:rsidRPr="000A720A">
          <w:rPr>
            <w:rStyle w:val="ac"/>
          </w:rPr>
          <w:t>https://ru.wikipedia.org/wiki/Почепская_культура</w:t>
        </w:r>
      </w:hyperlink>
    </w:p>
    <w:p w14:paraId="1343FC72" w14:textId="77777777" w:rsidR="000A720A" w:rsidRPr="000A720A" w:rsidRDefault="000A720A" w:rsidP="000A720A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0A720A">
        <w:rPr>
          <w:lang w:val="en-US"/>
        </w:rPr>
        <w:t>Nature — Population genomics of Bronze Age Eurasia</w:t>
      </w:r>
      <w:r w:rsidRPr="000A720A">
        <w:rPr>
          <w:lang w:val="en-US"/>
        </w:rPr>
        <w:br/>
      </w:r>
      <w:hyperlink r:id="rId11" w:history="1">
        <w:r w:rsidRPr="000A720A">
          <w:rPr>
            <w:rStyle w:val="ac"/>
            <w:lang w:val="en-US"/>
          </w:rPr>
          <w:t>https://www.nature.com/articles/nature25778</w:t>
        </w:r>
      </w:hyperlink>
    </w:p>
    <w:p w14:paraId="32386C32" w14:textId="77777777" w:rsidR="000A720A" w:rsidRPr="000A720A" w:rsidRDefault="000A720A" w:rsidP="000A720A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0A720A">
        <w:rPr>
          <w:lang w:val="en-US"/>
        </w:rPr>
        <w:t>Science — The formation of human populations in South and Central Asia</w:t>
      </w:r>
      <w:r w:rsidRPr="000A720A">
        <w:rPr>
          <w:lang w:val="en-US"/>
        </w:rPr>
        <w:br/>
      </w:r>
      <w:hyperlink r:id="rId12" w:history="1">
        <w:r w:rsidRPr="000A720A">
          <w:rPr>
            <w:rStyle w:val="ac"/>
            <w:lang w:val="en-US"/>
          </w:rPr>
          <w:t>https://www.science.org/doi/10.1126/science.aat7487</w:t>
        </w:r>
      </w:hyperlink>
    </w:p>
    <w:p w14:paraId="399B7848" w14:textId="77777777" w:rsidR="000A720A" w:rsidRPr="000A720A" w:rsidRDefault="000A720A" w:rsidP="000A720A">
      <w:pPr>
        <w:spacing w:after="0"/>
        <w:ind w:firstLine="709"/>
        <w:jc w:val="both"/>
      </w:pPr>
      <w:r w:rsidRPr="000A720A">
        <w:pict w14:anchorId="5EDBBF6D">
          <v:rect id="_x0000_i1045" style="width:0;height:1.5pt" o:hralign="center" o:hrstd="t" o:hr="t" fillcolor="#a0a0a0" stroked="f"/>
        </w:pict>
      </w:r>
    </w:p>
    <w:p w14:paraId="4AB9326D" w14:textId="77777777" w:rsidR="00F12C76" w:rsidRPr="000A720A" w:rsidRDefault="00F12C76" w:rsidP="000A720A">
      <w:pPr>
        <w:spacing w:after="0"/>
        <w:jc w:val="both"/>
        <w:rPr>
          <w:lang w:val="en-US"/>
        </w:rPr>
      </w:pPr>
    </w:p>
    <w:sectPr w:rsidR="00F12C76" w:rsidRPr="000A72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1063"/>
    <w:multiLevelType w:val="multilevel"/>
    <w:tmpl w:val="CA1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30ECD"/>
    <w:multiLevelType w:val="multilevel"/>
    <w:tmpl w:val="DFE2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321955">
    <w:abstractNumId w:val="1"/>
  </w:num>
  <w:num w:numId="2" w16cid:durableId="5192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0A"/>
    <w:rsid w:val="000A720A"/>
    <w:rsid w:val="00141EA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EAEC6"/>
  <w15:chartTrackingRefBased/>
  <w15:docId w15:val="{42C06DB9-9CF1-4109-82DD-38C46D78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A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2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2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2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2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2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2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2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2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2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2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20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A720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A720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A720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A720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A720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A72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2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20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A72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20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2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20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A720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A720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A7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ronk.spb.ru/library/2006-m-manual-3.2.3.ht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nanierussia.ru/articles/%D0%97%D0%B0%D1%80%D1%83%D0%B1%D0%B8%D0%BD%D0%B5%D1%86%D0%BA%D0%B0%D1%8F_%D0%BA%D1%83%D0%BB%D1%8C%D1%82%D1%83%D1%80%D0%B0" TargetMode="External"/><Relationship Id="rId12" Type="http://schemas.openxmlformats.org/officeDocument/2006/relationships/hyperlink" Target="https://www.science.org/doi/10.1126/science.aat748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7%D0%B0%D1%80%D1%83%D0%B1%D0%B8%D0%BD%D0%B5%D1%86%D0%BA%D0%B0%D1%8F_%D0%BA%D1%83%D0%BB%D1%8C%D1%82%D1%83%D1%80%D0%B0" TargetMode="External"/><Relationship Id="rId11" Type="http://schemas.openxmlformats.org/officeDocument/2006/relationships/hyperlink" Target="https://www.nature.com/articles/nature25778" TargetMode="External"/><Relationship Id="rId5" Type="http://schemas.openxmlformats.org/officeDocument/2006/relationships/hyperlink" Target="https://kronk.spb.ru/library/2006-m-manual-3.2.3.htm" TargetMode="External"/><Relationship Id="rId10" Type="http://schemas.openxmlformats.org/officeDocument/2006/relationships/hyperlink" Target="https://ru.wikipedia.org/wiki/%D0%9F%D0%BE%D1%87%D0%B5%D0%BF%D1%81%D0%BA%D0%B0%D1%8F_%D0%BA%D1%83%D0%BB%D1%8C%D1%82%D1%83%D1%80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8%D1%81%D1%82%D0%BE%D1%80%D0%B8%D1%8F_%D0%9B%D0%B8%D0%BF%D0%B5%D1%86%D0%BA%D0%BE%D0%B9_%D0%BE%D0%B1%D0%BB%D0%B0%D1%81%D1%82%D0%B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1261</Words>
  <Characters>7189</Characters>
  <Application>Microsoft Office Word</Application>
  <DocSecurity>0</DocSecurity>
  <Lines>59</Lines>
  <Paragraphs>16</Paragraphs>
  <ScaleCrop>false</ScaleCrop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Nikonets</dc:creator>
  <cp:keywords/>
  <dc:description/>
  <cp:lastModifiedBy>Daniil Nikonets</cp:lastModifiedBy>
  <cp:revision>1</cp:revision>
  <dcterms:created xsi:type="dcterms:W3CDTF">2026-04-11T01:37:00Z</dcterms:created>
  <dcterms:modified xsi:type="dcterms:W3CDTF">2026-04-11T01:39:00Z</dcterms:modified>
</cp:coreProperties>
</file>